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7be5" w14:paraId="9ee7be5" w:rsidRDefault="00932DAC" w:rsidP="00C5568E" w:rsidR="00932DAC" w:rsidRPr="00AC297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5568E" w:rsidP="00C5568E" w:rsidR="00C5568E" w:rsidRPr="00AC297A">
      <w:pPr>
        <w:jc w:val="center"/>
        <w:rPr>
          <w:rFonts w:hAnsi="Times New Roman" w:ascii="Times New Roman"/>
          <w:szCs w:val="24"/>
          <w:lang w:val="hr-HR"/>
        </w:rPr>
      </w:pPr>
      <w:r w:rsidRPr="00AC297A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C5568E" w:rsidP="00FA7F4A" w:rsidR="00C5568E" w:rsidRPr="00AC297A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AC297A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AC297A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AC297A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1B0810" w:rsidRPr="00AC297A">
      <w:pPr>
        <w:jc w:val="both"/>
        <w:rPr>
          <w:rFonts w:hAnsi="Times New Roman" w:ascii="Times New Roman"/>
          <w:szCs w:val="24"/>
          <w:lang w:val="hr-HR"/>
        </w:rPr>
      </w:pPr>
      <w:r w:rsidRPr="00AC297A">
        <w:rPr>
          <w:rFonts w:hAnsi="Times New Roman" w:ascii="Times New Roman"/>
          <w:szCs w:val="24"/>
          <w:lang w:val="hr-HR"/>
        </w:rPr>
        <w:tab/>
      </w:r>
      <w:r w:rsidR="00FA7F4A" w:rsidRPr="00AC297A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AC297A">
        <w:rPr>
          <w:rFonts w:hAnsi="Times New Roman" w:ascii="Times New Roman"/>
          <w:szCs w:val="24"/>
          <w:lang w:val="hr-HR"/>
        </w:rPr>
        <w:t>po sucu</w:t>
      </w:r>
      <w:r w:rsidR="008961D1" w:rsidRPr="00AC297A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AC297A">
        <w:rPr>
          <w:rFonts w:hAnsi="Times New Roman" w:ascii="Times New Roman"/>
          <w:szCs w:val="24"/>
          <w:lang w:val="hr-HR"/>
        </w:rPr>
        <w:t>evenki</w:t>
      </w:r>
      <w:r w:rsidRPr="00AC297A">
        <w:rPr>
          <w:rFonts w:hAnsi="Times New Roman" w:ascii="Times New Roman"/>
          <w:szCs w:val="24"/>
          <w:lang w:val="hr-HR"/>
        </w:rPr>
        <w:t xml:space="preserve"> </w:t>
      </w:r>
      <w:r w:rsidR="006F3AAE" w:rsidRPr="00AC297A">
        <w:rPr>
          <w:rFonts w:hAnsi="Times New Roman" w:ascii="Times New Roman"/>
          <w:szCs w:val="24"/>
          <w:lang w:val="hr-HR"/>
        </w:rPr>
        <w:t xml:space="preserve">Siladi </w:t>
      </w:r>
      <w:r w:rsidRPr="00AC297A">
        <w:rPr>
          <w:rFonts w:hAnsi="Times New Roman" w:ascii="Times New Roman"/>
          <w:szCs w:val="24"/>
          <w:lang w:val="hr-HR"/>
        </w:rPr>
        <w:t>Rstić</w:t>
      </w:r>
      <w:r w:rsidR="008961D1" w:rsidRPr="00AC297A">
        <w:rPr>
          <w:rFonts w:hAnsi="Times New Roman" w:ascii="Times New Roman"/>
          <w:szCs w:val="24"/>
          <w:lang w:val="hr-HR"/>
        </w:rPr>
        <w:t xml:space="preserve">, </w:t>
      </w:r>
      <w:r w:rsidR="00237DE3" w:rsidRPr="00AC297A">
        <w:rPr>
          <w:rFonts w:hAnsi="Times New Roman" w:ascii="Times New Roman"/>
          <w:szCs w:val="24"/>
          <w:lang w:val="hr-HR"/>
        </w:rPr>
        <w:t xml:space="preserve">u stečajnom postupku </w:t>
      </w:r>
      <w:r w:rsidR="00FC36C9" w:rsidRPr="00AC297A">
        <w:rPr>
          <w:rFonts w:hAnsi="Times New Roman" w:ascii="Times New Roman"/>
          <w:szCs w:val="24"/>
          <w:lang w:val="hr-HR"/>
        </w:rPr>
        <w:t>nastavljenim</w:t>
      </w:r>
      <w:r w:rsidRPr="00AC297A">
        <w:rPr>
          <w:rFonts w:hAnsi="Times New Roman" w:ascii="Times New Roman"/>
          <w:szCs w:val="24"/>
          <w:lang w:val="hr-HR"/>
        </w:rPr>
        <w:t xml:space="preserve"> nad </w:t>
      </w:r>
      <w:r w:rsidR="00FC36C9" w:rsidRPr="00AC297A">
        <w:rPr>
          <w:rFonts w:hAnsi="Times New Roman" w:ascii="Times New Roman"/>
          <w:szCs w:val="24"/>
          <w:lang w:val="hr-HR"/>
        </w:rPr>
        <w:t>STEČAJNOM MASOM U.T.T. Europa 92, d.o.o. za ugostiteljstvo, turizam, unutarnju i vanjsku trgovinu, Zagreb (Grad Zagreb), Črnomerec 77, MBS: 080227598</w:t>
      </w:r>
      <w:r w:rsidR="00C5568E" w:rsidRPr="00AC297A">
        <w:rPr>
          <w:rFonts w:hAnsi="Times New Roman" w:ascii="Times New Roman"/>
          <w:szCs w:val="24"/>
          <w:lang w:val="hr-HR"/>
        </w:rPr>
        <w:t>,</w:t>
      </w:r>
      <w:r w:rsidR="00104C8C" w:rsidRPr="00AC297A">
        <w:rPr>
          <w:rFonts w:hAnsi="Times New Roman" w:ascii="Times New Roman"/>
          <w:szCs w:val="24"/>
          <w:lang w:val="hr-HR"/>
        </w:rPr>
        <w:t xml:space="preserve"> </w:t>
      </w:r>
      <w:r w:rsidR="00AA4B58" w:rsidRPr="00AC297A">
        <w:rPr>
          <w:rFonts w:hAnsi="Times New Roman" w:ascii="Times New Roman"/>
          <w:szCs w:val="24"/>
          <w:lang w:val="hr-HR"/>
        </w:rPr>
        <w:t>dana</w:t>
      </w:r>
      <w:r w:rsidR="00104C8C" w:rsidRPr="00AC297A">
        <w:rPr>
          <w:rFonts w:hAnsi="Times New Roman" w:ascii="Times New Roman"/>
          <w:szCs w:val="24"/>
          <w:lang w:val="hr-HR"/>
        </w:rPr>
        <w:t xml:space="preserve"> </w:t>
      </w:r>
      <w:r w:rsidR="00A76960">
        <w:rPr>
          <w:rFonts w:hAnsi="Times New Roman" w:ascii="Times New Roman"/>
          <w:szCs w:val="24"/>
          <w:lang w:val="hr-HR"/>
        </w:rPr>
        <w:t>19</w:t>
      </w:r>
      <w:r w:rsidR="004F49C1" w:rsidRPr="00AC297A">
        <w:rPr>
          <w:rFonts w:hAnsi="Times New Roman" w:ascii="Times New Roman"/>
          <w:szCs w:val="24"/>
          <w:lang w:val="hr-HR"/>
        </w:rPr>
        <w:t xml:space="preserve">. </w:t>
      </w:r>
      <w:r w:rsidR="00CF298D">
        <w:rPr>
          <w:rFonts w:hAnsi="Times New Roman" w:ascii="Times New Roman"/>
          <w:szCs w:val="24"/>
          <w:lang w:val="hr-HR"/>
        </w:rPr>
        <w:t>travnja</w:t>
      </w:r>
      <w:r w:rsidR="004F49C1" w:rsidRPr="00AC297A">
        <w:rPr>
          <w:rFonts w:hAnsi="Times New Roman" w:ascii="Times New Roman"/>
          <w:szCs w:val="24"/>
          <w:lang w:val="hr-HR"/>
        </w:rPr>
        <w:t xml:space="preserve"> </w:t>
      </w:r>
      <w:r w:rsidR="004D613C" w:rsidRPr="00AC297A">
        <w:rPr>
          <w:rFonts w:hAnsi="Times New Roman" w:ascii="Times New Roman"/>
          <w:szCs w:val="24"/>
          <w:lang w:val="hr-HR"/>
        </w:rPr>
        <w:t>2016</w:t>
      </w:r>
      <w:r w:rsidR="00535B4E" w:rsidRPr="00AC297A">
        <w:rPr>
          <w:rFonts w:hAnsi="Times New Roman" w:ascii="Times New Roman"/>
          <w:szCs w:val="24"/>
          <w:lang w:val="hr-HR"/>
        </w:rPr>
        <w:t>.</w:t>
      </w:r>
      <w:r w:rsidR="00C117CE" w:rsidRPr="00AC297A">
        <w:rPr>
          <w:rFonts w:hAnsi="Times New Roman" w:ascii="Times New Roman"/>
          <w:szCs w:val="24"/>
          <w:lang w:val="hr-HR"/>
        </w:rPr>
        <w:t xml:space="preserve"> godine</w:t>
      </w:r>
    </w:p>
    <w:p w:rsidRDefault="00AA4B58" w:rsidR="00AA4B58" w:rsidRPr="00AC297A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1B3D61" w:rsidRPr="00AC297A">
      <w:pPr>
        <w:jc w:val="center"/>
        <w:rPr>
          <w:rFonts w:hAnsi="Times New Roman" w:ascii="Times New Roman"/>
          <w:szCs w:val="24"/>
          <w:lang w:val="hr-HR"/>
        </w:rPr>
      </w:pPr>
      <w:r w:rsidRPr="00AC297A">
        <w:rPr>
          <w:rFonts w:hAnsi="Times New Roman" w:ascii="Times New Roman"/>
          <w:szCs w:val="24"/>
          <w:lang w:val="hr-HR"/>
        </w:rPr>
        <w:t>r i j e š i o      j e</w:t>
      </w:r>
    </w:p>
    <w:p w:rsidRDefault="00710794" w:rsidP="00710794" w:rsidR="00710794" w:rsidRPr="00AC297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4B58" w:rsidP="00FC36C9" w:rsidR="008452C5" w:rsidRPr="00AC297A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C297A">
        <w:rPr>
          <w:rFonts w:hAnsi="Times New Roman" w:ascii="Times New Roman"/>
          <w:lang w:val="hr-HR"/>
        </w:rPr>
        <w:t>Obustavlja se i zaključuje stečajni</w:t>
      </w:r>
      <w:r w:rsidR="005E0618" w:rsidRPr="00AC297A">
        <w:rPr>
          <w:rFonts w:hAnsi="Times New Roman" w:ascii="Times New Roman"/>
          <w:lang w:val="hr-HR"/>
        </w:rPr>
        <w:t xml:space="preserve"> postupak </w:t>
      </w:r>
      <w:r w:rsidR="00FC36C9" w:rsidRPr="00AC297A">
        <w:rPr>
          <w:rFonts w:hAnsi="Times New Roman" w:ascii="Times New Roman"/>
          <w:szCs w:val="24"/>
          <w:lang w:val="hr-HR"/>
        </w:rPr>
        <w:t xml:space="preserve">nastavljen nad STEČAJNOM MASOM U.T.T. Europa 92, d.o.o. za ugostiteljstvo, turizam, unutarnju i vanjsku trgovinu, Zagreb (Grad Zagreb), Črnomerec 77, MBS: 080227598, </w:t>
      </w:r>
      <w:r w:rsidRPr="00AC297A">
        <w:rPr>
          <w:rFonts w:hAnsi="Times New Roman" w:ascii="Times New Roman"/>
          <w:lang w:val="hr-HR"/>
        </w:rPr>
        <w:t>temeljem odredbe čl. 203. Stečajnog zakona.</w:t>
      </w:r>
    </w:p>
    <w:p w:rsidRDefault="00AC297A" w:rsidP="00AC297A" w:rsidR="00AC297A" w:rsidRPr="00AC297A">
      <w:pPr>
        <w:jc w:val="both"/>
        <w:rPr>
          <w:rFonts w:hAnsi="Times New Roman" w:ascii="Times New Roman"/>
          <w:szCs w:val="24"/>
          <w:lang w:val="hr-HR"/>
        </w:rPr>
      </w:pPr>
    </w:p>
    <w:p w:rsidRDefault="00CF298D" w:rsidP="00AC297A" w:rsidR="00AC297A" w:rsidRPr="00AC297A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ind w:left="709"/>
        <w:contextualSpacing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potrebe vođenja parničnog postupka pred Općinskim građanskim sudom u Zagrebu, broj P-245/05 u kojem je stečajna masa na aktivnoj strani, </w:t>
      </w:r>
      <w:r w:rsidR="00AC297A" w:rsidRPr="00AC297A">
        <w:rPr>
          <w:rFonts w:hAnsi="Times New Roman" w:ascii="Times New Roman"/>
          <w:lang w:val="hr-HR"/>
        </w:rPr>
        <w:t>određuje se upis stečajne mase u sudski registar ovog suda, konkretno STEČAJNA MASA iza stečajnog</w:t>
      </w:r>
      <w:r w:rsidR="00AC297A">
        <w:rPr>
          <w:rFonts w:hAnsi="Times New Roman" w:ascii="Times New Roman"/>
          <w:lang w:val="hr-HR"/>
        </w:rPr>
        <w:t xml:space="preserve"> dužnika</w:t>
      </w:r>
      <w:r w:rsidR="00AC297A" w:rsidRPr="00AC297A">
        <w:rPr>
          <w:rFonts w:hAnsi="Times New Roman" w:ascii="Times New Roman"/>
          <w:lang w:val="hr-HR"/>
        </w:rPr>
        <w:t xml:space="preserve"> </w:t>
      </w:r>
      <w:r w:rsidR="00AC297A" w:rsidRPr="00AC297A">
        <w:rPr>
          <w:rFonts w:hAnsi="Times New Roman" w:ascii="Times New Roman"/>
          <w:szCs w:val="24"/>
          <w:lang w:val="hr-HR"/>
        </w:rPr>
        <w:t>U.T.T. Europa 92, d.o.o. za ugostiteljstvo, turizam, unutarnju i vanjsku trgovinu, Zagreb (Grad Zagreb), Črnomerec 77, MBS: 080227598</w:t>
      </w:r>
      <w:r w:rsidR="00AC297A" w:rsidRPr="00AC297A">
        <w:rPr>
          <w:rFonts w:hAnsi="Times New Roman" w:ascii="Times New Roman"/>
          <w:lang w:val="hr-HR"/>
        </w:rPr>
        <w:t xml:space="preserve">, sukladno odredbi članka 438. Stečajnog zakona (NN 71/15) te je vezano za stečajnu masu u sudski registar potrebno upisati: </w:t>
      </w:r>
    </w:p>
    <w:p w:rsidRDefault="00AC297A" w:rsidP="00AC297A" w:rsidR="00AC297A" w:rsidRPr="00AC297A">
      <w:pPr>
        <w:pStyle w:val="Odlomakpopisa"/>
        <w:rPr>
          <w:rFonts w:hAnsi="Times New Roman" w:ascii="Times New Roman"/>
          <w:lang w:val="hr-HR"/>
        </w:rPr>
      </w:pPr>
    </w:p>
    <w:p w:rsidRDefault="00AC297A" w:rsidP="00AC297A" w:rsidR="00AC297A" w:rsidRPr="00AC297A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contextualSpacing/>
        <w:jc w:val="both"/>
        <w:rPr>
          <w:rFonts w:hAnsi="Times New Roman" w:ascii="Times New Roman"/>
          <w:lang w:val="hr-HR"/>
        </w:rPr>
      </w:pPr>
      <w:r w:rsidRPr="00AC297A">
        <w:rPr>
          <w:rFonts w:hAnsi="Times New Roman" w:ascii="Times New Roman"/>
          <w:lang w:val="hr-HR"/>
        </w:rPr>
        <w:t>matični broj subjekta</w:t>
      </w:r>
    </w:p>
    <w:p w:rsidRDefault="00AC297A" w:rsidP="00AC297A" w:rsidR="00AC297A" w:rsidRPr="00AC297A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contextualSpacing/>
        <w:jc w:val="both"/>
        <w:rPr>
          <w:rFonts w:hAnsi="Times New Roman" w:ascii="Times New Roman"/>
          <w:lang w:val="hr-HR"/>
        </w:rPr>
      </w:pPr>
      <w:r w:rsidRPr="00AC297A">
        <w:rPr>
          <w:rFonts w:hAnsi="Times New Roman" w:ascii="Times New Roman"/>
          <w:lang w:val="hr-HR"/>
        </w:rPr>
        <w:t>osobni identifikacijski broj</w:t>
      </w:r>
    </w:p>
    <w:p w:rsidRDefault="00AC297A" w:rsidP="00AC297A" w:rsidR="00AC297A" w:rsidRPr="00AC297A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contextualSpacing/>
        <w:jc w:val="both"/>
        <w:rPr>
          <w:rFonts w:hAnsi="Times New Roman" w:ascii="Times New Roman"/>
          <w:lang w:val="hr-HR"/>
        </w:rPr>
      </w:pPr>
      <w:r w:rsidRPr="00AC297A">
        <w:rPr>
          <w:rFonts w:hAnsi="Times New Roman" w:ascii="Times New Roman"/>
          <w:lang w:val="hr-HR"/>
        </w:rPr>
        <w:t>naziv, koji se određuje tako da sadržava riječi "Stečajna masa iza" i tvrtku odnosno naziv stečajnog dužnika</w:t>
      </w:r>
    </w:p>
    <w:p w:rsidRDefault="00AC297A" w:rsidP="00AC297A" w:rsidR="00AC297A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contextualSpacing/>
        <w:jc w:val="both"/>
        <w:rPr>
          <w:rFonts w:hAnsi="Times New Roman" w:ascii="Times New Roman"/>
          <w:lang w:val="hr-HR"/>
        </w:rPr>
      </w:pPr>
      <w:r w:rsidRPr="00AC297A">
        <w:rPr>
          <w:rFonts w:hAnsi="Times New Roman" w:ascii="Times New Roman"/>
          <w:lang w:val="hr-HR"/>
        </w:rPr>
        <w:t xml:space="preserve">sjedište koje se određuje prema adresi stečajnog upravitelja (u ovom konkretnom slučaju, adresu stečajnog upravitelja </w:t>
      </w:r>
      <w:r>
        <w:rPr>
          <w:rFonts w:hAnsi="Times New Roman" w:ascii="Times New Roman"/>
          <w:lang w:val="hr-HR"/>
        </w:rPr>
        <w:t>Mirjane</w:t>
      </w:r>
      <w:r w:rsidRPr="00AC297A">
        <w:rPr>
          <w:rFonts w:hAnsi="Times New Roman" w:ascii="Times New Roman"/>
          <w:lang w:val="hr-HR"/>
        </w:rPr>
        <w:t xml:space="preserve"> Zuzija, V</w:t>
      </w:r>
      <w:r>
        <w:rPr>
          <w:rFonts w:hAnsi="Times New Roman" w:ascii="Times New Roman"/>
          <w:lang w:val="hr-HR"/>
        </w:rPr>
        <w:t>elika Gorica, Slavka Kolara 25</w:t>
      </w:r>
      <w:r w:rsidRPr="00AC297A">
        <w:rPr>
          <w:rFonts w:hAnsi="Times New Roman" w:ascii="Times New Roman"/>
          <w:lang w:val="hr-HR"/>
        </w:rPr>
        <w:t>, koji i nakon brisanja dužnika iz sudskog registra zastupa stečajnu masu temeljem odredbe čl. 89. st. 13. SZ-a</w:t>
      </w:r>
    </w:p>
    <w:p w:rsidRDefault="00AC297A" w:rsidP="00AC297A" w:rsidR="00AC297A" w:rsidRPr="00AC297A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contextualSpacing/>
        <w:jc w:val="both"/>
        <w:rPr>
          <w:rFonts w:hAnsi="Times New Roman" w:ascii="Times New Roman"/>
          <w:lang w:val="hr-HR"/>
        </w:rPr>
      </w:pPr>
      <w:r w:rsidRPr="00AC297A">
        <w:rPr>
          <w:rFonts w:hAnsi="Times New Roman" w:ascii="Times New Roman"/>
          <w:lang w:val="hr-HR"/>
        </w:rPr>
        <w:t>ime i prezime stečajnog upravitelja, njegov osobni identifikacijski broj i adresu prebivališta (Mirjana Zuzija, Velika Gorica, Slavka Kolara 25, OIB: 26497768352)</w:t>
      </w:r>
    </w:p>
    <w:p w:rsidRDefault="00AC297A" w:rsidP="00AC297A" w:rsidR="00AC297A" w:rsidRPr="00AC297A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contextualSpacing/>
        <w:jc w:val="both"/>
        <w:rPr>
          <w:rFonts w:hAnsi="Times New Roman" w:ascii="Times New Roman"/>
          <w:lang w:val="hr-HR"/>
        </w:rPr>
      </w:pPr>
      <w:r w:rsidRPr="00AC297A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AC297A" w:rsidP="00AC297A" w:rsidR="00AC297A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contextualSpacing/>
        <w:jc w:val="both"/>
        <w:rPr>
          <w:rFonts w:hAnsi="Times New Roman" w:ascii="Times New Roman"/>
          <w:lang w:val="hr-HR"/>
        </w:rPr>
      </w:pPr>
      <w:r w:rsidRPr="00AC297A">
        <w:rPr>
          <w:rFonts w:hAnsi="Times New Roman" w:ascii="Times New Roman"/>
          <w:lang w:val="hr-HR"/>
        </w:rPr>
        <w:t xml:space="preserve">rješenje o brisanju </w:t>
      </w:r>
    </w:p>
    <w:p w:rsidRDefault="00CF298D" w:rsidP="00CF298D" w:rsidR="00CF298D" w:rsidRPr="00AC297A">
      <w:pPr>
        <w:pStyle w:val="Odlomakpopisa"/>
        <w:overflowPunct w:val="false"/>
        <w:autoSpaceDE w:val="false"/>
        <w:autoSpaceDN w:val="false"/>
        <w:adjustRightInd w:val="false"/>
        <w:ind w:left="1418"/>
        <w:contextualSpacing/>
        <w:jc w:val="both"/>
        <w:rPr>
          <w:rFonts w:hAnsi="Times New Roman" w:ascii="Times New Roman"/>
          <w:lang w:val="hr-HR"/>
        </w:rPr>
      </w:pPr>
    </w:p>
    <w:p w:rsidRDefault="00BF6916" w:rsidP="006D1705" w:rsidR="00BF6916" w:rsidRPr="00AC297A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AC297A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BF6916" w:rsidR="00BF6916" w:rsidRPr="00AC297A">
      <w:pPr>
        <w:jc w:val="both"/>
        <w:rPr>
          <w:rFonts w:hAnsi="Times New Roman" w:ascii="Times New Roman"/>
          <w:szCs w:val="24"/>
          <w:lang w:val="hr-HR"/>
        </w:rPr>
      </w:pPr>
    </w:p>
    <w:p w:rsidRDefault="00AC297A" w:rsidP="00AC297A" w:rsidR="00AC297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Nakon što je istovremeno otvoren i zaključen sumarni eliminacijski stečajni postupak nad gore navedenim stečajnim dužnikom temeljem odredbe čl. 70. Zakona o izmjenama i dopunama Stečajnog zakona (NN 129/2000), rješenjem ovog suda od 30. ožujka 2005. godine i dužnik brisan iz sudskog registra na prijedlog </w:t>
      </w:r>
      <w:r w:rsidR="00CF298D">
        <w:rPr>
          <w:rFonts w:hAnsi="Times New Roman" w:ascii="Times New Roman"/>
          <w:szCs w:val="24"/>
          <w:lang w:val="hr-HR"/>
        </w:rPr>
        <w:t xml:space="preserve">stečajne upraviteljice od 3. veljače 2012. godine, </w:t>
      </w:r>
      <w:r>
        <w:rPr>
          <w:rFonts w:hAnsi="Times New Roman" w:ascii="Times New Roman"/>
          <w:szCs w:val="24"/>
          <w:lang w:val="hr-HR"/>
        </w:rPr>
        <w:t xml:space="preserve">određen je nastavak stečajnog postupka nad </w:t>
      </w:r>
      <w:r w:rsidRPr="00AC297A">
        <w:rPr>
          <w:rFonts w:hAnsi="Times New Roman" w:ascii="Times New Roman"/>
          <w:szCs w:val="24"/>
          <w:lang w:val="hr-HR"/>
        </w:rPr>
        <w:t>STEČAJNOM MASOM U.T.T. Europa 92, d.o.o. za ugostiteljstvo, turizam, unutarnju i vanjsku trgovinu, Zagreb (Grad Zagreb), Črnomerec 77, MBS: 080227598</w:t>
      </w:r>
      <w:r>
        <w:rPr>
          <w:rFonts w:hAnsi="Times New Roman" w:ascii="Times New Roman"/>
          <w:szCs w:val="24"/>
          <w:lang w:val="hr-HR"/>
        </w:rPr>
        <w:t>, rješenjem ovog suda gornjeg broja od 23. veljače 2012. godine (list 21 spisa), održano ispitno i izvještajno ročište d</w:t>
      </w:r>
      <w:r w:rsidR="00D055C0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>na 23. ožujka 2012. godine (list 69 i 70 spisa),</w:t>
      </w:r>
      <w:r w:rsidR="00D055C0">
        <w:rPr>
          <w:rFonts w:hAnsi="Times New Roman" w:ascii="Times New Roman"/>
          <w:szCs w:val="24"/>
          <w:lang w:val="hr-HR"/>
        </w:rPr>
        <w:t xml:space="preserve"> održano posebno ispitno ročište dana 26. veljače 2013. godine,</w:t>
      </w:r>
      <w:r>
        <w:rPr>
          <w:rFonts w:hAnsi="Times New Roman" w:ascii="Times New Roman"/>
          <w:szCs w:val="24"/>
          <w:lang w:val="hr-HR"/>
        </w:rPr>
        <w:t xml:space="preserve"> doneseno rješenje o utvrđenim i osporenim tražbinama (list </w:t>
      </w:r>
      <w:r w:rsidR="00D055C0">
        <w:rPr>
          <w:rFonts w:hAnsi="Times New Roman" w:ascii="Times New Roman"/>
          <w:szCs w:val="24"/>
          <w:lang w:val="hr-HR"/>
        </w:rPr>
        <w:t>92 spisa).</w:t>
      </w:r>
    </w:p>
    <w:p w:rsidRDefault="00D055C0" w:rsidP="00AC297A" w:rsidR="00D055C0">
      <w:pPr>
        <w:jc w:val="both"/>
        <w:rPr>
          <w:rFonts w:hAnsi="Times New Roman" w:ascii="Times New Roman"/>
          <w:szCs w:val="24"/>
          <w:lang w:val="hr-HR"/>
        </w:rPr>
      </w:pPr>
    </w:p>
    <w:p w:rsidRDefault="00D055C0" w:rsidP="00AC297A" w:rsidR="00D05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 nastavljenom stečajnom postupku održana je Skupština vjerovnika dana 7. svibnja 2013. godine na kojoj je donesena odluka o nastavku parničnog postupka pred Općinskim građanskim sudom u Zagrebu, pod brojem P-245/05, tužitelja – stečajnog dužnika protiv tuženika Hrvatsko novinarsko društvo te dana suglasnost stečajnoj upraviteljici angažirati odvjetnika u navedenoj parnici koji će zastupati stečajnog dužnika.</w:t>
      </w:r>
    </w:p>
    <w:p w:rsidRDefault="00D055C0" w:rsidP="00AC297A" w:rsidR="00D055C0">
      <w:pPr>
        <w:jc w:val="both"/>
        <w:rPr>
          <w:rFonts w:hAnsi="Times New Roman" w:ascii="Times New Roman"/>
          <w:szCs w:val="24"/>
          <w:lang w:val="hr-HR"/>
        </w:rPr>
      </w:pPr>
    </w:p>
    <w:p w:rsidRDefault="00D055C0" w:rsidP="00D055C0" w:rsidR="00D055C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D055C0">
        <w:rPr>
          <w:rFonts w:hAnsi="Times New Roman" w:ascii="Times New Roman"/>
          <w:szCs w:val="24"/>
          <w:lang w:val="hr-HR"/>
        </w:rPr>
        <w:t xml:space="preserve">Podneskom od 2. srpnja 2015. godine (list 118 spisa), stečajna upraviteljica predlaže nastavljeni stečajni postupak obustaviti i zaključiti temeljem odredbe čl. 203. </w:t>
      </w:r>
      <w:r w:rsidRPr="00D055C0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>
        <w:rPr>
          <w:rFonts w:hAnsi="Times New Roman" w:ascii="Times New Roman"/>
          <w:lang w:val="hr-HR"/>
        </w:rPr>
        <w:t>, budući da imovina dužnika nije dostatna niti za namirenje troškova postupka.</w:t>
      </w:r>
    </w:p>
    <w:p w:rsidRDefault="00D055C0" w:rsidP="00D055C0" w:rsidR="00D055C0">
      <w:pPr>
        <w:jc w:val="both"/>
        <w:rPr>
          <w:rFonts w:hAnsi="Times New Roman" w:ascii="Times New Roman"/>
          <w:lang w:val="hr-HR"/>
        </w:rPr>
      </w:pPr>
    </w:p>
    <w:p w:rsidRDefault="00D055C0" w:rsidP="00D055C0" w:rsidR="00D055C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navedenog određeno je ročište vjerovnika koje je i održano 27. listopada 2015. godine na koje su pozvani vjerovnici stečajne mase i vjerovnici koji čine skupštinu vjerovnika (list 138-139 spisa), na kojem je stečajna upraviteljica i usmeno podnijela izvješće navodeći da i nadalje ustraje kod prijedloga za postupanjem po čl. 203. SZ-a jer za troškove postupka nedostaje iznos </w:t>
      </w:r>
      <w:r w:rsidRPr="00CF298D">
        <w:rPr>
          <w:rFonts w:hAnsi="Times New Roman" w:ascii="Times New Roman"/>
          <w:lang w:val="hr-HR"/>
        </w:rPr>
        <w:t>od 20.000,000 kuna</w:t>
      </w:r>
      <w:r>
        <w:rPr>
          <w:rFonts w:hAnsi="Times New Roman" w:ascii="Times New Roman"/>
          <w:lang w:val="hr-HR"/>
        </w:rPr>
        <w:t xml:space="preserve"> </w:t>
      </w:r>
    </w:p>
    <w:p w:rsidRDefault="00D055C0" w:rsidP="00D055C0" w:rsidR="00D055C0">
      <w:pPr>
        <w:jc w:val="both"/>
        <w:rPr>
          <w:rFonts w:hAnsi="Times New Roman" w:ascii="Times New Roman"/>
          <w:lang w:val="hr-HR"/>
        </w:rPr>
      </w:pPr>
    </w:p>
    <w:p w:rsidRDefault="00D055C0" w:rsidP="00D055C0" w:rsidR="00D055C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Postupajući po odredbi čl. 203. SZ-a, a budući da su se vjerovnici Ante Matić, Nikola Bartolić i Ante Tabak protivili obustavi i zaključenju stečajnog postupka, ovaj je sud raspravnim rješenjem od 27. listopada 2015. godine (list 139 spisa) pozvao iste solidarno uplatiti nedostajući iznos predujma za troškove postupka od 20.000,00 kuna u roku od 15 dana.</w:t>
      </w:r>
    </w:p>
    <w:p w:rsidRDefault="00D055C0" w:rsidP="00D055C0" w:rsidR="00D055C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Kako taj iznos vjerovnici nisu uplatili to su se stekli uvjeti za postupanjem po čl. 203. SZ-a te je stoga odlučeno kao pod točkom I) izreke ovog rješenja.</w:t>
      </w:r>
    </w:p>
    <w:p w:rsidRDefault="00D055C0" w:rsidP="00D055C0" w:rsidR="00D055C0">
      <w:pPr>
        <w:ind w:firstLine="720"/>
        <w:jc w:val="both"/>
        <w:rPr>
          <w:rFonts w:hAnsi="Times New Roman" w:ascii="Times New Roman"/>
          <w:lang w:val="hr-HR"/>
        </w:rPr>
      </w:pPr>
    </w:p>
    <w:p w:rsidRDefault="00D055C0" w:rsidP="00D055C0" w:rsidR="00D055C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Međutim, tijekom postupka vjerovnici Ante Matić i Ante Tabak traže dodjelu OIB-a stečajnoj masi, a isto traži i stečajna upraviteljica podneskom od 12. studenog 2015. godine (list 149 spisa), sve radi vođenja parničnog </w:t>
      </w:r>
      <w:r w:rsidR="00CF298D">
        <w:rPr>
          <w:rFonts w:hAnsi="Times New Roman" w:ascii="Times New Roman"/>
          <w:lang w:val="hr-HR"/>
        </w:rPr>
        <w:t>.</w:t>
      </w:r>
    </w:p>
    <w:p w:rsidRDefault="00CF298D" w:rsidP="00D055C0" w:rsidR="00CF298D">
      <w:pPr>
        <w:ind w:firstLine="720"/>
        <w:jc w:val="both"/>
        <w:rPr>
          <w:rFonts w:hAnsi="Times New Roman" w:ascii="Times New Roman"/>
          <w:lang w:val="hr-HR"/>
        </w:rPr>
      </w:pPr>
    </w:p>
    <w:p w:rsidRDefault="00CF298D" w:rsidP="00CF298D" w:rsidR="00CF298D" w:rsidRPr="00CF298D">
      <w:pPr>
        <w:jc w:val="both"/>
        <w:rPr>
          <w:rFonts w:hAnsi="Times New Roman" w:ascii="Times New Roman"/>
          <w:lang w:val="hr-HR"/>
        </w:rPr>
      </w:pPr>
      <w:r w:rsidRPr="00CF298D">
        <w:rPr>
          <w:rFonts w:hAnsi="Times New Roman" w:ascii="Times New Roman"/>
          <w:lang w:val="hr-HR"/>
        </w:rPr>
        <w:t>Kako tražbina u gore navedenom parničnom postupku predstavlja imovinu koja čini stečajnu masu iza stečajnog dužnika, a odredba čl. 106. st. 2. Zakona o parničnom postupku (NN 53/91, 91/92, 112/99, 88/01, 117/03, 88/05, 2/07 – Odluka USRH, 84/08, 96/08 – Odluka USRH, 123/08 – ISPR., 57/11, 148/11 – proč. tekst, 25/13), propisuje da je OIB jedan od bitnih elemenata iste, to je pozivom na odredbu čl. 133. st. 1. 2. 3. i 4. Stečajnog zakona (NN 71/15), odlučeno kao pod točkom II) izreke rješenja.</w:t>
      </w:r>
    </w:p>
    <w:p w:rsidRDefault="00CF298D" w:rsidP="00D055C0" w:rsidR="00CF298D">
      <w:pPr>
        <w:ind w:firstLine="720"/>
        <w:jc w:val="both"/>
        <w:rPr>
          <w:rFonts w:hAnsi="Times New Roman" w:ascii="Times New Roman"/>
          <w:lang w:val="hr-HR"/>
        </w:rPr>
      </w:pPr>
    </w:p>
    <w:p w:rsidRDefault="00D055C0" w:rsidP="00D055C0" w:rsidR="00D055C0">
      <w:pPr>
        <w:ind w:firstLine="720"/>
        <w:jc w:val="both"/>
        <w:rPr>
          <w:rFonts w:hAnsi="Times New Roman" w:ascii="Times New Roman"/>
          <w:lang w:val="hr-HR"/>
        </w:rPr>
      </w:pPr>
    </w:p>
    <w:p w:rsidRDefault="00AC297A" w:rsidP="00F33943" w:rsidR="00AC297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50E01" w:rsidP="008A08E2" w:rsidR="00D77AAF" w:rsidRPr="00AC297A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AC297A">
        <w:rPr>
          <w:rFonts w:hAnsi="Times New Roman" w:ascii="Times New Roman"/>
          <w:szCs w:val="24"/>
          <w:lang w:val="hr-HR"/>
        </w:rPr>
        <w:t xml:space="preserve">U </w:t>
      </w:r>
      <w:r w:rsidR="00AE0D0E" w:rsidRPr="00AC297A">
        <w:rPr>
          <w:rFonts w:hAnsi="Times New Roman" w:ascii="Times New Roman"/>
          <w:szCs w:val="24"/>
          <w:lang w:val="hr-HR"/>
        </w:rPr>
        <w:t>Zagreb</w:t>
      </w:r>
      <w:r w:rsidRPr="00AC297A">
        <w:rPr>
          <w:rFonts w:hAnsi="Times New Roman" w:ascii="Times New Roman"/>
          <w:szCs w:val="24"/>
          <w:lang w:val="hr-HR"/>
        </w:rPr>
        <w:t>u</w:t>
      </w:r>
      <w:r w:rsidR="005A607E" w:rsidRPr="00AC297A">
        <w:rPr>
          <w:rFonts w:hAnsi="Times New Roman" w:ascii="Times New Roman"/>
          <w:szCs w:val="24"/>
          <w:lang w:val="hr-HR"/>
        </w:rPr>
        <w:t xml:space="preserve">, </w:t>
      </w:r>
      <w:r w:rsidR="00A76960">
        <w:rPr>
          <w:rFonts w:hAnsi="Times New Roman" w:ascii="Times New Roman"/>
          <w:szCs w:val="24"/>
          <w:lang w:val="hr-HR"/>
        </w:rPr>
        <w:t>19</w:t>
      </w:r>
      <w:r w:rsidR="00AC297A">
        <w:rPr>
          <w:rFonts w:hAnsi="Times New Roman" w:ascii="Times New Roman"/>
          <w:szCs w:val="24"/>
          <w:lang w:val="hr-HR"/>
        </w:rPr>
        <w:t xml:space="preserve">. </w:t>
      </w:r>
      <w:r w:rsidR="00A76960">
        <w:rPr>
          <w:rFonts w:hAnsi="Times New Roman" w:ascii="Times New Roman"/>
          <w:szCs w:val="24"/>
          <w:lang w:val="hr-HR"/>
        </w:rPr>
        <w:t>travnja</w:t>
      </w:r>
      <w:r w:rsidR="00AC297A">
        <w:rPr>
          <w:rFonts w:hAnsi="Times New Roman" w:ascii="Times New Roman"/>
          <w:szCs w:val="24"/>
          <w:lang w:val="hr-HR"/>
        </w:rPr>
        <w:t xml:space="preserve"> </w:t>
      </w:r>
      <w:r w:rsidR="004D613C" w:rsidRPr="00AC297A">
        <w:rPr>
          <w:rFonts w:hAnsi="Times New Roman" w:ascii="Times New Roman"/>
          <w:szCs w:val="24"/>
          <w:lang w:val="hr-HR"/>
        </w:rPr>
        <w:t>2016</w:t>
      </w:r>
      <w:r w:rsidR="00BF6916" w:rsidRPr="00AC297A">
        <w:rPr>
          <w:rFonts w:hAnsi="Times New Roman" w:ascii="Times New Roman"/>
          <w:szCs w:val="24"/>
          <w:lang w:val="hr-HR"/>
        </w:rPr>
        <w:t>.</w:t>
      </w:r>
    </w:p>
    <w:p w:rsidRDefault="00AE0D0E" w:rsidP="00FD6D89" w:rsidR="00AE0D0E" w:rsidRPr="00AC297A">
      <w:pPr>
        <w:jc w:val="both"/>
        <w:rPr>
          <w:rFonts w:hAnsi="Times New Roman" w:ascii="Times New Roman"/>
          <w:szCs w:val="24"/>
          <w:lang w:val="hr-HR"/>
        </w:rPr>
      </w:pPr>
      <w:r w:rsidRPr="00AC297A">
        <w:rPr>
          <w:rFonts w:hAnsi="Times New Roman" w:ascii="Times New Roman"/>
          <w:szCs w:val="24"/>
          <w:lang w:val="hr-HR"/>
        </w:rPr>
        <w:tab/>
      </w:r>
      <w:r w:rsidRPr="00AC297A">
        <w:rPr>
          <w:rFonts w:hAnsi="Times New Roman" w:ascii="Times New Roman"/>
          <w:szCs w:val="24"/>
          <w:lang w:val="hr-HR"/>
        </w:rPr>
        <w:tab/>
      </w:r>
      <w:r w:rsidRPr="00AC297A">
        <w:rPr>
          <w:rFonts w:hAnsi="Times New Roman" w:ascii="Times New Roman"/>
          <w:szCs w:val="24"/>
          <w:lang w:val="hr-HR"/>
        </w:rPr>
        <w:tab/>
      </w:r>
      <w:r w:rsidRPr="00AC297A">
        <w:rPr>
          <w:rFonts w:hAnsi="Times New Roman" w:ascii="Times New Roman"/>
          <w:szCs w:val="24"/>
          <w:lang w:val="hr-HR"/>
        </w:rPr>
        <w:tab/>
      </w:r>
      <w:r w:rsidRPr="00AC297A">
        <w:rPr>
          <w:rFonts w:hAnsi="Times New Roman" w:ascii="Times New Roman"/>
          <w:szCs w:val="24"/>
          <w:lang w:val="hr-HR"/>
        </w:rPr>
        <w:tab/>
      </w:r>
      <w:r w:rsidRPr="00AC297A">
        <w:rPr>
          <w:rFonts w:hAnsi="Times New Roman" w:ascii="Times New Roman"/>
          <w:szCs w:val="24"/>
          <w:lang w:val="hr-HR"/>
        </w:rPr>
        <w:tab/>
      </w:r>
      <w:r w:rsidRPr="00AC297A">
        <w:rPr>
          <w:rFonts w:hAnsi="Times New Roman" w:ascii="Times New Roman"/>
          <w:szCs w:val="24"/>
          <w:lang w:val="hr-HR"/>
        </w:rPr>
        <w:tab/>
      </w:r>
      <w:r w:rsidRPr="00AC297A">
        <w:rPr>
          <w:rFonts w:hAnsi="Times New Roman" w:ascii="Times New Roman"/>
          <w:szCs w:val="24"/>
          <w:lang w:val="hr-HR"/>
        </w:rPr>
        <w:tab/>
      </w:r>
      <w:r w:rsidRPr="00AC297A">
        <w:rPr>
          <w:rFonts w:hAnsi="Times New Roman" w:ascii="Times New Roman"/>
          <w:szCs w:val="24"/>
          <w:lang w:val="hr-HR"/>
        </w:rPr>
        <w:tab/>
      </w:r>
      <w:r w:rsidR="00E771DF" w:rsidRPr="00AC297A">
        <w:rPr>
          <w:rFonts w:hAnsi="Times New Roman" w:ascii="Times New Roman"/>
          <w:szCs w:val="24"/>
          <w:lang w:val="hr-HR"/>
        </w:rPr>
        <w:t xml:space="preserve"> </w:t>
      </w:r>
      <w:r w:rsidR="008A08E2" w:rsidRPr="00AC297A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AC297A">
        <w:rPr>
          <w:rFonts w:hAnsi="Times New Roman" w:ascii="Times New Roman"/>
          <w:szCs w:val="24"/>
          <w:lang w:val="hr-HR"/>
        </w:rPr>
        <w:t xml:space="preserve"> </w:t>
      </w:r>
      <w:r w:rsidR="00932DAC" w:rsidRPr="00AC297A">
        <w:rPr>
          <w:rFonts w:hAnsi="Times New Roman" w:ascii="Times New Roman"/>
          <w:szCs w:val="24"/>
          <w:lang w:val="hr-HR"/>
        </w:rPr>
        <w:t xml:space="preserve">  </w:t>
      </w:r>
      <w:r w:rsidRPr="00AC297A">
        <w:rPr>
          <w:rFonts w:hAnsi="Times New Roman" w:ascii="Times New Roman"/>
          <w:szCs w:val="24"/>
          <w:lang w:val="hr-HR"/>
        </w:rPr>
        <w:t>SUDAC:</w:t>
      </w:r>
    </w:p>
    <w:p w:rsidRDefault="00AE0D0E" w:rsidR="00EB0E9E" w:rsidRPr="00AC297A">
      <w:pPr>
        <w:jc w:val="both"/>
        <w:rPr>
          <w:rFonts w:hAnsi="Times New Roman" w:ascii="Times New Roman"/>
          <w:szCs w:val="24"/>
          <w:lang w:val="hr-HR"/>
        </w:rPr>
      </w:pPr>
      <w:r w:rsidRPr="00AC297A">
        <w:rPr>
          <w:rFonts w:hAnsi="Times New Roman" w:ascii="Times New Roman"/>
          <w:szCs w:val="24"/>
          <w:lang w:val="hr-HR"/>
        </w:rPr>
        <w:tab/>
      </w:r>
      <w:r w:rsidRPr="00AC297A">
        <w:rPr>
          <w:rFonts w:hAnsi="Times New Roman" w:ascii="Times New Roman"/>
          <w:szCs w:val="24"/>
          <w:lang w:val="hr-HR"/>
        </w:rPr>
        <w:tab/>
      </w:r>
      <w:r w:rsidRPr="00AC297A">
        <w:rPr>
          <w:rFonts w:hAnsi="Times New Roman" w:ascii="Times New Roman"/>
          <w:szCs w:val="24"/>
          <w:lang w:val="hr-HR"/>
        </w:rPr>
        <w:tab/>
      </w:r>
      <w:r w:rsidRPr="00AC297A">
        <w:rPr>
          <w:rFonts w:hAnsi="Times New Roman" w:ascii="Times New Roman"/>
          <w:szCs w:val="24"/>
          <w:lang w:val="hr-HR"/>
        </w:rPr>
        <w:tab/>
      </w:r>
      <w:r w:rsidRPr="00AC297A">
        <w:rPr>
          <w:rFonts w:hAnsi="Times New Roman" w:ascii="Times New Roman"/>
          <w:szCs w:val="24"/>
          <w:lang w:val="hr-HR"/>
        </w:rPr>
        <w:tab/>
      </w:r>
      <w:r w:rsidRPr="00AC297A">
        <w:rPr>
          <w:rFonts w:hAnsi="Times New Roman" w:ascii="Times New Roman"/>
          <w:szCs w:val="24"/>
          <w:lang w:val="hr-HR"/>
        </w:rPr>
        <w:tab/>
      </w:r>
      <w:r w:rsidRPr="00AC297A">
        <w:rPr>
          <w:rFonts w:hAnsi="Times New Roman" w:ascii="Times New Roman"/>
          <w:szCs w:val="24"/>
          <w:lang w:val="hr-HR"/>
        </w:rPr>
        <w:tab/>
      </w:r>
      <w:r w:rsidRPr="00AC297A">
        <w:rPr>
          <w:rFonts w:hAnsi="Times New Roman" w:ascii="Times New Roman"/>
          <w:szCs w:val="24"/>
          <w:lang w:val="hr-HR"/>
        </w:rPr>
        <w:tab/>
      </w:r>
      <w:r w:rsidR="00566DFC" w:rsidRPr="00AC297A">
        <w:rPr>
          <w:rFonts w:hAnsi="Times New Roman" w:ascii="Times New Roman"/>
          <w:szCs w:val="24"/>
          <w:lang w:val="hr-HR"/>
        </w:rPr>
        <w:t xml:space="preserve">  </w:t>
      </w:r>
      <w:r w:rsidR="00E771DF" w:rsidRPr="00AC297A">
        <w:rPr>
          <w:rFonts w:hAnsi="Times New Roman" w:ascii="Times New Roman"/>
          <w:szCs w:val="24"/>
          <w:lang w:val="hr-HR"/>
        </w:rPr>
        <w:t xml:space="preserve">   </w:t>
      </w:r>
      <w:r w:rsidR="00E114B3" w:rsidRPr="00AC297A">
        <w:rPr>
          <w:rFonts w:hAnsi="Times New Roman" w:ascii="Times New Roman"/>
          <w:szCs w:val="24"/>
          <w:lang w:val="hr-HR"/>
        </w:rPr>
        <w:t xml:space="preserve">        </w:t>
      </w:r>
      <w:r w:rsidRPr="00AC297A">
        <w:rPr>
          <w:rFonts w:hAnsi="Times New Roman" w:ascii="Times New Roman"/>
          <w:szCs w:val="24"/>
          <w:lang w:val="hr-HR"/>
        </w:rPr>
        <w:t>Nevenka Siladi Rstić</w:t>
      </w:r>
      <w:r w:rsidR="00656097" w:rsidRPr="00AC297A">
        <w:rPr>
          <w:rFonts w:hAnsi="Times New Roman" w:ascii="Times New Roman"/>
          <w:szCs w:val="24"/>
          <w:lang w:val="hr-HR"/>
        </w:rPr>
        <w:t xml:space="preserve">, </w:t>
      </w:r>
      <w:r w:rsidR="00FD1E4E" w:rsidRPr="00AC297A">
        <w:rPr>
          <w:rFonts w:hAnsi="Times New Roman" w:ascii="Times New Roman"/>
          <w:szCs w:val="24"/>
          <w:lang w:val="hr-HR"/>
        </w:rPr>
        <w:t>v.</w:t>
      </w:r>
      <w:r w:rsidR="00E114B3" w:rsidRPr="00AC297A">
        <w:rPr>
          <w:rFonts w:hAnsi="Times New Roman" w:ascii="Times New Roman"/>
          <w:szCs w:val="24"/>
          <w:lang w:val="hr-HR"/>
        </w:rPr>
        <w:t xml:space="preserve"> </w:t>
      </w:r>
      <w:r w:rsidR="00FD1E4E" w:rsidRPr="00AC297A">
        <w:rPr>
          <w:rFonts w:hAnsi="Times New Roman" w:ascii="Times New Roman"/>
          <w:szCs w:val="24"/>
          <w:lang w:val="hr-HR"/>
        </w:rPr>
        <w:t>r.</w:t>
      </w:r>
    </w:p>
    <w:p w:rsidRDefault="00FA7F4A" w:rsidR="00BF6916" w:rsidRPr="00AC297A">
      <w:pPr>
        <w:jc w:val="both"/>
        <w:rPr>
          <w:rFonts w:hAnsi="Times New Roman" w:ascii="Times New Roman"/>
          <w:i/>
          <w:szCs w:val="24"/>
          <w:lang w:val="hr-HR"/>
        </w:rPr>
      </w:pPr>
      <w:r w:rsidRPr="00AC297A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AC297A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AC297A">
      <w:pPr>
        <w:jc w:val="both"/>
        <w:rPr>
          <w:rFonts w:hAnsi="Times New Roman" w:ascii="Times New Roman"/>
          <w:i/>
          <w:szCs w:val="24"/>
          <w:lang w:val="hr-HR"/>
        </w:rPr>
      </w:pPr>
      <w:r w:rsidRPr="00AC297A">
        <w:rPr>
          <w:rFonts w:hAnsi="Times New Roman" w:ascii="Times New Roman"/>
          <w:i/>
          <w:szCs w:val="24"/>
          <w:lang w:val="hr-HR"/>
        </w:rPr>
        <w:t>Protiv ovog r</w:t>
      </w:r>
      <w:r w:rsidR="003B0C47" w:rsidRPr="00AC297A">
        <w:rPr>
          <w:rFonts w:hAnsi="Times New Roman" w:ascii="Times New Roman"/>
          <w:i/>
          <w:szCs w:val="24"/>
          <w:lang w:val="hr-HR"/>
        </w:rPr>
        <w:t xml:space="preserve">ješenja </w:t>
      </w:r>
      <w:r w:rsidRPr="00AC297A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BF6916" w:rsidRPr="00AC297A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AC297A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AC297A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AC297A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EB0E9E" w:rsidR="00EB0E9E" w:rsidRPr="00AC297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B0E9E" w:rsidP="00EB0E9E" w:rsidR="00EB0E9E" w:rsidRPr="00AC297A">
      <w:pPr>
        <w:pStyle w:val="Uvuenotijeloteksta"/>
        <w:ind w:left="0"/>
        <w:jc w:val="both"/>
      </w:pPr>
      <w:r w:rsidRPr="00AC297A">
        <w:t>Za točnost otpravka – ovlašten službenik</w:t>
      </w:r>
    </w:p>
    <w:p w:rsidRDefault="00EB0E9E" w:rsidR="00EB0E9E" w:rsidRPr="00AC297A">
      <w:pPr>
        <w:pStyle w:val="Uvuenotijeloteksta"/>
        <w:ind w:left="0"/>
        <w:jc w:val="both"/>
      </w:pPr>
      <w:r w:rsidRPr="00AC297A">
        <w:t xml:space="preserve">                   </w:t>
      </w:r>
      <w:r w:rsidR="008A08E2" w:rsidRPr="00AC297A">
        <w:t xml:space="preserve">  </w:t>
      </w:r>
      <w:r w:rsidRPr="00AC297A">
        <w:t xml:space="preserve"> Ana Brlek</w:t>
      </w:r>
    </w:p>
    <w:p w:rsidRDefault="00FD1E4E" w:rsidP="00C02F94" w:rsidR="00FD1E4E" w:rsidRPr="00AC297A">
      <w:pPr>
        <w:jc w:val="both"/>
        <w:rPr>
          <w:rFonts w:hAnsi="Times New Roman" w:ascii="Times New Roman"/>
          <w:szCs w:val="24"/>
          <w:lang w:val="hr-HR"/>
        </w:rPr>
      </w:pPr>
    </w:p>
    <w:p w:rsidRDefault="00E114B3" w:rsidP="00C02F94" w:rsidR="00E114B3" w:rsidRPr="00AC297A">
      <w:pPr>
        <w:jc w:val="both"/>
        <w:rPr>
          <w:rFonts w:hAnsi="Times New Roman" w:ascii="Times New Roman"/>
          <w:szCs w:val="24"/>
          <w:lang w:val="hr-HR"/>
        </w:rPr>
      </w:pPr>
    </w:p>
    <w:p w:rsidRDefault="00E114B3" w:rsidP="00C02F94" w:rsidR="00E114B3" w:rsidRPr="00AC297A">
      <w:pPr>
        <w:jc w:val="both"/>
        <w:rPr>
          <w:rFonts w:hAnsi="Times New Roman" w:ascii="Times New Roman"/>
          <w:szCs w:val="24"/>
          <w:lang w:val="hr-HR"/>
        </w:rPr>
      </w:pPr>
    </w:p>
    <w:p w:rsidRDefault="00E114B3" w:rsidP="00C02F94" w:rsidR="00E114B3" w:rsidRPr="00AC297A">
      <w:pPr>
        <w:jc w:val="both"/>
        <w:rPr>
          <w:rFonts w:hAnsi="Times New Roman" w:ascii="Times New Roman"/>
          <w:szCs w:val="24"/>
          <w:lang w:val="hr-HR"/>
        </w:rPr>
      </w:pPr>
    </w:p>
    <w:p w:rsidRDefault="008961D1" w:rsidP="00C02F94" w:rsidR="00C02F94" w:rsidRPr="00AC297A">
      <w:pPr>
        <w:jc w:val="both"/>
        <w:rPr>
          <w:rFonts w:hAnsi="Times New Roman" w:ascii="Times New Roman"/>
          <w:szCs w:val="24"/>
          <w:lang w:val="hr-HR"/>
        </w:rPr>
      </w:pPr>
      <w:r w:rsidRPr="00AC297A">
        <w:rPr>
          <w:rFonts w:hAnsi="Times New Roman" w:ascii="Times New Roman"/>
          <w:szCs w:val="24"/>
          <w:lang w:val="hr-HR"/>
        </w:rPr>
        <w:t>DN</w:t>
      </w:r>
      <w:r w:rsidR="00C02F94" w:rsidRPr="00AC297A">
        <w:rPr>
          <w:rFonts w:hAnsi="Times New Roman" w:ascii="Times New Roman"/>
          <w:szCs w:val="24"/>
          <w:lang w:val="hr-HR"/>
        </w:rPr>
        <w:t>a:</w:t>
      </w:r>
    </w:p>
    <w:p w:rsidRDefault="008961D1" w:rsidP="005A607E" w:rsidR="00C02F94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AC297A">
        <w:rPr>
          <w:rFonts w:hAnsi="Times New Roman" w:ascii="Times New Roman"/>
          <w:szCs w:val="24"/>
          <w:lang w:val="hr-HR"/>
        </w:rPr>
        <w:t xml:space="preserve">Stečajnom upravitelju, </w:t>
      </w:r>
      <w:r w:rsidR="00D055C0">
        <w:rPr>
          <w:rFonts w:hAnsi="Times New Roman" w:ascii="Times New Roman"/>
          <w:szCs w:val="24"/>
          <w:lang w:val="hr-HR"/>
        </w:rPr>
        <w:t>Mirjana Zuzija</w:t>
      </w:r>
      <w:r w:rsidRPr="00AC297A">
        <w:rPr>
          <w:rFonts w:hAnsi="Times New Roman" w:ascii="Times New Roman"/>
          <w:szCs w:val="24"/>
          <w:lang w:val="hr-HR"/>
        </w:rPr>
        <w:t xml:space="preserve"> </w:t>
      </w:r>
    </w:p>
    <w:p w:rsidRDefault="00CF298D" w:rsidP="005A607E" w:rsidR="00CF298D" w:rsidRPr="00AC297A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Odvjetniku koji zastupa stečajnu masu, Nikola Bartolić, Zagreb, Palmotićeva 27</w:t>
      </w:r>
    </w:p>
    <w:p w:rsidRDefault="008961D1" w:rsidP="005A607E" w:rsidR="005A607E" w:rsidRPr="00AC297A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AC297A">
        <w:rPr>
          <w:rFonts w:hAnsi="Times New Roman" w:ascii="Times New Roman"/>
          <w:szCs w:val="24"/>
          <w:lang w:val="hr-HR"/>
        </w:rPr>
        <w:t xml:space="preserve">RH, MF, </w:t>
      </w:r>
      <w:r w:rsidR="005A607E" w:rsidRPr="00AC297A">
        <w:rPr>
          <w:rFonts w:hAnsi="Times New Roman" w:ascii="Times New Roman"/>
          <w:szCs w:val="24"/>
          <w:lang w:val="hr-HR"/>
        </w:rPr>
        <w:t>Porezna uprava</w:t>
      </w:r>
    </w:p>
    <w:p w:rsidRDefault="008961D1" w:rsidP="008961D1" w:rsidR="008961D1" w:rsidRPr="00AC297A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AC297A">
        <w:rPr>
          <w:rFonts w:hAnsi="Times New Roman" w:ascii="Times New Roman"/>
          <w:szCs w:val="24"/>
          <w:lang w:val="hr-HR"/>
        </w:rPr>
        <w:t>ŽDO – Građansko upravni odjel</w:t>
      </w:r>
    </w:p>
    <w:p w:rsidRDefault="005A607E" w:rsidP="005A607E" w:rsidR="005A607E" w:rsidRPr="00AC297A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AC297A">
        <w:rPr>
          <w:rFonts w:hAnsi="Times New Roman" w:ascii="Times New Roman"/>
          <w:szCs w:val="24"/>
          <w:lang w:val="hr-HR"/>
        </w:rPr>
        <w:t>FINA</w:t>
      </w:r>
    </w:p>
    <w:p w:rsidRDefault="00D055C0" w:rsidP="005A607E" w:rsidR="00C02F94" w:rsidRPr="00AC297A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8961D1" w:rsidRPr="00AC297A">
        <w:rPr>
          <w:rFonts w:hAnsi="Times New Roman" w:ascii="Times New Roman"/>
          <w:szCs w:val="24"/>
          <w:lang w:val="hr-HR"/>
        </w:rPr>
        <w:t xml:space="preserve">e- </w:t>
      </w:r>
      <w:r w:rsidR="005A607E" w:rsidRPr="00AC297A">
        <w:rPr>
          <w:rFonts w:hAnsi="Times New Roman" w:ascii="Times New Roman"/>
          <w:szCs w:val="24"/>
          <w:lang w:val="hr-HR"/>
        </w:rPr>
        <w:t>O</w:t>
      </w:r>
      <w:r w:rsidR="00C02F94" w:rsidRPr="00AC297A">
        <w:rPr>
          <w:rFonts w:hAnsi="Times New Roman" w:ascii="Times New Roman"/>
          <w:szCs w:val="24"/>
          <w:lang w:val="hr-HR"/>
        </w:rPr>
        <w:t xml:space="preserve">glasna ploča </w:t>
      </w:r>
      <w:r>
        <w:rPr>
          <w:rFonts w:hAnsi="Times New Roman" w:ascii="Times New Roman"/>
          <w:szCs w:val="24"/>
          <w:lang w:val="hr-HR"/>
        </w:rPr>
        <w:t>Trgovačkog suda</w:t>
      </w:r>
    </w:p>
    <w:p w:rsidRDefault="00BC3F1B" w:rsidP="00BC3F1B" w:rsidR="00BC3F1B" w:rsidRPr="00AC297A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AC297A">
        <w:rPr>
          <w:rFonts w:hAnsi="Times New Roman" w:ascii="Times New Roman"/>
          <w:szCs w:val="24"/>
          <w:lang w:val="hr-HR"/>
        </w:rPr>
        <w:t xml:space="preserve">Sudski registar </w:t>
      </w:r>
      <w:r w:rsidR="008961D1" w:rsidRPr="00AC297A">
        <w:rPr>
          <w:rFonts w:hAnsi="Times New Roman" w:ascii="Times New Roman"/>
          <w:szCs w:val="24"/>
          <w:lang w:val="hr-HR"/>
        </w:rPr>
        <w:t>(</w:t>
      </w:r>
      <w:r w:rsidRPr="00AC297A">
        <w:rPr>
          <w:rFonts w:hAnsi="Times New Roman" w:ascii="Times New Roman"/>
          <w:szCs w:val="24"/>
          <w:lang w:val="hr-HR"/>
        </w:rPr>
        <w:t>po pravomoćnosti</w:t>
      </w:r>
      <w:r w:rsidR="008961D1" w:rsidRPr="00AC297A">
        <w:rPr>
          <w:rFonts w:hAnsi="Times New Roman" w:ascii="Times New Roman"/>
          <w:szCs w:val="24"/>
          <w:lang w:val="hr-HR"/>
        </w:rPr>
        <w:t>)</w:t>
      </w:r>
    </w:p>
    <w:p w:rsidRDefault="00C02F94" w:rsidP="008961D1" w:rsidR="00C02F94" w:rsidRPr="00AC297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AC297A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AC297A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AC297A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AC297A">
      <w:pPr>
        <w:jc w:val="both"/>
        <w:rPr>
          <w:rFonts w:hAnsi="Times New Roman" w:ascii="Times New Roman"/>
          <w:lang w:val="hr-HR"/>
        </w:rPr>
      </w:pPr>
      <w:r w:rsidRPr="00AC297A">
        <w:rPr>
          <w:rFonts w:hAnsi="Times New Roman" w:ascii="Times New Roman"/>
          <w:lang w:val="hr-HR"/>
        </w:rPr>
        <w:tab/>
      </w:r>
      <w:r w:rsidRPr="00AC297A">
        <w:rPr>
          <w:rFonts w:hAnsi="Times New Roman" w:ascii="Times New Roman"/>
          <w:lang w:val="hr-HR"/>
        </w:rPr>
        <w:tab/>
      </w:r>
    </w:p>
    <w:p w:rsidRDefault="00556D7B" w:rsidP="006D65A5" w:rsidR="00556D7B" w:rsidRPr="00AC297A">
      <w:pPr>
        <w:jc w:val="both"/>
        <w:rPr>
          <w:rFonts w:hAnsi="Times New Roman" w:ascii="Times New Roman"/>
          <w:szCs w:val="24"/>
          <w:lang w:val="hr-HR"/>
        </w:rPr>
      </w:pPr>
    </w:p>
    <w:p w:rsidRDefault="003808A6" w:rsidP="003808A6" w:rsidR="003808A6" w:rsidRPr="00AC297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AC297A">
      <w:pPr>
        <w:jc w:val="both"/>
        <w:rPr>
          <w:rFonts w:hAnsi="Times New Roman" w:ascii="Times New Roman"/>
          <w:szCs w:val="24"/>
          <w:lang w:val="hr-HR"/>
        </w:rPr>
      </w:pPr>
    </w:p>
    <w:p w:rsidRDefault="00FA1E2A" w:rsidP="006D65A5" w:rsidR="00FA1E2A" w:rsidRPr="00AC297A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AC297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072038">
      <w:rPr>
        <w:rStyle w:val="Brojstranice"/>
        <w:rFonts w:hAnsi="Times New Roman" w:ascii="Times New Roman"/>
        <w:noProof/>
      </w:rPr>
      <w:t>- 3 -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AA4B58" w:rsidR="00AA4B58">
    <w:pPr>
      <w:pStyle w:val="Zaglavlje"/>
      <w:jc w:val="right"/>
      <w:rPr>
        <w:rFonts w:hAnsi="Times New Roman" w:ascii="Times New Roman"/>
        <w:sz w:val="20"/>
        <w:lang w:val="hr-HR"/>
      </w:rPr>
    </w:pPr>
    <w:r>
      <w:tab/>
    </w:r>
    <w:r>
      <w:tab/>
    </w:r>
    <w:r w:rsidR="00AA4B58"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AA4B58" w:rsidRPr="00C5568E">
      <w:rPr>
        <w:rFonts w:hAnsi="Times New Roman" w:ascii="Times New Roman"/>
        <w:szCs w:val="24"/>
        <w:lang w:val="hr-HR"/>
      </w:rPr>
      <w:t>St-</w:t>
    </w:r>
    <w:r w:rsidR="00FC36C9">
      <w:rPr>
        <w:rFonts w:hAnsi="Times New Roman" w:ascii="Times New Roman"/>
        <w:szCs w:val="24"/>
        <w:lang w:val="hr-HR"/>
      </w:rPr>
      <w:t>255</w:t>
    </w:r>
    <w:r w:rsidR="00AA4B58" w:rsidRPr="00C5568E">
      <w:rPr>
        <w:rFonts w:hAnsi="Times New Roman" w:ascii="Times New Roman"/>
        <w:szCs w:val="24"/>
        <w:lang w:val="hr-HR"/>
      </w:rPr>
      <w:t>/</w:t>
    </w:r>
    <w:r w:rsidR="00FC36C9">
      <w:rPr>
        <w:rFonts w:hAnsi="Times New Roman" w:ascii="Times New Roman"/>
        <w:szCs w:val="24"/>
        <w:lang w:val="hr-HR"/>
      </w:rPr>
      <w:t>12</w:t>
    </w:r>
    <w:r w:rsidR="00AA4B58">
      <w:rPr>
        <w:rFonts w:hAnsi="Times New Roman" w:ascii="Times New Roman"/>
        <w:szCs w:val="24"/>
        <w:lang w:val="hr-HR"/>
      </w:rPr>
      <w:t>-</w:t>
    </w:r>
    <w:r w:rsidR="00FC36C9">
      <w:rPr>
        <w:rFonts w:hAnsi="Times New Roman" w:ascii="Times New Roman"/>
        <w:sz w:val="20"/>
        <w:lang w:val="hr-HR"/>
      </w:rPr>
      <w:t>60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1D1" w:rsidP="006D1705" w:rsidR="008961D1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8961D1" w:rsidP="006D1705" w:rsidR="008961D1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2F6570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FC36C9">
      <w:rPr>
        <w:rFonts w:hAnsi="Times New Roman" w:ascii="Times New Roman"/>
        <w:szCs w:val="24"/>
        <w:lang w:val="hr-HR"/>
      </w:rPr>
      <w:t>255</w:t>
    </w:r>
    <w:r w:rsidR="001C4809" w:rsidRPr="00C5568E">
      <w:rPr>
        <w:rFonts w:hAnsi="Times New Roman" w:ascii="Times New Roman"/>
        <w:szCs w:val="24"/>
        <w:lang w:val="hr-HR"/>
      </w:rPr>
      <w:t>/</w:t>
    </w:r>
    <w:r w:rsidR="00FC36C9">
      <w:rPr>
        <w:rFonts w:hAnsi="Times New Roman" w:ascii="Times New Roman"/>
        <w:szCs w:val="24"/>
        <w:lang w:val="hr-HR"/>
      </w:rPr>
      <w:t>12</w:t>
    </w:r>
    <w:r w:rsidR="0059160F">
      <w:rPr>
        <w:rFonts w:hAnsi="Times New Roman" w:ascii="Times New Roman"/>
        <w:szCs w:val="24"/>
        <w:lang w:val="hr-HR"/>
      </w:rPr>
      <w:t>-</w:t>
    </w:r>
    <w:r w:rsidR="00FC36C9">
      <w:rPr>
        <w:rFonts w:hAnsi="Times New Roman" w:ascii="Times New Roman"/>
        <w:sz w:val="20"/>
        <w:lang w:val="hr-HR"/>
      </w:rPr>
      <w:t>60</w:t>
    </w:r>
  </w:p>
  <w:p w:rsidRDefault="008961D1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8961D1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661BF" w:rsidP="008961D1" w:rsidR="002661BF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961D1" w:rsidP="008961D1" w:rsidR="008961D1">
    <w:pPr>
      <w:pStyle w:val="Zaglavlje"/>
      <w:jc w:val="right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0C42FE" w:rsidR="002661B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661BF" w:rsidP="000C42FE" w:rsidR="002661B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FC36C9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05107C"/>
    <w:multiLevelType w:val="hybridMultilevel"/>
    <w:tmpl w:val="1446466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E83678F"/>
    <w:multiLevelType w:val="hybridMultilevel"/>
    <w:tmpl w:val="4E660A06"/>
    <w:lvl w:tplc="C0A2AD7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9"/>
  </w:num>
  <w:num w:numId="8">
    <w:abstractNumId w:val="8"/>
  </w:num>
  <w:num w:numId="9">
    <w:abstractNumId w:val="1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17C42"/>
    <w:rsid w:val="00027D85"/>
    <w:rsid w:val="00041D02"/>
    <w:rsid w:val="00046739"/>
    <w:rsid w:val="00053CC7"/>
    <w:rsid w:val="00056BC5"/>
    <w:rsid w:val="00061947"/>
    <w:rsid w:val="00062CA4"/>
    <w:rsid w:val="00072038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96386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A57"/>
    <w:rsid w:val="00260F1E"/>
    <w:rsid w:val="00264195"/>
    <w:rsid w:val="002661BF"/>
    <w:rsid w:val="00271AC7"/>
    <w:rsid w:val="00272EEC"/>
    <w:rsid w:val="002907A7"/>
    <w:rsid w:val="002A17F9"/>
    <w:rsid w:val="002C38A4"/>
    <w:rsid w:val="002C5733"/>
    <w:rsid w:val="002F6570"/>
    <w:rsid w:val="00303E20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962"/>
    <w:rsid w:val="003C2D81"/>
    <w:rsid w:val="003C748F"/>
    <w:rsid w:val="003D3ECB"/>
    <w:rsid w:val="003E6DA6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929A4"/>
    <w:rsid w:val="007B2B95"/>
    <w:rsid w:val="007C3ED9"/>
    <w:rsid w:val="00821981"/>
    <w:rsid w:val="00844913"/>
    <w:rsid w:val="008452C5"/>
    <w:rsid w:val="00856C96"/>
    <w:rsid w:val="008651B0"/>
    <w:rsid w:val="00875B63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3B20"/>
    <w:rsid w:val="00914566"/>
    <w:rsid w:val="00932DAC"/>
    <w:rsid w:val="009616A4"/>
    <w:rsid w:val="009920D2"/>
    <w:rsid w:val="00997881"/>
    <w:rsid w:val="009A706B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76960"/>
    <w:rsid w:val="00A90FF6"/>
    <w:rsid w:val="00A93F63"/>
    <w:rsid w:val="00AA0625"/>
    <w:rsid w:val="00AA4B58"/>
    <w:rsid w:val="00AB07FA"/>
    <w:rsid w:val="00AB393D"/>
    <w:rsid w:val="00AC107C"/>
    <w:rsid w:val="00AC297A"/>
    <w:rsid w:val="00AC64F9"/>
    <w:rsid w:val="00AE0803"/>
    <w:rsid w:val="00AE0D0E"/>
    <w:rsid w:val="00AE5A3F"/>
    <w:rsid w:val="00B15A30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52534"/>
    <w:rsid w:val="00C5568E"/>
    <w:rsid w:val="00C56A98"/>
    <w:rsid w:val="00CC003A"/>
    <w:rsid w:val="00CC2731"/>
    <w:rsid w:val="00CF298D"/>
    <w:rsid w:val="00D021A3"/>
    <w:rsid w:val="00D04BE8"/>
    <w:rsid w:val="00D055C0"/>
    <w:rsid w:val="00D0717F"/>
    <w:rsid w:val="00D07373"/>
    <w:rsid w:val="00D11FD4"/>
    <w:rsid w:val="00D21DB0"/>
    <w:rsid w:val="00D24440"/>
    <w:rsid w:val="00D270D7"/>
    <w:rsid w:val="00D33487"/>
    <w:rsid w:val="00D765C2"/>
    <w:rsid w:val="00D77AAF"/>
    <w:rsid w:val="00DB3730"/>
    <w:rsid w:val="00DB592E"/>
    <w:rsid w:val="00DE51CA"/>
    <w:rsid w:val="00DF250F"/>
    <w:rsid w:val="00E114B3"/>
    <w:rsid w:val="00E179FC"/>
    <w:rsid w:val="00E272A3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33943"/>
    <w:rsid w:val="00F37DC7"/>
    <w:rsid w:val="00F438F8"/>
    <w:rsid w:val="00F468F5"/>
    <w:rsid w:val="00F51047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36C9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E6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D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D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D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D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E6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D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D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D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D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St-255/2012-60</izvorni_sadrzaj>
    <derivirana_varijabla naziv="DomainObject.Oznaka_1">St-255/2012-60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2012.</izvorni_sadrzaj>
    <derivirana_varijabla naziv="DomainObject.Predmet.DatumOsnivanja_1">22.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2005-08-26 PREDMET spis + podnesak u ref. sudske savjetnice Orešković,aa 01.09.2005. IN2 napomene: 2005-09-05 PREDMET spis + podnesak na uvid u ref. sudske savjetnice Orešković,aa 19.09.2005. IN2 napomene: 2006-04-07 PREDMET spis na uvid u Predsjedništvo, rješenjem od 10.04.2006. spis presigniran iz ref. suca Šivaka u ref. sutkinje Siladi-Rstić IN2 napomene: 2009-09-01 PREDMET podnesak (OGS Zagreb) od 27.08.2009. Povijest stečajnih upravitelja: 30.03.2005.- VESNA BAJIĆ;</izvorni_sadrzaj>
    <derivirana_varijabla naziv="DomainObject.Predmet.Opis_1">MIGRIRANO IZ IN2 IN2 napomene: 2005-08-26 PREDMET spis + podnesak u ref. sudske savjetnice Orešković,aa 01.09.2005. IN2 napomene: 2005-09-05 PREDMET spis + podnesak na uvid u ref. sudske savjetnice Orešković,aa 19.09.2005. IN2 napomene: 2006-04-07 PREDMET spis na uvid u Predsjedništvo, rješenjem od 10.04.2006. spis presigniran iz ref. suca Šivaka u ref. sutkinje Siladi-Rstić IN2 napomene: 2009-09-01 PREDMET podnesak (OGS Zagreb) od 27.08.2009. Povijest stečajnih upravitelja: 30.03.2005.- VESNA BAJIĆ;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St-255/2012</izvorni_sadrzaj>
    <derivirana_varijabla naziv="DomainObject.Predmet.OznakaBroj_1">St-255/2012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U.T.T. Europa 92, d.o.o. za ugostiteljstvo, turizam, unutarnju i vanjsku trgovinu</izvorni_sadrzaj>
    <derivirana_varijabla naziv="DomainObject.Predmet.ProtustrankaFormated_1">  U.T.T. Europa 92, d.o.o. za ugostiteljstvo, turizam, unutarnju i vanjsku trgovinu</derivirana_varijabla>
  </DomainObject.Predmet.ProtustrankaFormated>
  <DomainObject.Predmet.ProtustrankaFormatedOIB>
    <izvorni_sadrzaj>  U.T.T. Europa 92, d.o.o. za ugostiteljstvo, turizam, unutarnju i vanjsku trgovinu</izvorni_sadrzaj>
    <derivirana_varijabla naziv="DomainObject.Predmet.ProtustrankaFormatedOIB_1">  U.T.T. Europa 92, d.o.o. za ugostiteljstvo, turizam, unutarnju i vanjsku trgovinu</derivirana_varijabla>
  </DomainObject.Predmet.ProtustrankaFormatedOIB>
  <DomainObject.Predmet.ProtustrankaFormatedWithAdress>
    <izvorni_sadrzaj> U.T.T. Europa 92, d.o.o. za ugostiteljstvo, turizam, unutarnju i vanjsku trgovinu, Črnomerec 77, 10000 Zagreb</izvorni_sadrzaj>
    <derivirana_varijabla naziv="DomainObject.Predmet.ProtustrankaFormatedWithAdress_1"> U.T.T. Europa 92, d.o.o. za ugostiteljstvo, turizam, unutarnju i vanjsku trgovinu, Črnomerec 77, 10000 Zagreb</derivirana_varijabla>
  </DomainObject.Predmet.ProtustrankaFormatedWithAdress>
  <DomainObject.Predmet.ProtustrankaFormatedWithAdressOIB>
    <izvorni_sadrzaj> U.T.T. Europa 92, d.o.o. za ugostiteljstvo, turizam, unutarnju i vanjsku trgovinu, Črnomerec 77, 10000 Zagreb</izvorni_sadrzaj>
    <derivirana_varijabla naziv="DomainObject.Predmet.ProtustrankaFormatedWithAdressOIB_1"> U.T.T. Europa 92, d.o.o. za ugostiteljstvo, turizam, unutarnju i vanjsku trgovinu, Črnomerec 77, 10000 Zagreb</derivirana_varijabla>
  </DomainObject.Predmet.ProtustrankaFormatedWithAdressOIB>
  <DomainObject.Predmet.ProtustrankaWithAdress>
    <izvorni_sadrzaj>U.T.T. Europa 92, d.o.o. za ugostiteljstvo, turizam, unutarnju i vanjsku trgovinu Črnomerec 77, 10000 Zagreb</izvorni_sadrzaj>
    <derivirana_varijabla naziv="DomainObject.Predmet.ProtustrankaWithAdress_1">U.T.T. Europa 92, d.o.o. za ugostiteljstvo, turizam, unutarnju i vanjsku trgovinu Črnomerec 77, 10000 Zagreb</derivirana_varijabla>
  </DomainObject.Predmet.ProtustrankaWithAdress>
  <DomainObject.Predmet.ProtustrankaWithAdressOIB>
    <izvorni_sadrzaj>U.T.T. Europa 92, d.o.o. za ugostiteljstvo, turizam, unutarnju i vanjsku trgovinu, Črnomerec 77, 10000 Zagreb</izvorni_sadrzaj>
    <derivirana_varijabla naziv="DomainObject.Predmet.ProtustrankaWithAdressOIB_1">U.T.T. Europa 92, d.o.o. za ugostiteljstvo, turizam, unutarnju i vanjsku trgovinu, Črnomerec 77, 10000 Zagreb</derivirana_varijabla>
  </DomainObject.Predmet.ProtustrankaWithAdressOIB>
  <DomainObject.Predmet.ProtustrankaNazivFormated>
    <izvorni_sadrzaj>U.T.T. Europa 92, d.o.o. za ugostiteljstvo, turizam, unutarnju i vanjsku trgovinu</izvorni_sadrzaj>
    <derivirana_varijabla naziv="DomainObject.Predmet.ProtustrankaNazivFormated_1">U.T.T. Europa 92, d.o.o. za ugostiteljstvo, turizam, unutarnju i vanjsku trgovinu</derivirana_varijabla>
  </DomainObject.Predmet.ProtustrankaNazivFormated>
  <DomainObject.Predmet.ProtustrankaNazivFormatedOIB>
    <izvorni_sadrzaj>U.T.T. Europa 92, d.o.o. za ugostiteljstvo, turizam, unutarnju i vanjsku trgovinu</izvorni_sadrzaj>
    <derivirana_varijabla naziv="DomainObject.Predmet.ProtustrankaNazivFormatedOIB_1">U.T.T. Europa 92, d.o.o. za ugostiteljstvo, turizam, unutarnju i vanjsku trgovinu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RH,MF, Porezna uprava - Zagreb; Vjerovnici</izvorni_sadrzaj>
    <derivirana_varijabla naziv="DomainObject.Predmet.StrankaFormated_1">  RH,MF, Porezna uprava - Zagreb; Vjerovnici</derivirana_varijabla>
  </DomainObject.Predmet.StrankaFormated>
  <DomainObject.Predmet.StrankaFormatedOIB>
    <izvorni_sadrzaj>  RH,MF, Porezna uprava - Zagreb; Vjerovnici</izvorni_sadrzaj>
    <derivirana_varijabla naziv="DomainObject.Predmet.StrankaFormatedOIB_1">  RH,MF, Porezna uprava - Zagreb; Vjerovnici</derivirana_varijabla>
  </DomainObject.Predmet.StrankaFormatedOIB>
  <DomainObject.Predmet.StrankaFormatedWithAdress>
    <izvorni_sadrzaj> RH,MF, Porezna uprava - Zagreb; Vjerovnici</izvorni_sadrzaj>
    <derivirana_varijabla naziv="DomainObject.Predmet.StrankaFormatedWithAdress_1"> RH,MF, Porezna uprava - Zagreb; Vjerovnici</derivirana_varijabla>
  </DomainObject.Predmet.StrankaFormatedWithAdress>
  <DomainObject.Predmet.StrankaFormatedWithAdressOIB>
    <izvorni_sadrzaj> RH,MF, Porezna uprava - Zagreb; Vjerovnici</izvorni_sadrzaj>
    <derivirana_varijabla naziv="DomainObject.Predmet.StrankaFormatedWithAdressOIB_1"> RH,MF, Porezna uprava - Zagreb; Vjerovnici</derivirana_varijabla>
  </DomainObject.Predmet.StrankaFormatedWithAdressOIB>
  <DomainObject.Predmet.StrankaWithAdress>
    <izvorni_sadrzaj>RH,MF, Porezna uprava - Zagreb ,Vjerovnici </izvorni_sadrzaj>
    <derivirana_varijabla naziv="DomainObject.Predmet.StrankaWithAdress_1">RH,MF, Porezna uprava - Zagreb ,Vjerovnici </derivirana_varijabla>
  </DomainObject.Predmet.StrankaWithAdress>
  <DomainObject.Predmet.StrankaWithAdressOIB>
    <izvorni_sadrzaj>RH,MF, Porezna uprava - Zagreb,Vjerovnici</izvorni_sadrzaj>
    <derivirana_varijabla naziv="DomainObject.Predmet.StrankaWithAdressOIB_1">RH,MF, Porezna uprava - Zagreb,Vjerovnici</derivirana_varijabla>
  </DomainObject.Predmet.StrankaWithAdressOIB>
  <DomainObject.Predmet.StrankaNazivFormated>
    <izvorni_sadrzaj>RH,MF, Porezna uprava - Zagreb,Vjerovnici</izvorni_sadrzaj>
    <derivirana_varijabla naziv="DomainObject.Predmet.StrankaNazivFormated_1">RH,MF, Porezna uprava - Zagreb,Vjerovnici</derivirana_varijabla>
  </DomainObject.Predmet.StrankaNazivFormated>
  <DomainObject.Predmet.StrankaNazivFormatedOIB>
    <izvorni_sadrzaj>RH,MF, Porezna uprava - Zagreb,Vjerovnici</izvorni_sadrzaj>
    <derivirana_varijabla naziv="DomainObject.Predmet.StrankaNazivFormatedOIB_1">RH,MF, Porezna uprava -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RH,MF, Porezna uprava - Zagreb</item>
      <item>Vjerovnici</item>
    </izvorni_sadrzaj>
    <derivirana_varijabla naziv="DomainObject.Predmet.StrankaListFormated_1">
      <item>RH,MF, Porezna uprava - Zagreb</item>
      <item>Vjerovnici</item>
    </derivirana_varijabla>
  </DomainObject.Predmet.StrankaListFormated>
  <DomainObject.Predmet.StrankaListFormatedOIB>
    <izvorni_sadrzaj>
      <item>RH,MF, Porezna uprava - Zagreb</item>
      <item>Vjerovnici</item>
    </izvorni_sadrzaj>
    <derivirana_varijabla naziv="DomainObject.Predmet.StrankaListFormatedOIB_1">
      <item>RH,MF, Porezna uprava - Zagreb</item>
      <item>Vjerovnici</item>
    </derivirana_varijabla>
  </DomainObject.Predmet.StrankaListFormatedOIB>
  <DomainObject.Predmet.StrankaListFormatedWithAdress>
    <izvorni_sadrzaj>
      <item>RH,MF, Porezna uprava - Zagreb</item>
      <item>Vjerovnici</item>
    </izvorni_sadrzaj>
    <derivirana_varijabla naziv="DomainObject.Predmet.StrankaListFormatedWithAdress_1">
      <item>RH,MF, Porezna uprava - Zagreb</item>
      <item>Vjerovnici</item>
    </derivirana_varijabla>
  </DomainObject.Predmet.StrankaListFormatedWithAdress>
  <DomainObject.Predmet.StrankaListFormatedWithAdressOIB>
    <izvorni_sadrzaj>
      <item>RH,MF, Porezna uprava - Zagreb</item>
      <item>Vjerovnici</item>
    </izvorni_sadrzaj>
    <derivirana_varijabla naziv="DomainObject.Predmet.StrankaListFormatedWithAdressOIB_1">
      <item>RH,MF, Porezna uprava - Zagreb</item>
      <item>Vjerovnici</item>
    </derivirana_varijabla>
  </DomainObject.Predmet.StrankaListFormatedWithAdressOIB>
  <DomainObject.Predmet.StrankaListNazivFormated>
    <izvorni_sadrzaj>
      <item>RH,MF, Porezna uprava - Zagreb</item>
      <item>Vjerovnici</item>
    </izvorni_sadrzaj>
    <derivirana_varijabla naziv="DomainObject.Predmet.StrankaListNazivFormated_1">
      <item>RH,MF, Porezna uprava - Zagreb</item>
      <item>Vjerovnici</item>
    </derivirana_varijabla>
  </DomainObject.Predmet.StrankaListNazivFormated>
  <DomainObject.Predmet.StrankaListNazivFormatedOIB>
    <izvorni_sadrzaj>
      <item>RH,MF, Porezna uprava - Zagreb</item>
      <item>Vjerovnici</item>
    </izvorni_sadrzaj>
    <derivirana_varijabla naziv="DomainObject.Predmet.StrankaListNazivFormatedOIB_1">
      <item>RH,MF, Porezna uprava - Zagreb</item>
      <item>Vjerovnici</item>
    </derivirana_varijabla>
  </DomainObject.Predmet.StrankaListNazivFormatedOIB>
  <DomainObject.Predmet.ProtuStrankaListFormated>
    <izvorni_sadrzaj>
      <item>U.T.T. Europa 92, d.o.o. za ugostiteljstvo, turizam, unutarnju i vanjsku trgovinu</item>
    </izvorni_sadrzaj>
    <derivirana_varijabla naziv="DomainObject.Predmet.ProtuStrankaListFormated_1">
      <item>U.T.T. Europa 92, d.o.o. za ugostiteljstvo, turizam, unutarnju i vanjsku trgovinu</item>
    </derivirana_varijabla>
  </DomainObject.Predmet.ProtuStrankaListFormated>
  <DomainObject.Predmet.ProtuStrankaListFormatedOIB>
    <izvorni_sadrzaj>
      <item>U.T.T. Europa 92, d.o.o. za ugostiteljstvo, turizam, unutarnju i vanjsku trgovinu</item>
    </izvorni_sadrzaj>
    <derivirana_varijabla naziv="DomainObject.Predmet.ProtuStrankaListFormatedOIB_1">
      <item>U.T.T. Europa 92, d.o.o. za ugostiteljstvo, turizam, unutarnju i vanjsku trgovinu</item>
    </derivirana_varijabla>
  </DomainObject.Predmet.ProtuStrankaListFormatedOIB>
  <DomainObject.Predmet.ProtuStrankaListFormatedWithAdress>
    <izvorni_sadrzaj>
      <item>U.T.T. Europa 92, d.o.o. za ugostiteljstvo, turizam, unutarnju i vanjsku trgovinu, Črnomerec 77, 10000 Zagreb</item>
    </izvorni_sadrzaj>
    <derivirana_varijabla naziv="DomainObject.Predmet.ProtuStrankaListFormatedWithAdress_1">
      <item>U.T.T. Europa 92, d.o.o. za ugostiteljstvo, turizam, unutarnju i vanjsku trgovinu, Črnomerec 77, 10000 Zagreb</item>
    </derivirana_varijabla>
  </DomainObject.Predmet.ProtuStrankaListFormatedWithAdress>
  <DomainObject.Predmet.ProtuStrankaListFormatedWithAdressOIB>
    <izvorni_sadrzaj>
      <item>U.T.T. Europa 92, d.o.o. za ugostiteljstvo, turizam, unutarnju i vanjsku trgovinu, Črnomerec 77, 10000 Zagreb</item>
    </izvorni_sadrzaj>
    <derivirana_varijabla naziv="DomainObject.Predmet.ProtuStrankaListFormatedWithAdressOIB_1">
      <item>U.T.T. Europa 92, d.o.o. za ugostiteljstvo, turizam, unutarnju i vanjsku trgovinu, Črnomerec 77, 10000 Zagreb</item>
    </derivirana_varijabla>
  </DomainObject.Predmet.ProtuStrankaListFormatedWithAdressOIB>
  <DomainObject.Predmet.ProtuStrankaListNazivFormated>
    <izvorni_sadrzaj>
      <item>U.T.T. Europa 92, d.o.o. za ugostiteljstvo, turizam, unutarnju i vanjsku trgovinu</item>
    </izvorni_sadrzaj>
    <derivirana_varijabla naziv="DomainObject.Predmet.ProtuStrankaListNazivFormated_1">
      <item>U.T.T. Europa 92, d.o.o. za ugostiteljstvo, turizam, unutarnju i vanjsku trgovinu</item>
    </derivirana_varijabla>
  </DomainObject.Predmet.ProtuStrankaListNazivFormated>
  <DomainObject.Predmet.ProtuStrankaListNazivFormatedOIB>
    <izvorni_sadrzaj>
      <item>U.T.T. Europa 92, d.o.o. za ugostiteljstvo, turizam, unutarnju i vanjsku trgovinu</item>
    </izvorni_sadrzaj>
    <derivirana_varijabla naziv="DomainObject.Predmet.ProtuStrankaListNazivFormatedOIB_1">
      <item>U.T.T. Europa 92, d.o.o. za ugostiteljstvo, turizam, unutarnju i vanjsku trgovinu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St-255/2012-60</izvorni_sadrzaj>
    <derivirana_varijabla naziv="DomainObject.PoslovniBrojDokumenta_1">St-255/2012-60</derivirana_varijabla>
  </DomainObject.PoslovniBrojDokumenta>
  <DomainObject.Predmet.StrankaIDrugi>
    <izvorni_sadrzaj>RH,MF, Porezna uprava - Zagreb i dr.</izvorni_sadrzaj>
    <derivirana_varijabla naziv="DomainObject.Predmet.StrankaIDrugi_1">RH,MF, Porezna uprava - Zagreb i dr.</derivirana_varijabla>
  </DomainObject.Predmet.StrankaIDrugi>
  <DomainObject.Predmet.ProtustrankaIDrugi>
    <izvorni_sadrzaj>U.T.T. Europa 92, d.o.o. za ugostiteljstvo, turizam, unutarnju i vanjsku trgovinu</izvorni_sadrzaj>
    <derivirana_varijabla naziv="DomainObject.Predmet.ProtustrankaIDrugi_1">U.T.T. Europa 92, d.o.o. za ugostiteljstvo, turizam, unutarnju i vanjsku trgovinu</derivirana_varijabla>
  </DomainObject.Predmet.ProtustrankaIDrugi>
  <DomainObject.Predmet.StrankaIDrugiAdressOIB>
    <izvorni_sadrzaj>RH,MF, Porezna uprava - Zagreb i dr.</izvorni_sadrzaj>
    <derivirana_varijabla naziv="DomainObject.Predmet.StrankaIDrugiAdressOIB_1">RH,MF, Porezna uprava - Zagreb i dr.</derivirana_varijabla>
  </DomainObject.Predmet.StrankaIDrugiAdressOIB>
  <DomainObject.Predmet.ProtustrankaIDrugiAdressOIB>
    <izvorni_sadrzaj>U.T.T. Europa 92, d.o.o. za ugostiteljstvo, turizam, unutarnju i vanjsku trgovinu, Črnomerec 77, 10000 Zagreb</izvorni_sadrzaj>
    <derivirana_varijabla naziv="DomainObject.Predmet.ProtustrankaIDrugiAdressOIB_1">U.T.T. Europa 92, d.o.o. za ugostiteljstvo, turizam, unutarnju i vanjsku trgovinu, Črnomerec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U.T.T. Europa 92, d.o.o. za ugostiteljstvo, turizam, unutarnju i vanjsku trgovinu</item>
      <item>RH,MF, Porezna uprava - Zagreb</item>
      <item>Vjerovnici</item>
      <item>Mirjana Zuzija</item>
    </izvorni_sadrzaj>
    <derivirana_varijabla naziv="DomainObject.Predmet.SudioniciListNaziv_1">
      <item>U.T.T. Europa 92, d.o.o. za ugostiteljstvo, turizam, unutarnju i vanjsku trgovinu</item>
      <item>RH,MF, Porezna uprava - Zagreb</item>
      <item>Vjerovnici</item>
      <item>Mirjana Zuzija</item>
    </derivirana_varijabla>
  </DomainObject.Predmet.SudioniciListNaziv>
  <DomainObject.Predmet.SudioniciListAdressOIB>
    <izvorni_sadrzaj>
      <item>U.T.T. Europa 92, d.o.o. za ugostiteljstvo, turizam, unutarnju i vanjsku trgovinu, Črnomerec 77,10000 Zagreb</item>
      <item>RH,MF, Porezna uprava - Zagreb</item>
      <item>Vjerovnici</item>
      <item>Mirjana Zuzija, OIB 26497768352, Slavka Kolara 25,10410 Velika Gorica</item>
    </izvorni_sadrzaj>
    <derivirana_varijabla naziv="DomainObject.Predmet.SudioniciListAdressOIB_1">
      <item>U.T.T. Europa 92, d.o.o. za ugostiteljstvo, turizam, unutarnju i vanjsku trgovinu, Črnomerec 77,10000 Zagreb</item>
      <item>RH,MF, Porezna uprava - Zagreb</item>
      <item>Vjerovnici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26497768352</item>
    </izvorni_sadrzaj>
    <derivirana_varijabla naziv="DomainObject.Predmet.SudioniciListNazivOIB_1">
      <item>, OIB null</item>
      <item>, OIB null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3</properties:Pages>
  <properties:Words>872</properties:Words>
  <properties:Characters>4793</properties:Characters>
  <properties:Lines>119</properties:Lines>
  <properties:Paragraphs>37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2016-03-31T12:27:00Z</dcterms:created>
  <dc:creator>Sudsko vijeće</dc:creator>
  <cp:lastModifiedBy>Ana Brlek</cp:lastModifiedBy>
  <cp:lastPrinted>2016-04-19T13:17:00Z</cp:lastPrinted>
  <dcterms:modified xmlns:xsi="http://www.w3.org/2001/XMLSchema-instance" xsi:type="dcterms:W3CDTF">2016-04-19T13:17:00Z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St-255/2012-60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