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ff5b" w14:paraId="e6eff5b" w:rsidRDefault="00B0201B" w:rsidR="00AB53EB">
      <w:pPr>
        <w:jc w:val="center"/>
        <w15:collapsed w:val="false"/>
        <w:rPr>
          <w:b/>
          <w:color w:themeTint="D9" w:themeColor="text1" w:val="262626"/>
          <w:sz w:val="24"/>
          <w:szCs w:val="24"/>
        </w:rPr>
      </w:pPr>
      <w:bookmarkStart w:name="_GoBack" w:id="0"/>
      <w:bookmarkEnd w:id="0"/>
      <w:r>
        <w:rPr>
          <w:b/>
          <w:color w:themeTint="D9" w:themeColor="text1" w:val="262626"/>
          <w:sz w:val="24"/>
          <w:szCs w:val="24"/>
        </w:rPr>
        <w:t>Dužni pojedinac</w:t>
      </w:r>
    </w:p>
    <w:p w:rsidRDefault="00B0201B" w:rsidR="00B0201B">
      <w:pPr>
        <w:jc w:val="center"/>
      </w:pPr>
      <w:r>
        <w:rPr>
          <w:b/>
          <w:color w:themeTint="D9" w:themeColor="text1" w:val="262626"/>
          <w:sz w:val="24"/>
          <w:szCs w:val="24"/>
        </w:rPr>
        <w:t>MELITA MLIKOTA, v</w:t>
      </w:r>
      <w:r w:rsidR="00DB16A4">
        <w:rPr>
          <w:b/>
          <w:color w:themeTint="D9" w:themeColor="text1" w:val="262626"/>
          <w:sz w:val="24"/>
          <w:szCs w:val="24"/>
        </w:rPr>
        <w:t>l</w:t>
      </w:r>
      <w:r w:rsidR="004228AA">
        <w:rPr>
          <w:b/>
          <w:color w:themeTint="D9" w:themeColor="text1" w:val="262626"/>
          <w:sz w:val="24"/>
          <w:szCs w:val="24"/>
        </w:rPr>
        <w:t>-+</w:t>
      </w:r>
      <w:r>
        <w:rPr>
          <w:b/>
          <w:color w:themeTint="D9" w:themeColor="text1" w:val="262626"/>
          <w:sz w:val="24"/>
          <w:szCs w:val="24"/>
        </w:rPr>
        <w:t>. obrta Diva Frizer</w:t>
      </w:r>
    </w:p>
    <w:p w:rsidRDefault="00B0201B" w:rsidR="00AB53EB">
      <w:pPr>
        <w:jc w:val="center"/>
      </w:pPr>
      <w:r>
        <w:rPr>
          <w:b/>
          <w:color w:themeTint="D9" w:themeColor="text1" w:val="262626"/>
          <w:sz w:val="24"/>
          <w:szCs w:val="24"/>
        </w:rPr>
        <w:t>Matije Divkovića 19a – 10 000 Zagreb</w:t>
      </w:r>
    </w:p>
    <w:p w:rsidRDefault="00B0201B" w:rsidR="00AB53EB">
      <w:pPr>
        <w:jc w:val="center"/>
      </w:pPr>
      <w:r>
        <w:rPr>
          <w:b/>
          <w:color w:themeTint="D9" w:themeColor="text1" w:val="262626"/>
          <w:sz w:val="24"/>
          <w:szCs w:val="24"/>
        </w:rPr>
        <w:t>OIB: 90524560838</w:t>
      </w:r>
    </w:p>
    <w:p w:rsidRDefault="00B0201B" w:rsidR="00AB53EB">
      <w:pPr>
        <w:jc w:val="center"/>
        <w:rPr>
          <w:b/>
          <w:color w:themeTint="D9" w:themeColor="text1" w:val="262626"/>
          <w:sz w:val="24"/>
          <w:szCs w:val="24"/>
        </w:rPr>
      </w:pPr>
      <w:r>
        <w:rPr>
          <w:b/>
          <w:color w:themeTint="D9" w:themeColor="text1" w:val="262626"/>
          <w:sz w:val="24"/>
          <w:szCs w:val="24"/>
        </w:rPr>
        <w:t>STEČAJNA UPRAVITELJICA</w:t>
      </w:r>
    </w:p>
    <w:p w:rsidRDefault="00B0201B" w:rsidR="00AB53EB">
      <w:pPr>
        <w:jc w:val="center"/>
        <w:rPr>
          <w:b/>
          <w:color w:themeTint="D9" w:themeColor="text1" w:val="262626"/>
          <w:sz w:val="24"/>
          <w:szCs w:val="24"/>
        </w:rPr>
      </w:pPr>
      <w:r>
        <w:rPr>
          <w:b/>
          <w:color w:themeTint="D9" w:themeColor="text1" w:val="262626"/>
          <w:sz w:val="24"/>
          <w:szCs w:val="24"/>
        </w:rPr>
        <w:t>ANA VIČEVIĆ GRAČANIN, odvjetnica iz Čavli</w:t>
      </w:r>
    </w:p>
    <w:p w:rsidRDefault="00B0201B" w:rsidR="00AB53EB">
      <w:pPr>
        <w:jc w:val="center"/>
      </w:pPr>
      <w:r>
        <w:rPr>
          <w:b/>
          <w:color w:themeTint="D9" w:themeColor="text1" w:val="262626"/>
          <w:sz w:val="24"/>
          <w:szCs w:val="24"/>
        </w:rPr>
        <w:t>ŠUŠNJEVAC 3 – 51 219 ČAVLE</w:t>
      </w:r>
    </w:p>
    <w:p w:rsidRDefault="00B0201B" w:rsidR="00AB53EB">
      <w:pPr>
        <w:jc w:val="center"/>
        <w:rPr>
          <w:b/>
          <w:color w:themeTint="D9" w:themeColor="text1" w:val="262626"/>
          <w:sz w:val="24"/>
          <w:szCs w:val="24"/>
        </w:rPr>
      </w:pPr>
      <w:r>
        <w:rPr>
          <w:b/>
          <w:color w:themeTint="D9" w:themeColor="text1" w:val="262626"/>
          <w:sz w:val="24"/>
          <w:szCs w:val="24"/>
        </w:rPr>
        <w:t>___________________________________________________________________________</w:t>
      </w:r>
    </w:p>
    <w:p w:rsidRDefault="00B0201B" w:rsidR="00AB53EB">
      <w:pPr>
        <w:jc w:val="both"/>
      </w:pPr>
      <w:r>
        <w:rPr>
          <w:color w:themeTint="D9" w:themeColor="text1" w:val="262626"/>
        </w:rPr>
        <w:t>Čavle, studeni 2017. godine</w:t>
      </w:r>
    </w:p>
    <w:p w:rsidRDefault="00AB53EB" w:rsidR="00AB53EB">
      <w:pPr>
        <w:jc w:val="right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right"/>
      </w:pPr>
      <w:r>
        <w:rPr>
          <w:color w:themeTint="D9" w:themeColor="text1" w:val="262626"/>
        </w:rPr>
        <w:t>TRGOVAČKI SUD U ZAGREBU</w:t>
      </w:r>
    </w:p>
    <w:p w:rsidRDefault="00B0201B" w:rsidR="00AB53EB">
      <w:pPr>
        <w:jc w:val="right"/>
      </w:pPr>
      <w:r>
        <w:rPr>
          <w:color w:themeTint="D9" w:themeColor="text1" w:val="262626"/>
        </w:rPr>
        <w:t>Amruševa 2/II</w:t>
      </w:r>
    </w:p>
    <w:p w:rsidRDefault="00B0201B" w:rsidR="00AB53EB">
      <w:pPr>
        <w:jc w:val="right"/>
      </w:pPr>
      <w:r>
        <w:rPr>
          <w:color w:themeTint="D9" w:themeColor="text1" w:val="262626"/>
        </w:rPr>
        <w:t>10 000 Zagreb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sz w:val="32"/>
          <w:szCs w:val="32"/>
          <w:u w:val="single"/>
        </w:rPr>
        <w:t>Posl.br. 3 St-1170/16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AB53EB" w:rsidR="00AB53EB">
      <w:pPr>
        <w:jc w:val="right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center"/>
        <w:rPr>
          <w:b/>
          <w:color w:themeTint="D9" w:themeColor="text1" w:val="262626"/>
          <w:sz w:val="28"/>
          <w:szCs w:val="28"/>
        </w:rPr>
      </w:pPr>
      <w:r>
        <w:rPr>
          <w:b/>
          <w:color w:themeTint="D9" w:themeColor="text1" w:val="262626"/>
          <w:sz w:val="28"/>
          <w:szCs w:val="28"/>
        </w:rPr>
        <w:t>IZVJEŠĆE STEČAJNE UPRAVITELJICE</w:t>
      </w:r>
    </w:p>
    <w:p w:rsidRDefault="00B0201B" w:rsidR="00AB53EB">
      <w:pPr>
        <w:jc w:val="center"/>
        <w:rPr>
          <w:b/>
          <w:color w:themeTint="D9" w:themeColor="text1" w:val="262626"/>
          <w:sz w:val="28"/>
          <w:szCs w:val="28"/>
        </w:rPr>
      </w:pPr>
      <w:r>
        <w:rPr>
          <w:b/>
          <w:color w:themeTint="D9" w:themeColor="text1" w:val="262626"/>
          <w:sz w:val="28"/>
          <w:szCs w:val="28"/>
        </w:rPr>
        <w:t>za ispitno i izvještajno ročište</w:t>
      </w:r>
    </w:p>
    <w:p w:rsidRDefault="00B0201B" w:rsidR="00AB53EB">
      <w:pPr>
        <w:jc w:val="center"/>
      </w:pPr>
      <w:r>
        <w:rPr>
          <w:b/>
          <w:color w:themeTint="D9" w:themeColor="text1" w:val="262626"/>
          <w:sz w:val="28"/>
          <w:szCs w:val="28"/>
        </w:rPr>
        <w:t>zakazano za 1. prosinca 2017. godine</w:t>
      </w:r>
    </w:p>
    <w:p w:rsidRDefault="00AB53EB" w:rsidR="00AB53EB">
      <w:pPr>
        <w:jc w:val="center"/>
        <w:rPr>
          <w:rFonts w:eastAsia="Calibri" w:hAnsi="Calibri" w:ascii="Calibri"/>
          <w:b/>
          <w:color w:themeTint="D9" w:themeColor="text1" w:val="262626"/>
          <w:sz w:val="28"/>
          <w:szCs w:val="28"/>
        </w:rPr>
      </w:pPr>
    </w:p>
    <w:p w:rsidRDefault="00AB53EB" w:rsidR="00AB53EB">
      <w:pPr>
        <w:jc w:val="center"/>
        <w:rPr>
          <w:rFonts w:eastAsia="Calibri" w:hAnsi="Calibri" w:ascii="Calibri"/>
          <w:b/>
          <w:color w:themeTint="D9" w:themeColor="text1" w:val="262626"/>
          <w:sz w:val="28"/>
          <w:szCs w:val="28"/>
        </w:rPr>
      </w:pPr>
    </w:p>
    <w:p w:rsidRDefault="00AB53EB" w:rsidR="00AB53EB">
      <w:pPr>
        <w:jc w:val="center"/>
        <w:rPr>
          <w:rFonts w:eastAsia="Calibri" w:hAnsi="Calibri" w:ascii="Calibri"/>
          <w:b/>
          <w:color w:themeTint="D9" w:themeColor="text1" w:val="262626"/>
          <w:sz w:val="28"/>
          <w:szCs w:val="28"/>
        </w:rPr>
      </w:pPr>
    </w:p>
    <w:p w:rsidRDefault="00AB53EB" w:rsidR="00AB53EB">
      <w:pPr>
        <w:jc w:val="center"/>
        <w:rPr>
          <w:rFonts w:eastAsia="Calibri" w:hAnsi="Calibri" w:ascii="Calibri"/>
          <w:b/>
          <w:color w:themeTint="D9" w:themeColor="text1" w:val="262626"/>
          <w:sz w:val="28"/>
          <w:szCs w:val="28"/>
        </w:rPr>
      </w:pPr>
    </w:p>
    <w:p w:rsidRDefault="00B24595" w:rsidR="00B24595">
      <w:pPr>
        <w:jc w:val="both"/>
        <w:rPr>
          <w:rFonts w:eastAsia="Calibri" w:hAnsi="Calibri" w:ascii="Calibri"/>
          <w:b/>
          <w:color w:themeTint="D9" w:themeColor="text1" w:val="262626"/>
          <w:sz w:val="28"/>
          <w:szCs w:val="28"/>
        </w:rPr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lastRenderedPageBreak/>
        <w:t>1. UVOD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both"/>
      </w:pPr>
      <w:r>
        <w:rPr>
          <w:color w:themeTint="D9" w:themeColor="text1" w:val="262626"/>
        </w:rPr>
        <w:t>Rješenjem Trgovačkog suda u Zagrebu Posl.broj 3 St-1170/16 od 30. kolovoza 2017. godine otvoren je stečajni postupak nad dužnikom pojedincem Melitom Mlikota, vl. Obrta Diva Frizer, Zagreb, Matija Divković 19A, OIB: 90524560838.</w:t>
      </w:r>
    </w:p>
    <w:p w:rsidRDefault="00B0201B" w:rsidR="00AB53EB">
      <w:pPr>
        <w:jc w:val="both"/>
      </w:pPr>
      <w:r>
        <w:rPr>
          <w:color w:themeTint="D9" w:themeColor="text1" w:val="262626"/>
        </w:rPr>
        <w:t>Za stečajnog upravitelja imenovana je Ana Vičević Gračanin, odvjetnica iz Čavli, Šušnjevac 3, OIB: 75471893129.</w:t>
      </w:r>
    </w:p>
    <w:p w:rsidRDefault="00B0201B" w:rsidR="00AB53EB">
      <w:pPr>
        <w:jc w:val="both"/>
      </w:pPr>
      <w:r>
        <w:t xml:space="preserve">Prijedlog za otvaranje stečajnog postupka podnijela je FINA – Financijska agencija, Regionalni centra Zagreb, Podružnica Zagreb temeljem odredbe Čl. 27. St. 5 Zakona o financijskom poslovanju i predstečajnoj nagodbi (NN 108/12-112/13) uz obrazloženje da je </w:t>
      </w:r>
      <w:r w:rsidR="00E3553F">
        <w:t>prijedlog za pokretanje postup</w:t>
      </w:r>
      <w:r>
        <w:t>k</w:t>
      </w:r>
      <w:r w:rsidR="00E3553F">
        <w:t>a</w:t>
      </w:r>
      <w:r>
        <w:t xml:space="preserve"> </w:t>
      </w:r>
      <w:r w:rsidR="00E3553F">
        <w:t>predstečajne nagodbe odbačen</w:t>
      </w:r>
      <w:r>
        <w:t>, a da su ispunjeni uvjeti za otvaranje stečajnog postupka nad dužnikom jer isti ima evidentirane neizvršene osnove za plaćanje u razdoblju duljem od 60 dana.</w:t>
      </w:r>
    </w:p>
    <w:p w:rsidRDefault="00B0201B" w:rsidR="00AB53EB">
      <w:pPr>
        <w:jc w:val="both"/>
      </w:pPr>
      <w:r>
        <w:rPr>
          <w:color w:themeTint="D9" w:themeColor="text1" w:val="262626"/>
        </w:rPr>
        <w:t>Rješenje o otvaranju stečajnog postupka s pozivom vjerovnicima da prijave svoje tražbine u roku od 60 dana, kao i da obavijeste stečajnu upraviteljicu o svojim pravima, sukladno odredbama Stečajnog zakona, objavljen</w:t>
      </w:r>
      <w:r w:rsidR="00E3553F">
        <w:rPr>
          <w:color w:themeTint="D9" w:themeColor="text1" w:val="262626"/>
        </w:rPr>
        <w:t>o je na e-oglasnoj ploči dana 30. kolovoza 2017</w:t>
      </w:r>
      <w:r>
        <w:rPr>
          <w:color w:themeTint="D9" w:themeColor="text1" w:val="262626"/>
        </w:rPr>
        <w:t>. godine.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B24595" w:rsidR="00B24595">
      <w:pPr>
        <w:jc w:val="both"/>
        <w:rPr>
          <w:b/>
          <w:i/>
          <w:color w:themeTint="D9" w:themeColor="text1" w:val="262626"/>
          <w:u w:val="single"/>
        </w:rPr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lastRenderedPageBreak/>
        <w:t>2. PODUZETE AKTIVNOSTI PO OTVRANJU STEČAJNOG POSTUPKA</w:t>
      </w: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B0201B" w:rsidR="00AB53EB">
      <w:pPr>
        <w:jc w:val="both"/>
        <w:rPr>
          <w:b/>
          <w:i/>
          <w:color w:themeTint="D9" w:themeColor="text1" w:val="262626"/>
          <w:u w:val="single"/>
        </w:rPr>
      </w:pPr>
      <w:r>
        <w:rPr>
          <w:b/>
          <w:i/>
          <w:color w:themeTint="D9" w:themeColor="text1" w:val="262626"/>
          <w:u w:val="single"/>
        </w:rPr>
        <w:t>2.1. PREUZIMANJE DUŽNIKOVOG POSLOVANJA</w:t>
      </w: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B0201B" w:rsidR="00AB53EB">
      <w:pPr>
        <w:jc w:val="both"/>
      </w:pPr>
      <w:r>
        <w:rPr>
          <w:color w:themeTint="D9" w:themeColor="text1" w:val="262626"/>
        </w:rPr>
        <w:t>Stečajna upraviteljica je sukladno svojim ovlastima odmah po imenovanju preuzela upravljanje stečajnog dužnika na način d</w:t>
      </w:r>
      <w:r w:rsidR="00E3553F">
        <w:rPr>
          <w:color w:themeTint="D9" w:themeColor="text1" w:val="262626"/>
        </w:rPr>
        <w:t>a je od dužnika pojedinca Melite Mlikote</w:t>
      </w:r>
      <w:r>
        <w:rPr>
          <w:color w:themeTint="D9" w:themeColor="text1" w:val="262626"/>
        </w:rPr>
        <w:t xml:space="preserve"> putem mobitela pribavila sve podatke potrebne za sastav ovog Izvješća te putem e-maila preuzela postojeću knjigovodstveno - računovodstvenu dokumentaciju zajedno sa popisom imovine, sporovima u tijeku, podacima o radnicima kojima plaće nisu isplaćene. </w:t>
      </w:r>
    </w:p>
    <w:p w:rsidRDefault="00B0201B" w:rsidR="00AB53EB">
      <w:pPr>
        <w:jc w:val="both"/>
      </w:pPr>
      <w:r>
        <w:rPr>
          <w:color w:themeTint="D9" w:themeColor="text1" w:val="262626"/>
        </w:rPr>
        <w:t>Stečajna upraviteljica j</w:t>
      </w:r>
      <w:r w:rsidR="00E3553F">
        <w:rPr>
          <w:color w:themeTint="D9" w:themeColor="text1" w:val="262626"/>
        </w:rPr>
        <w:t>e poduzela radnje sukladno Čl.88 i Čl. 89</w:t>
      </w:r>
      <w:r>
        <w:rPr>
          <w:color w:themeTint="D9" w:themeColor="text1" w:val="262626"/>
        </w:rPr>
        <w:t>. Stečajnog zakona i to:</w:t>
      </w:r>
    </w:p>
    <w:p w:rsidRDefault="0016130C" w:rsidR="00AB53EB">
      <w:pPr>
        <w:jc w:val="both"/>
      </w:pPr>
      <w:r>
        <w:rPr>
          <w:color w:themeTint="D9" w:themeColor="text1" w:val="262626"/>
        </w:rPr>
        <w:t>1) podnijela zahtjev za otva</w:t>
      </w:r>
      <w:r w:rsidR="00B0201B">
        <w:rPr>
          <w:color w:themeTint="D9" w:themeColor="text1" w:val="262626"/>
        </w:rPr>
        <w:t>ranje žiro-račun društva u stečaju u Erste &amp; Steiermarkische banci d.d. Rij</w:t>
      </w:r>
      <w:r w:rsidR="00E3553F">
        <w:rPr>
          <w:color w:themeTint="D9" w:themeColor="text1" w:val="262626"/>
        </w:rPr>
        <w:t>eka</w:t>
      </w:r>
    </w:p>
    <w:p w:rsidRDefault="00B0201B" w:rsidR="00AB53EB">
      <w:pPr>
        <w:jc w:val="both"/>
      </w:pPr>
      <w:r>
        <w:rPr>
          <w:color w:themeTint="D9" w:themeColor="text1" w:val="262626"/>
        </w:rPr>
        <w:t>2) dala izraditi pečat na nač</w:t>
      </w:r>
      <w:r w:rsidR="0016130C">
        <w:rPr>
          <w:color w:themeTint="D9" w:themeColor="text1" w:val="262626"/>
        </w:rPr>
        <w:t>in da na istom piše „Dužnik pojedinac MELITA MLIKOTA, vl. Obrta Diva Frizer u stečaju, Zagreb, Matije Divkovića 19a, OIB: 90524560838</w:t>
      </w:r>
      <w:r>
        <w:rPr>
          <w:color w:themeTint="D9" w:themeColor="text1" w:val="262626"/>
        </w:rPr>
        <w:t>“</w:t>
      </w:r>
    </w:p>
    <w:p w:rsidRDefault="00B0201B" w:rsidR="00AB53EB">
      <w:pPr>
        <w:jc w:val="both"/>
      </w:pPr>
      <w:r>
        <w:rPr>
          <w:color w:themeTint="D9" w:themeColor="text1" w:val="262626"/>
        </w:rPr>
        <w:t>3) izvršila primopredaju poslovne dokumentacije</w:t>
      </w:r>
    </w:p>
    <w:p w:rsidRDefault="00B0201B" w:rsidR="00AB53EB">
      <w:pPr>
        <w:jc w:val="both"/>
      </w:pPr>
      <w:r>
        <w:rPr>
          <w:color w:themeTint="D9" w:themeColor="text1" w:val="262626"/>
        </w:rPr>
        <w:t>4) preuzela knjigovodstvenu dokumentaciju (putem e-maila)</w:t>
      </w:r>
    </w:p>
    <w:p w:rsidRDefault="00B0201B" w:rsidR="00AB53EB">
      <w:pPr>
        <w:jc w:val="both"/>
      </w:pPr>
      <w:r>
        <w:rPr>
          <w:color w:themeTint="D9" w:themeColor="text1" w:val="262626"/>
        </w:rPr>
        <w:t>5) dala izraditi završna financijska izvješća na dan otva</w:t>
      </w:r>
      <w:r w:rsidR="0016130C">
        <w:rPr>
          <w:color w:themeTint="D9" w:themeColor="text1" w:val="262626"/>
        </w:rPr>
        <w:t>ranja stečajnog postupka dana 30. kolovoza 2017</w:t>
      </w:r>
      <w:r>
        <w:rPr>
          <w:color w:themeTint="D9" w:themeColor="text1" w:val="262626"/>
        </w:rPr>
        <w:t>.</w:t>
      </w:r>
    </w:p>
    <w:p w:rsidRDefault="00AB53EB" w:rsidR="00AB53EB">
      <w:pPr>
        <w:jc w:val="both"/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t>2.2. MATERIJALNA IMOVINA STEČAJNOG DUŽNIKA</w:t>
      </w:r>
    </w:p>
    <w:p w:rsidRDefault="00B0201B" w:rsidR="00AB53EB">
      <w:pPr>
        <w:jc w:val="both"/>
      </w:pPr>
      <w:r>
        <w:rPr>
          <w:color w:themeTint="D9" w:themeColor="text1" w:val="262626"/>
        </w:rPr>
        <w:t>Utvrđeno je da materijalnu imovine u vla</w:t>
      </w:r>
      <w:r w:rsidR="0016130C">
        <w:rPr>
          <w:color w:themeTint="D9" w:themeColor="text1" w:val="262626"/>
        </w:rPr>
        <w:t>sništvu stečajnog dužnika</w:t>
      </w:r>
      <w:r>
        <w:rPr>
          <w:color w:themeTint="D9" w:themeColor="text1" w:val="262626"/>
        </w:rPr>
        <w:t xml:space="preserve">  čine slijedeće stvari i uređaji:</w:t>
      </w:r>
    </w:p>
    <w:p w:rsidRDefault="0016130C" w:rsidR="00AB53EB" w:rsidRPr="0016130C">
      <w:pPr>
        <w:jc w:val="both"/>
        <w:rPr>
          <w:b/>
          <w:color w:themeTint="D9" w:themeColor="text1" w:val="262626"/>
        </w:rPr>
      </w:pPr>
      <w:r w:rsidRPr="0016130C">
        <w:rPr>
          <w:b/>
          <w:color w:themeTint="D9" w:themeColor="text1" w:val="262626"/>
        </w:rPr>
        <w:t>NEKRETNINA</w:t>
      </w:r>
    </w:p>
    <w:p w:rsidRDefault="0016130C" w:rsidR="0016130C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Poslovni prostor u prizemlju oznake PP) na adresi Matije Divkovića 19a, Zagreb, površine 38,32 m2 označen kao 15,03/1000 etažno vlasništvo (E-20) izgrađen na k.č.br. 4370/2, stambeno poslovna zgrada upisana u z.k.ul. 8026, k.o. Vrapče Novo</w:t>
      </w:r>
    </w:p>
    <w:p w:rsidRDefault="0016130C" w:rsidR="0016130C">
      <w:pPr>
        <w:jc w:val="both"/>
        <w:rPr>
          <w:b/>
          <w:color w:themeTint="D9" w:themeColor="text1" w:val="262626"/>
        </w:rPr>
      </w:pPr>
      <w:r w:rsidRPr="0016130C">
        <w:rPr>
          <w:b/>
          <w:color w:themeTint="D9" w:themeColor="text1" w:val="262626"/>
        </w:rPr>
        <w:t>POKRETNINE</w:t>
      </w:r>
    </w:p>
    <w:p w:rsidRDefault="003233A3" w:rsidP="003233A3" w:rsidR="003233A3" w:rsidRP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 w:rsidRPr="003233A3">
        <w:rPr>
          <w:color w:themeTint="D9" w:themeColor="text1" w:val="262626"/>
        </w:rPr>
        <w:t>2 kompletna frizerska mjesta (2 stolice, 2 ogledala i 2 police)</w:t>
      </w:r>
    </w:p>
    <w:p w:rsidRDefault="003233A3" w:rsidP="003233A3" w:rsidR="003233A3" w:rsidRP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 w:rsidRPr="003233A3">
        <w:rPr>
          <w:color w:themeTint="D9" w:themeColor="text1" w:val="262626"/>
        </w:rPr>
        <w:t>Dupli glavoper sa stolicama</w:t>
      </w:r>
    </w:p>
    <w:p w:rsidRDefault="003233A3" w:rsidP="003233A3" w:rsidR="003233A3" w:rsidRP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 w:rsidRPr="003233A3">
        <w:rPr>
          <w:color w:themeTint="D9" w:themeColor="text1" w:val="262626"/>
        </w:rPr>
        <w:t>Frizerska kolica sa ladicama</w:t>
      </w:r>
    </w:p>
    <w:p w:rsidRDefault="003233A3" w:rsidP="003233A3" w:rsidR="003233A3" w:rsidRP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 w:rsidRPr="003233A3">
        <w:rPr>
          <w:color w:themeTint="D9" w:themeColor="text1" w:val="262626"/>
        </w:rPr>
        <w:t>Pokretna hauba</w:t>
      </w:r>
    </w:p>
    <w:p w:rsidRDefault="003233A3" w:rsidP="003233A3" w:rsidR="003233A3" w:rsidRP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 w:rsidRPr="003233A3">
        <w:rPr>
          <w:color w:themeTint="D9" w:themeColor="text1" w:val="262626"/>
        </w:rPr>
        <w:t>Stol za blagajnu</w:t>
      </w:r>
    </w:p>
    <w:p w:rsidRDefault="003233A3" w:rsidP="003233A3" w:rsid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2 fotelje za čekanje</w:t>
      </w:r>
    </w:p>
    <w:p w:rsidRDefault="003233A3" w:rsidP="003233A3" w:rsid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Stolić</w:t>
      </w:r>
    </w:p>
    <w:p w:rsidRDefault="003233A3" w:rsidP="003233A3" w:rsid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Stol za masažu</w:t>
      </w:r>
    </w:p>
    <w:p w:rsidRDefault="003233A3" w:rsidP="003233A3" w:rsid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lastRenderedPageBreak/>
        <w:t>Stolica za pedikuru i mala stolica za pedikera</w:t>
      </w:r>
    </w:p>
    <w:p w:rsidRDefault="003233A3" w:rsidP="003233A3" w:rsid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Ormar za potrošni materijal</w:t>
      </w:r>
    </w:p>
    <w:p w:rsidRDefault="003233A3" w:rsidP="003233A3" w:rsid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UV lampa za geliranje noktiju</w:t>
      </w:r>
    </w:p>
    <w:p w:rsidRDefault="003233A3" w:rsidP="003233A3" w:rsid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Jedna staklena polica za uzorke</w:t>
      </w:r>
    </w:p>
    <w:p w:rsidRDefault="003233A3" w:rsidP="003233A3" w:rsid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Vješalica za robu</w:t>
      </w:r>
    </w:p>
    <w:p w:rsidRDefault="007A762C" w:rsidP="003233A3" w:rsidR="003233A3" w:rsidRPr="003233A3">
      <w:pPr>
        <w:pStyle w:val="Odlomakpopisa"/>
        <w:numPr>
          <w:ilvl w:val="0"/>
          <w:numId w:val="1"/>
        </w:num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Klima uređaj</w:t>
      </w:r>
      <w:r w:rsidR="003233A3">
        <w:rPr>
          <w:color w:themeTint="D9" w:themeColor="text1" w:val="262626"/>
        </w:rPr>
        <w:t xml:space="preserve"> snage 5,5 KW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16130C" w:rsidR="00AB53EB">
      <w:pPr>
        <w:jc w:val="both"/>
      </w:pPr>
      <w:r>
        <w:rPr>
          <w:b/>
          <w:i/>
          <w:color w:themeTint="D9" w:themeColor="text1" w:val="262626"/>
          <w:u w:val="single"/>
        </w:rPr>
        <w:t>2.3</w:t>
      </w:r>
      <w:r w:rsidR="00B0201B">
        <w:rPr>
          <w:b/>
          <w:i/>
          <w:color w:themeTint="D9" w:themeColor="text1" w:val="262626"/>
          <w:u w:val="single"/>
        </w:rPr>
        <w:t>. PLANIRANE DALJNJE AKTIVNOSTI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 xml:space="preserve">Stečajna upraviteljica predlaže </w:t>
      </w:r>
      <w:r w:rsidR="003233A3">
        <w:rPr>
          <w:color w:themeTint="D9" w:themeColor="text1" w:val="262626"/>
        </w:rPr>
        <w:t>salon sa svom opremom iznajmiti i tako prikupiti potrebna sredstva za vođenje stečajnog postupka.</w:t>
      </w:r>
    </w:p>
    <w:p w:rsidRDefault="003233A3" w:rsidR="003233A3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Nekretninu prodati putem ovršnog postupak ili dražbe putem FINE.</w:t>
      </w:r>
    </w:p>
    <w:p w:rsidRDefault="003233A3" w:rsidR="003233A3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Pokretnine prodati direktnom pogodbom po načelu viđeno kupljeno.</w:t>
      </w:r>
    </w:p>
    <w:p w:rsidRDefault="00507D78" w:rsidR="00507D78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  <w:r>
        <w:rPr>
          <w:color w:themeTint="D9" w:themeColor="text1" w:val="262626"/>
        </w:rPr>
        <w:t>Predlaže se skupštini vjerovnika prihvatiti ove prijedloge.</w:t>
      </w: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3233A3" w:rsidR="003233A3">
      <w:pPr>
        <w:jc w:val="both"/>
        <w:rPr>
          <w:b/>
          <w:i/>
          <w:color w:themeTint="D9" w:themeColor="text1" w:val="262626"/>
          <w:u w:val="single"/>
        </w:rPr>
      </w:pPr>
    </w:p>
    <w:p w:rsidRDefault="003233A3" w:rsidR="003233A3">
      <w:pPr>
        <w:jc w:val="both"/>
        <w:rPr>
          <w:b/>
          <w:i/>
          <w:color w:themeTint="D9" w:themeColor="text1" w:val="262626"/>
          <w:u w:val="single"/>
        </w:rPr>
      </w:pPr>
    </w:p>
    <w:p w:rsidRDefault="003233A3" w:rsidR="003233A3">
      <w:pPr>
        <w:jc w:val="both"/>
        <w:rPr>
          <w:b/>
          <w:i/>
          <w:color w:themeTint="D9" w:themeColor="text1" w:val="262626"/>
          <w:u w:val="single"/>
        </w:rPr>
      </w:pPr>
    </w:p>
    <w:p w:rsidRDefault="003233A3" w:rsidR="003233A3">
      <w:pPr>
        <w:jc w:val="both"/>
        <w:rPr>
          <w:b/>
          <w:i/>
          <w:color w:themeTint="D9" w:themeColor="text1" w:val="262626"/>
          <w:u w:val="single"/>
        </w:rPr>
      </w:pPr>
    </w:p>
    <w:p w:rsidRDefault="003233A3" w:rsidR="003233A3">
      <w:pPr>
        <w:jc w:val="both"/>
        <w:rPr>
          <w:b/>
          <w:i/>
          <w:color w:themeTint="D9" w:themeColor="text1" w:val="262626"/>
          <w:u w:val="single"/>
        </w:rPr>
      </w:pPr>
    </w:p>
    <w:p w:rsidRDefault="003233A3" w:rsidR="003233A3">
      <w:pPr>
        <w:jc w:val="both"/>
        <w:rPr>
          <w:b/>
          <w:i/>
          <w:color w:themeTint="D9" w:themeColor="text1" w:val="262626"/>
          <w:u w:val="single"/>
        </w:rPr>
      </w:pPr>
    </w:p>
    <w:p w:rsidRDefault="003233A3" w:rsidR="003233A3">
      <w:pPr>
        <w:jc w:val="both"/>
        <w:rPr>
          <w:b/>
          <w:i/>
          <w:color w:themeTint="D9" w:themeColor="text1" w:val="262626"/>
          <w:u w:val="single"/>
        </w:rPr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lastRenderedPageBreak/>
        <w:t>3. IZVJEŠĆE O GOSPODARSKOM POLOŽAJU DUŽNIKA I UZROCIMA OTVRANJA STEČAJA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both"/>
        <w:rPr>
          <w:b/>
          <w:i/>
          <w:color w:themeTint="D9" w:themeColor="text1" w:val="262626"/>
          <w:u w:val="single"/>
        </w:rPr>
      </w:pPr>
      <w:r>
        <w:rPr>
          <w:b/>
          <w:i/>
          <w:color w:themeTint="D9" w:themeColor="text1" w:val="262626"/>
          <w:u w:val="single"/>
        </w:rPr>
        <w:t>3.1. FORMALNO-PRAVNA OBILJEŽJA DRUŠTVA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9043CD" w:rsidR="009043CD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Upisa novog obrta i početak obavljanja djelatnosti je izvršen dana 15. travnja 2002. godine.</w:t>
      </w:r>
    </w:p>
    <w:p w:rsidRDefault="009043CD" w:rsidR="00AB53EB">
      <w:pPr>
        <w:jc w:val="both"/>
      </w:pPr>
      <w:r>
        <w:rPr>
          <w:color w:themeTint="D9" w:themeColor="text1" w:val="262626"/>
        </w:rPr>
        <w:t>Nakon toga izvršena je 2 puta promjena sjedišta.</w:t>
      </w:r>
    </w:p>
    <w:p w:rsidRDefault="009043CD" w:rsidR="00AB53EB">
      <w:pPr>
        <w:jc w:val="both"/>
      </w:pPr>
      <w:r>
        <w:rPr>
          <w:color w:themeTint="D9" w:themeColor="text1" w:val="262626"/>
        </w:rPr>
        <w:t>Matični br. Obrta: 91895472</w:t>
      </w:r>
      <w:r w:rsidR="00B0201B">
        <w:rPr>
          <w:color w:themeTint="D9" w:themeColor="text1" w:val="262626"/>
        </w:rPr>
        <w:t>, a</w:t>
      </w:r>
      <w:r>
        <w:rPr>
          <w:color w:themeTint="D9" w:themeColor="text1" w:val="262626"/>
        </w:rPr>
        <w:t xml:space="preserve"> OIB: 90524560838</w:t>
      </w:r>
      <w:r w:rsidR="00B0201B">
        <w:rPr>
          <w:color w:themeTint="D9" w:themeColor="text1" w:val="262626"/>
        </w:rPr>
        <w:t>.</w:t>
      </w:r>
    </w:p>
    <w:p w:rsidRDefault="009043CD" w:rsidR="009043CD">
      <w:pPr>
        <w:jc w:val="both"/>
        <w:rPr>
          <w:color w:themeTint="D9" w:themeColor="text1" w:val="262626"/>
        </w:rPr>
      </w:pPr>
      <w:r>
        <w:rPr>
          <w:color w:themeTint="D9" w:themeColor="text1" w:val="262626"/>
        </w:rPr>
        <w:t>Djelatnost kojim se bavio obrt su frizerske, kozmetičarske i pedikerske usluge.</w:t>
      </w:r>
    </w:p>
    <w:p w:rsidRDefault="009043CD" w:rsidR="00AB53EB">
      <w:pPr>
        <w:jc w:val="both"/>
      </w:pPr>
      <w:r>
        <w:rPr>
          <w:color w:themeTint="D9" w:themeColor="text1" w:val="262626"/>
        </w:rPr>
        <w:t>Vlasnica obrta je Melita Mlikota, po zanimanju pediker sa adresom Zagreb, Matije Divkovića 21, OIB:</w:t>
      </w:r>
      <w:r w:rsidRPr="009043CD">
        <w:rPr>
          <w:color w:themeTint="D9" w:themeColor="text1" w:val="262626"/>
        </w:rPr>
        <w:t xml:space="preserve"> </w:t>
      </w:r>
      <w:r>
        <w:rPr>
          <w:color w:themeTint="D9" w:themeColor="text1" w:val="262626"/>
        </w:rPr>
        <w:t>90524560838.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AB53EB" w:rsidR="00AB53EB">
      <w:pPr>
        <w:jc w:val="both"/>
      </w:pPr>
    </w:p>
    <w:p w:rsidRDefault="00507D78" w:rsidR="00AB53EB">
      <w:pPr>
        <w:jc w:val="both"/>
      </w:pPr>
      <w:r>
        <w:rPr>
          <w:b/>
          <w:i/>
          <w:color w:themeTint="D9" w:themeColor="text1" w:val="262626"/>
          <w:u w:val="single"/>
        </w:rPr>
        <w:t>3.2. POSLOVNE KNJIGE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507D78" w:rsidR="00507D78">
      <w:pPr>
        <w:jc w:val="both"/>
        <w:rPr>
          <w:rFonts w:eastAsia="Calibri" w:hAnsi="Calibri" w:ascii="Calibri"/>
          <w:color w:themeTint="D9" w:themeColor="text1" w:val="262626"/>
        </w:rPr>
      </w:pPr>
      <w:r>
        <w:rPr>
          <w:rFonts w:eastAsia="Calibri" w:hAnsi="Calibri" w:ascii="Calibri"/>
          <w:color w:themeTint="D9" w:themeColor="text1" w:val="262626"/>
        </w:rPr>
        <w:t>Dužnik pojedinac nije bio u sustavu PDV-a.</w:t>
      </w:r>
    </w:p>
    <w:p w:rsidRDefault="00507D78" w:rsidR="00507D78">
      <w:pPr>
        <w:jc w:val="both"/>
        <w:rPr>
          <w:rFonts w:eastAsia="Calibri" w:hAnsi="Calibri" w:ascii="Calibri"/>
          <w:color w:themeTint="D9" w:themeColor="text1" w:val="262626"/>
        </w:rPr>
      </w:pPr>
      <w:r>
        <w:rPr>
          <w:rFonts w:eastAsia="Calibri" w:hAnsi="Calibri" w:ascii="Calibri"/>
          <w:color w:themeTint="D9" w:themeColor="text1" w:val="262626"/>
        </w:rPr>
        <w:t>Bio je obveznik plaćanja paušala za doprinose.</w:t>
      </w:r>
    </w:p>
    <w:p w:rsidRDefault="00507D78" w:rsidR="00507D78">
      <w:pPr>
        <w:jc w:val="both"/>
        <w:rPr>
          <w:rFonts w:eastAsia="Calibri" w:hAnsi="Calibri" w:ascii="Calibri"/>
          <w:color w:themeTint="D9" w:themeColor="text1" w:val="262626"/>
        </w:rPr>
      </w:pPr>
      <w:r>
        <w:rPr>
          <w:rFonts w:eastAsia="Calibri" w:hAnsi="Calibri" w:ascii="Calibri"/>
          <w:color w:themeTint="D9" w:themeColor="text1" w:val="262626"/>
        </w:rPr>
        <w:t>Poslovne knjige nisu vodili.</w:t>
      </w:r>
    </w:p>
    <w:p w:rsidRDefault="00507D78" w:rsidR="00507D78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507D78" w:rsidR="00507D78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t>4. POLOŽAJ STEČAJNOG DUŽNIKA</w:t>
      </w: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B0201B" w:rsidR="00AB53EB">
      <w:pPr>
        <w:jc w:val="both"/>
        <w:rPr>
          <w:b/>
          <w:i/>
          <w:color w:themeTint="D9" w:themeColor="text1" w:val="262626"/>
          <w:u w:val="single"/>
        </w:rPr>
      </w:pPr>
      <w:r>
        <w:rPr>
          <w:b/>
          <w:i/>
          <w:color w:themeTint="D9" w:themeColor="text1" w:val="262626"/>
          <w:u w:val="single"/>
        </w:rPr>
        <w:t>4.1. POPIS PREDMETA STEČAJNE MASE I POTRAŽIVANJA (Čl. 150 SZ)</w:t>
      </w:r>
    </w:p>
    <w:p w:rsidRDefault="00AB53EB" w:rsidR="00AB53EB">
      <w:pPr>
        <w:jc w:val="both"/>
      </w:pPr>
    </w:p>
    <w:p w:rsidRDefault="00B0201B" w:rsidR="00AB53EB">
      <w:pPr>
        <w:jc w:val="both"/>
      </w:pPr>
      <w:r>
        <w:rPr>
          <w:color w:themeTint="D9" w:themeColor="text1" w:val="262626"/>
        </w:rPr>
        <w:t>Na dan otvaranja steč</w:t>
      </w:r>
      <w:r w:rsidR="009043CD">
        <w:rPr>
          <w:color w:themeTint="D9" w:themeColor="text1" w:val="262626"/>
        </w:rPr>
        <w:t>ajnog postupka, 30. kolovoza 2017</w:t>
      </w:r>
      <w:r>
        <w:rPr>
          <w:color w:themeTint="D9" w:themeColor="text1" w:val="262626"/>
        </w:rPr>
        <w:t>. godine stečajni dužnik je imao materijalne i financijske imovine (predmeta stečajne m</w:t>
      </w:r>
      <w:r w:rsidR="009043CD">
        <w:rPr>
          <w:color w:themeTint="D9" w:themeColor="text1" w:val="262626"/>
        </w:rPr>
        <w:t>ase)</w:t>
      </w:r>
      <w:r>
        <w:rPr>
          <w:color w:themeTint="D9" w:themeColor="text1" w:val="262626"/>
        </w:rPr>
        <w:t>, prema popisu kako slijedi: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tbl>
      <w:tblPr>
        <w:tblStyle w:val="Reetkatablice"/>
        <w:tblW w:type="dxa" w:w="9289"/>
        <w:tblInd w:type="dxa" w:w="-40"/>
        <w:tblCellMar>
          <w:left w:type="dxa" w:w="68"/>
        </w:tblCellMar>
        <w:tblLook w:val="04A0" w:noVBand="1" w:noHBand="0" w:lastColumn="0" w:firstColumn="1" w:lastRow="0" w:firstRow="1"/>
      </w:tblPr>
      <w:tblGrid>
        <w:gridCol w:w="4644"/>
        <w:gridCol w:w="4645"/>
      </w:tblGrid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predmet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knjigovodstena vrijednost u kunama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b/>
                <w:color w:themeTint="D9" w:themeColor="text1" w:val="262626"/>
              </w:rPr>
            </w:pPr>
            <w:r>
              <w:rPr>
                <w:b/>
                <w:color w:themeTint="D9" w:themeColor="text1" w:val="262626"/>
              </w:rPr>
              <w:t>DUGOTRAJNA IMOVINA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materijalna imovina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9043CD" w:rsidR="00AB53EB">
            <w:pPr>
              <w:spacing w:after="0"/>
              <w:jc w:val="both"/>
            </w:pPr>
            <w:r>
              <w:rPr>
                <w:color w:themeTint="D9" w:themeColor="text1" w:val="262626"/>
              </w:rPr>
              <w:t>425.000,00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nematerijalna imovina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lastRenderedPageBreak/>
              <w:t>dugotrajna financijska imovina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b/>
                <w:color w:themeTint="D9" w:themeColor="text1" w:val="262626"/>
              </w:rPr>
            </w:pPr>
            <w:r>
              <w:rPr>
                <w:b/>
                <w:color w:themeTint="D9" w:themeColor="text1" w:val="262626"/>
              </w:rPr>
              <w:t>KRATKOTRAJNA IMOVINA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9043CD" w:rsidR="00AB53EB">
            <w:pPr>
              <w:spacing w:after="0"/>
              <w:jc w:val="both"/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zalihe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potraživanja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9043CD" w:rsidR="00AB53EB">
            <w:pPr>
              <w:spacing w:after="0"/>
              <w:jc w:val="both"/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kratkotrajna finanacijska imovina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9043CD" w:rsidR="00AB53EB">
            <w:pPr>
              <w:spacing w:after="0"/>
              <w:jc w:val="both"/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novac na računu i u blagajni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b/>
                <w:color w:themeTint="D9" w:themeColor="text1" w:val="262626"/>
              </w:rPr>
            </w:pPr>
            <w:r>
              <w:rPr>
                <w:b/>
                <w:color w:themeTint="D9" w:themeColor="text1" w:val="262626"/>
              </w:rPr>
              <w:t>PLAĆENI TROŠKOVI BUDUĆEG RAZDOBLJA I OBRAČUNATI PRIHODI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jc w:val="both"/>
              <w:rPr>
                <w:b/>
                <w:color w:themeTint="D9" w:themeColor="text1" w:val="262626"/>
              </w:rPr>
            </w:pPr>
            <w:r>
              <w:rPr>
                <w:b/>
                <w:color w:themeTint="D9" w:themeColor="text1" w:val="262626"/>
              </w:rPr>
              <w:t>UKUPNO</w:t>
            </w:r>
          </w:p>
        </w:tc>
        <w:tc>
          <w:tcPr>
            <w:tcW w:type="dxa" w:w="4644"/>
            <w:shd w:fill="auto" w:color="auto" w:val="clear"/>
            <w:tcMar>
              <w:left w:type="dxa" w:w="68"/>
            </w:tcMar>
          </w:tcPr>
          <w:p w:rsidRDefault="009043CD" w:rsidR="00AB53EB" w:rsidRPr="0053012A">
            <w:pPr>
              <w:spacing w:after="0"/>
              <w:jc w:val="both"/>
              <w:rPr>
                <w:b/>
              </w:rPr>
            </w:pPr>
            <w:r w:rsidRPr="0053012A">
              <w:rPr>
                <w:b/>
                <w:color w:themeTint="D9" w:themeColor="text1" w:val="262626"/>
              </w:rPr>
              <w:t>425.000,00</w:t>
            </w:r>
          </w:p>
        </w:tc>
      </w:tr>
    </w:tbl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9043CD" w:rsidR="00AB53EB">
      <w:pPr>
        <w:jc w:val="both"/>
      </w:pPr>
      <w:r>
        <w:rPr>
          <w:color w:themeTint="D9" w:themeColor="text1" w:val="262626"/>
        </w:rPr>
        <w:t>V</w:t>
      </w:r>
      <w:r w:rsidR="00B0201B">
        <w:rPr>
          <w:color w:themeTint="D9" w:themeColor="text1" w:val="262626"/>
        </w:rPr>
        <w:t>rij</w:t>
      </w:r>
      <w:r>
        <w:rPr>
          <w:color w:themeTint="D9" w:themeColor="text1" w:val="262626"/>
        </w:rPr>
        <w:t xml:space="preserve">ednost imovine iznosi </w:t>
      </w:r>
      <w:r w:rsidRPr="009043CD">
        <w:rPr>
          <w:b/>
          <w:color w:themeTint="D9" w:themeColor="text1" w:val="262626"/>
        </w:rPr>
        <w:t>425.000,00</w:t>
      </w:r>
      <w:r w:rsidR="00B0201B" w:rsidRPr="009043CD">
        <w:rPr>
          <w:b/>
          <w:color w:themeTint="D9" w:themeColor="text1" w:val="262626"/>
        </w:rPr>
        <w:t xml:space="preserve"> kn</w:t>
      </w:r>
      <w:r w:rsidR="00B0201B">
        <w:rPr>
          <w:color w:themeTint="D9" w:themeColor="text1" w:val="262626"/>
        </w:rPr>
        <w:t>.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53012A" w:rsidR="0053012A">
      <w:pPr>
        <w:jc w:val="both"/>
        <w:rPr>
          <w:b/>
          <w:i/>
          <w:color w:themeTint="D9" w:themeColor="text1" w:val="262626"/>
          <w:u w:val="single"/>
        </w:rPr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lastRenderedPageBreak/>
        <w:t>5. TRAŽBINE 1. VIŠEG ISPLATNOG REDA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both"/>
      </w:pPr>
      <w:r>
        <w:rPr>
          <w:color w:themeTint="D9" w:themeColor="text1" w:val="262626"/>
        </w:rPr>
        <w:t xml:space="preserve">Tražbine 1. višeg isplatnog reda </w:t>
      </w:r>
      <w:r w:rsidR="007A762C">
        <w:rPr>
          <w:color w:themeTint="D9" w:themeColor="text1" w:val="262626"/>
        </w:rPr>
        <w:t>odnose na obvezne doprinose za radnike</w:t>
      </w:r>
      <w:r>
        <w:rPr>
          <w:color w:themeTint="D9" w:themeColor="text1" w:val="262626"/>
        </w:rPr>
        <w:t>.</w:t>
      </w:r>
    </w:p>
    <w:p w:rsidRDefault="00B0201B" w:rsidR="00AB53EB">
      <w:pPr>
        <w:jc w:val="both"/>
      </w:pPr>
      <w:r>
        <w:rPr>
          <w:color w:themeTint="D9" w:themeColor="text1" w:val="262626"/>
        </w:rPr>
        <w:t>Tražbine 1. višeg isplatnog reda odnose se na:</w:t>
      </w:r>
    </w:p>
    <w:p w:rsidRDefault="00B0201B" w:rsidR="00AB53EB">
      <w:pPr>
        <w:jc w:val="both"/>
      </w:pPr>
      <w:r>
        <w:rPr>
          <w:color w:themeTint="D9" w:themeColor="text1" w:val="262626"/>
        </w:rPr>
        <w:t>- doprinose na plaće radnika po prijavi Republike Hrvatske</w:t>
      </w:r>
    </w:p>
    <w:p w:rsidRDefault="00B0201B" w:rsidR="00AB53EB">
      <w:pPr>
        <w:jc w:val="both"/>
      </w:pPr>
      <w:r>
        <w:t>Tabelarni prikaz tražbina 1. višeg isplatnog reda slijedi u nastavku.</w:t>
      </w:r>
    </w:p>
    <w:p w:rsidRDefault="007A762C" w:rsidR="007A762C" w:rsidRPr="007A762C">
      <w:pPr>
        <w:jc w:val="both"/>
      </w:pPr>
      <w:r>
        <w:t xml:space="preserve">Prijava 1. višeg isplatnog reda iznosi </w:t>
      </w:r>
      <w:r w:rsidRPr="007A762C">
        <w:rPr>
          <w:b/>
          <w:u w:val="single"/>
        </w:rPr>
        <w:t>4.192,68 kn</w:t>
      </w:r>
      <w:r>
        <w:t>.</w:t>
      </w:r>
    </w:p>
    <w:p w:rsidRDefault="00AB53EB" w:rsidR="00AB53EB">
      <w:pPr>
        <w:jc w:val="both"/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t>6. TRAŽBINE 2. VIŠEG ISPLATNOG REDA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both"/>
      </w:pPr>
      <w:r>
        <w:rPr>
          <w:color w:themeTint="D9" w:themeColor="text1" w:val="262626"/>
        </w:rPr>
        <w:t>Rj</w:t>
      </w:r>
      <w:r w:rsidR="0053012A">
        <w:rPr>
          <w:color w:themeTint="D9" w:themeColor="text1" w:val="262626"/>
        </w:rPr>
        <w:t>ešenjem Posl.br.  St-1170/16 od 30. kolovoza 2017</w:t>
      </w:r>
      <w:r>
        <w:rPr>
          <w:color w:themeTint="D9" w:themeColor="text1" w:val="262626"/>
        </w:rPr>
        <w:t xml:space="preserve">. godine otvoren je </w:t>
      </w:r>
      <w:r w:rsidR="0053012A">
        <w:rPr>
          <w:color w:themeTint="D9" w:themeColor="text1" w:val="262626"/>
        </w:rPr>
        <w:t>stečajni postupak nad dužnikom pojedincem Melitom Mlikota, vl. Obrta Diva frizer</w:t>
      </w:r>
      <w:r>
        <w:rPr>
          <w:color w:themeTint="D9" w:themeColor="text1" w:val="262626"/>
        </w:rPr>
        <w:t>. Istoga dana istaknut je oglas o otvaranju stečajnog postupka na e-oglasnoj ploči.</w:t>
      </w:r>
    </w:p>
    <w:p w:rsidRDefault="00B0201B" w:rsidR="00AB53EB">
      <w:pPr>
        <w:jc w:val="both"/>
      </w:pPr>
      <w:r>
        <w:rPr>
          <w:color w:themeTint="D9" w:themeColor="text1" w:val="262626"/>
        </w:rPr>
        <w:t>Istim oglasom pozvani su vjerovnici viših isplatnih redova da u roku od 60 dana od objave oglasa na e-oglasnoj ploči prijave svoje tražbine u 2 primjerka s dokazima, kao i da prijavi prilože dokaz o uplaćenoj pristojbi na prijavu tražbine.</w:t>
      </w:r>
    </w:p>
    <w:p w:rsidRDefault="00B0201B" w:rsidR="00AB53EB">
      <w:pPr>
        <w:jc w:val="both"/>
      </w:pPr>
      <w:r>
        <w:rPr>
          <w:color w:themeTint="D9" w:themeColor="text1" w:val="262626"/>
        </w:rPr>
        <w:t>Pozvani su i razlučni vjerovnici da u roku od 60 dana od objave oglasa na e-oglasnoj ploči obavijeste stečajnu upraviteljicu o postojanju razlučnog prava.</w:t>
      </w:r>
    </w:p>
    <w:p w:rsidRDefault="00B0201B" w:rsidR="00AB53EB">
      <w:pPr>
        <w:jc w:val="both"/>
      </w:pPr>
      <w:r>
        <w:rPr>
          <w:color w:themeTint="D9" w:themeColor="text1" w:val="262626"/>
        </w:rPr>
        <w:t>U danom roku s</w:t>
      </w:r>
      <w:r w:rsidR="007A762C">
        <w:rPr>
          <w:color w:themeTint="D9" w:themeColor="text1" w:val="262626"/>
        </w:rPr>
        <w:t>voje tražbine je prijavilo deset (10</w:t>
      </w:r>
      <w:r>
        <w:rPr>
          <w:color w:themeTint="D9" w:themeColor="text1" w:val="262626"/>
        </w:rPr>
        <w:t>) stečajnih</w:t>
      </w:r>
      <w:r w:rsidR="007A762C">
        <w:rPr>
          <w:color w:themeTint="D9" w:themeColor="text1" w:val="262626"/>
        </w:rPr>
        <w:t xml:space="preserve"> vjerovnika</w:t>
      </w:r>
      <w:r>
        <w:rPr>
          <w:color w:themeTint="D9" w:themeColor="text1" w:val="262626"/>
        </w:rPr>
        <w:t>.</w:t>
      </w:r>
    </w:p>
    <w:p w:rsidRDefault="00B0201B" w:rsidR="00AB53EB">
      <w:pPr>
        <w:jc w:val="both"/>
      </w:pPr>
      <w:r>
        <w:rPr>
          <w:color w:themeTint="D9" w:themeColor="text1" w:val="262626"/>
        </w:rPr>
        <w:t xml:space="preserve">Ukupna prijavljena potraživanja stečajnih vjerovnika iznose </w:t>
      </w:r>
      <w:r w:rsidR="007A762C" w:rsidRPr="007A762C">
        <w:rPr>
          <w:rFonts w:cs="Times New Roman" w:eastAsia="Times New Roman"/>
          <w:b/>
          <w:color w:themeTint="D9" w:themeColor="text1" w:val="262626"/>
          <w:lang w:eastAsia="hr-HR"/>
        </w:rPr>
        <w:t>4.192,68</w:t>
      </w:r>
      <w:r w:rsidRPr="007A762C">
        <w:rPr>
          <w:rFonts w:cs="Times New Roman" w:eastAsia="Times New Roman"/>
          <w:b/>
          <w:color w:themeTint="D9" w:themeColor="text1" w:val="262626"/>
          <w:lang w:eastAsia="hr-HR"/>
        </w:rPr>
        <w:t xml:space="preserve"> </w:t>
      </w:r>
      <w:r w:rsidRPr="007A762C">
        <w:rPr>
          <w:b/>
          <w:color w:themeTint="D9" w:themeColor="text1" w:val="262626"/>
        </w:rPr>
        <w:t>kn</w:t>
      </w:r>
      <w:r>
        <w:rPr>
          <w:color w:themeTint="D9" w:themeColor="text1" w:val="262626"/>
        </w:rPr>
        <w:t xml:space="preserve"> za 1.</w:t>
      </w:r>
      <w:r w:rsidR="007A762C">
        <w:rPr>
          <w:color w:themeTint="D9" w:themeColor="text1" w:val="262626"/>
        </w:rPr>
        <w:t xml:space="preserve"> viši isplatni red, a </w:t>
      </w:r>
      <w:r w:rsidR="007A762C" w:rsidRPr="007A762C">
        <w:rPr>
          <w:b/>
          <w:color w:themeTint="D9" w:themeColor="text1" w:val="262626"/>
        </w:rPr>
        <w:t>270.005,61</w:t>
      </w:r>
      <w:r w:rsidRPr="007A762C">
        <w:rPr>
          <w:b/>
          <w:color w:themeTint="D9" w:themeColor="text1" w:val="262626"/>
        </w:rPr>
        <w:t xml:space="preserve"> kn</w:t>
      </w:r>
      <w:r>
        <w:rPr>
          <w:color w:themeTint="D9" w:themeColor="text1" w:val="262626"/>
        </w:rPr>
        <w:t xml:space="preserve"> za drugi viši isplatni red. </w:t>
      </w:r>
    </w:p>
    <w:p w:rsidRDefault="00B0201B" w:rsidR="00AB53EB">
      <w:pPr>
        <w:jc w:val="both"/>
        <w:rPr>
          <w:b/>
          <w:i/>
          <w:color w:themeTint="D9" w:themeColor="text1" w:val="262626"/>
          <w:u w:val="single"/>
        </w:rPr>
      </w:pPr>
      <w:r>
        <w:rPr>
          <w:b/>
          <w:i/>
          <w:color w:themeTint="D9" w:themeColor="text1" w:val="262626"/>
          <w:u w:val="single"/>
        </w:rPr>
        <w:t>Prijavljena potraživanja stečajnih vjerovnika čija je glavnica jednaka ili manja od iznosa iskazanih u poslovnim knjigama dužnika, a priložili su dokaze i tražbina nije zastarjela, priznate su u cijelosti.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both"/>
        <w:rPr>
          <w:rFonts w:eastAsia="Calibri" w:hAnsi="Calibri" w:ascii="Calibri"/>
          <w:color w:themeTint="D9" w:themeColor="text1" w:val="262626"/>
        </w:rPr>
      </w:pPr>
      <w:r>
        <w:rPr>
          <w:rFonts w:eastAsia="Calibri"/>
          <w:color w:themeTint="D9" w:themeColor="text1" w:val="262626"/>
        </w:rPr>
        <w:t>U nastavku slijedi tabelica prijavljenih potraživanja 2. višeg isplatnog reda.</w:t>
      </w: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t xml:space="preserve">6.2. OSPORAVANI IZNOSI PRIJAVLJENIH TRAŽBINA </w:t>
      </w:r>
    </w:p>
    <w:p w:rsidRDefault="00AB53EB" w:rsidR="00AB53EB">
      <w:pPr>
        <w:jc w:val="both"/>
        <w:rPr>
          <w:rFonts w:eastAsia="Calibri" w:hAnsi="Calibri" w:ascii="Calibri"/>
          <w:b/>
          <w:i/>
          <w:color w:themeTint="D9" w:themeColor="text1" w:val="262626"/>
          <w:u w:val="single"/>
        </w:rPr>
      </w:pPr>
    </w:p>
    <w:p w:rsidRDefault="00B0201B" w:rsidR="00AB53EB">
      <w:pPr>
        <w:jc w:val="both"/>
        <w:rPr>
          <w:b/>
          <w:i/>
          <w:color w:themeTint="D9" w:themeColor="text1" w:val="262626"/>
          <w:u w:val="single"/>
        </w:rPr>
      </w:pPr>
      <w:r>
        <w:rPr>
          <w:b/>
          <w:i/>
          <w:color w:themeTint="D9" w:themeColor="text1" w:val="262626"/>
          <w:u w:val="single"/>
        </w:rPr>
        <w:t>Tražbine vjerovnika čija je glavnica veća od iznosa iskazanih u poslovnim knjigama stečajnog dužnika ili nisu dostavili dokaze uz prijavu na dan otvaranja stečaja ili se ne odnose na stečajnog dužnika, nisu priznate.</w:t>
      </w:r>
    </w:p>
    <w:p w:rsidRDefault="007A762C" w:rsidR="00AB53EB">
      <w:pPr>
        <w:jc w:val="both"/>
        <w:rPr>
          <w:rFonts w:eastAsia="Calibri"/>
          <w:color w:themeTint="D9" w:themeColor="text1" w:val="262626"/>
        </w:rPr>
      </w:pPr>
      <w:r>
        <w:rPr>
          <w:rFonts w:eastAsia="Calibri"/>
          <w:color w:themeTint="D9" w:themeColor="text1" w:val="262626"/>
        </w:rPr>
        <w:lastRenderedPageBreak/>
        <w:t>Stečajna upraviteljica je osporila:</w:t>
      </w:r>
    </w:p>
    <w:p w:rsidRDefault="007A762C" w:rsidR="007A762C">
      <w:pPr>
        <w:jc w:val="both"/>
        <w:rPr>
          <w:rFonts w:eastAsia="Calibri"/>
          <w:color w:themeTint="D9" w:themeColor="text1" w:val="262626"/>
        </w:rPr>
      </w:pPr>
      <w:r>
        <w:rPr>
          <w:rFonts w:eastAsia="Calibri"/>
          <w:color w:themeTint="D9" w:themeColor="text1" w:val="262626"/>
        </w:rPr>
        <w:t xml:space="preserve">Pod rednim brojem 3. </w:t>
      </w:r>
      <w:r w:rsidRPr="00A55F29">
        <w:rPr>
          <w:rFonts w:eastAsia="Calibri"/>
          <w:b/>
          <w:color w:themeTint="D9" w:themeColor="text1" w:val="262626"/>
          <w:u w:val="single"/>
        </w:rPr>
        <w:t>SUVLASNICI STEMBENE ZGRADE U ZAGREBU MATIJE DIVKOVIĆA 19A</w:t>
      </w:r>
      <w:r w:rsidR="00A55F29">
        <w:rPr>
          <w:rFonts w:eastAsia="Calibri"/>
          <w:color w:themeTint="D9" w:themeColor="text1" w:val="262626"/>
        </w:rPr>
        <w:t xml:space="preserve"> zastupani po Gradsko stambeno komunalno gospodarstvo – osporava se iznos od </w:t>
      </w:r>
      <w:r w:rsidR="00A55F29" w:rsidRPr="00A55F29">
        <w:rPr>
          <w:rFonts w:eastAsia="Calibri"/>
          <w:b/>
          <w:color w:themeTint="D9" w:themeColor="text1" w:val="262626"/>
          <w:u w:val="single"/>
        </w:rPr>
        <w:t>12.019,06 kn</w:t>
      </w:r>
      <w:r w:rsidR="00A55F29">
        <w:rPr>
          <w:rFonts w:eastAsia="Calibri"/>
          <w:color w:themeTint="D9" w:themeColor="text1" w:val="262626"/>
        </w:rPr>
        <w:t xml:space="preserve"> </w:t>
      </w:r>
      <w:bookmarkStart w:name="_Hlk498617438" w:id="1"/>
      <w:r w:rsidR="00A55F29">
        <w:rPr>
          <w:rFonts w:eastAsia="Calibri"/>
          <w:color w:themeTint="D9" w:themeColor="text1" w:val="262626"/>
        </w:rPr>
        <w:t>iz razloga što Rješenja o ovrsi nemaju klauzulu pravomoćnosti i ovršnosti, a sami računi su već pali u zastaru</w:t>
      </w:r>
      <w:bookmarkEnd w:id="1"/>
      <w:r w:rsidR="00A55F29">
        <w:rPr>
          <w:rFonts w:eastAsia="Calibri"/>
          <w:color w:themeTint="D9" w:themeColor="text1" w:val="262626"/>
        </w:rPr>
        <w:t>.</w:t>
      </w:r>
    </w:p>
    <w:p w:rsidRDefault="00A55F29" w:rsidR="00A55F29">
      <w:pPr>
        <w:jc w:val="both"/>
        <w:rPr>
          <w:rFonts w:eastAsia="Calibri"/>
          <w:color w:themeTint="D9" w:themeColor="text1" w:val="262626"/>
        </w:rPr>
      </w:pPr>
      <w:r>
        <w:rPr>
          <w:rFonts w:eastAsia="Calibri"/>
          <w:color w:themeTint="D9" w:themeColor="text1" w:val="262626"/>
        </w:rPr>
        <w:t xml:space="preserve">Pod rednim brojem 4. </w:t>
      </w:r>
      <w:r w:rsidRPr="00A55F29">
        <w:rPr>
          <w:rFonts w:eastAsia="Calibri"/>
          <w:b/>
          <w:color w:themeTint="D9" w:themeColor="text1" w:val="262626"/>
          <w:u w:val="single"/>
        </w:rPr>
        <w:t>ZAGREBAČKI HOLDING d.o.o. Zagreb</w:t>
      </w:r>
      <w:r>
        <w:rPr>
          <w:rFonts w:eastAsia="Calibri"/>
          <w:color w:themeTint="D9" w:themeColor="text1" w:val="262626"/>
        </w:rPr>
        <w:t xml:space="preserve"> – osporava se iznos od </w:t>
      </w:r>
      <w:r w:rsidRPr="00A55F29">
        <w:rPr>
          <w:rFonts w:eastAsia="Calibri"/>
          <w:b/>
          <w:color w:themeTint="D9" w:themeColor="text1" w:val="262626"/>
          <w:u w:val="single"/>
        </w:rPr>
        <w:t>1.102,09 kn</w:t>
      </w:r>
      <w:r w:rsidRPr="00A55F29">
        <w:rPr>
          <w:rFonts w:eastAsia="Calibri"/>
          <w:color w:themeTint="D9" w:themeColor="text1" w:val="262626"/>
        </w:rPr>
        <w:t xml:space="preserve"> </w:t>
      </w:r>
      <w:r>
        <w:rPr>
          <w:rFonts w:eastAsia="Calibri"/>
          <w:color w:themeTint="D9" w:themeColor="text1" w:val="262626"/>
        </w:rPr>
        <w:t>iz razloga što Rješenja o ovrsi nemaju klauzulu pravomoćnosti i ovršnosti, a sami računi su već pali u zastaru.</w:t>
      </w:r>
    </w:p>
    <w:p w:rsidRDefault="00A55F29" w:rsidP="00A55F29" w:rsidR="00A55F29">
      <w:pPr>
        <w:jc w:val="both"/>
        <w:rPr>
          <w:rFonts w:eastAsia="Calibri"/>
          <w:color w:themeTint="D9" w:themeColor="text1" w:val="262626"/>
        </w:rPr>
      </w:pPr>
      <w:r>
        <w:rPr>
          <w:rFonts w:eastAsia="Calibri"/>
          <w:color w:themeTint="D9" w:themeColor="text1" w:val="262626"/>
        </w:rPr>
        <w:t xml:space="preserve">Pod rednim brojem 9. </w:t>
      </w:r>
      <w:r w:rsidRPr="00A55F29">
        <w:rPr>
          <w:rFonts w:eastAsia="Calibri"/>
          <w:b/>
          <w:color w:themeTint="D9" w:themeColor="text1" w:val="262626"/>
          <w:u w:val="single"/>
        </w:rPr>
        <w:t>GRADSKA PLINARA ZAGREB-OPSKRBA d.o.o. Zagreb</w:t>
      </w:r>
      <w:r>
        <w:rPr>
          <w:rFonts w:eastAsia="Calibri"/>
          <w:b/>
          <w:color w:themeTint="D9" w:themeColor="text1" w:val="262626"/>
          <w:u w:val="single"/>
        </w:rPr>
        <w:t xml:space="preserve"> </w:t>
      </w:r>
      <w:r>
        <w:rPr>
          <w:rFonts w:eastAsia="Calibri"/>
          <w:color w:themeTint="D9" w:themeColor="text1" w:val="262626"/>
        </w:rPr>
        <w:t xml:space="preserve">– osporava se iznos od </w:t>
      </w:r>
      <w:r w:rsidRPr="00A55F29">
        <w:rPr>
          <w:rFonts w:eastAsia="Calibri"/>
          <w:b/>
          <w:color w:themeTint="D9" w:themeColor="text1" w:val="262626"/>
          <w:u w:val="single"/>
        </w:rPr>
        <w:t>1</w:t>
      </w:r>
      <w:r>
        <w:rPr>
          <w:rFonts w:eastAsia="Calibri"/>
          <w:b/>
          <w:color w:themeTint="D9" w:themeColor="text1" w:val="262626"/>
          <w:u w:val="single"/>
        </w:rPr>
        <w:t>3.034,79</w:t>
      </w:r>
      <w:r w:rsidRPr="00A55F29">
        <w:rPr>
          <w:rFonts w:eastAsia="Calibri"/>
          <w:b/>
          <w:color w:themeTint="D9" w:themeColor="text1" w:val="262626"/>
          <w:u w:val="single"/>
        </w:rPr>
        <w:t xml:space="preserve"> kn</w:t>
      </w:r>
      <w:r w:rsidRPr="00A55F29">
        <w:rPr>
          <w:rFonts w:eastAsia="Calibri"/>
          <w:color w:themeTint="D9" w:themeColor="text1" w:val="262626"/>
        </w:rPr>
        <w:t xml:space="preserve"> </w:t>
      </w:r>
      <w:r>
        <w:rPr>
          <w:rFonts w:eastAsia="Calibri"/>
          <w:color w:themeTint="D9" w:themeColor="text1" w:val="262626"/>
        </w:rPr>
        <w:t>iz razloga što Rješenja o ovrsi nemaju klauzulu pravomoćnosti i ovršnosti, a sami računi su već pali u zastaru.</w:t>
      </w:r>
    </w:p>
    <w:p w:rsidRDefault="00A55F29" w:rsidR="00A55F29">
      <w:pPr>
        <w:jc w:val="both"/>
        <w:rPr>
          <w:rFonts w:eastAsia="Calibri"/>
          <w:color w:themeTint="D9" w:themeColor="text1" w:val="262626"/>
        </w:rPr>
      </w:pPr>
    </w:p>
    <w:p w:rsidRDefault="00A55F29" w:rsidR="00A55F29" w:rsidRPr="00A55F29">
      <w:pPr>
        <w:jc w:val="both"/>
        <w:rPr>
          <w:rFonts w:eastAsia="Calibri"/>
          <w:b/>
          <w:i/>
          <w:color w:themeTint="D9" w:themeColor="text1" w:val="262626"/>
          <w:u w:val="single"/>
        </w:rPr>
      </w:pPr>
      <w:r w:rsidRPr="00A55F29">
        <w:rPr>
          <w:rFonts w:eastAsia="Calibri"/>
          <w:b/>
          <w:i/>
          <w:color w:themeTint="D9" w:themeColor="text1" w:val="262626"/>
          <w:u w:val="single"/>
        </w:rPr>
        <w:t>6.2. PRIZNATA POTRAŽIVANJA 2. VIŠEG ISPLATNOG REDA</w:t>
      </w:r>
    </w:p>
    <w:p w:rsidRDefault="00A55F29" w:rsidR="00A55F29">
      <w:pPr>
        <w:jc w:val="both"/>
        <w:rPr>
          <w:rFonts w:eastAsia="Calibri"/>
          <w:color w:themeTint="D9" w:themeColor="text1" w:val="262626"/>
        </w:rPr>
      </w:pPr>
    </w:p>
    <w:p w:rsidRDefault="00A55F29" w:rsidR="00A55F29">
      <w:pPr>
        <w:jc w:val="both"/>
        <w:rPr>
          <w:rFonts w:eastAsia="Calibri"/>
          <w:color w:themeTint="D9" w:themeColor="text1" w:val="262626"/>
        </w:rPr>
      </w:pPr>
      <w:r>
        <w:rPr>
          <w:rFonts w:eastAsia="Calibri"/>
          <w:color w:themeTint="D9" w:themeColor="text1" w:val="262626"/>
        </w:rPr>
        <w:t xml:space="preserve">Stečajna upraviteljica priznaje potraživanja 2. višeg isplatnog reda u iznosu od </w:t>
      </w:r>
      <w:r w:rsidRPr="00A55F29">
        <w:rPr>
          <w:rFonts w:eastAsia="Calibri"/>
          <w:b/>
          <w:color w:themeTint="D9" w:themeColor="text1" w:val="262626"/>
          <w:u w:val="single"/>
        </w:rPr>
        <w:t>243.849,70 kn</w:t>
      </w:r>
      <w:r>
        <w:rPr>
          <w:rFonts w:eastAsia="Calibri"/>
          <w:color w:themeTint="D9" w:themeColor="text1" w:val="262626"/>
        </w:rPr>
        <w:t>.</w:t>
      </w:r>
    </w:p>
    <w:p w:rsidRDefault="00A55F29" w:rsidR="00A55F29">
      <w:pPr>
        <w:jc w:val="both"/>
        <w:rPr>
          <w:rFonts w:eastAsia="Calibri"/>
          <w:color w:themeTint="D9" w:themeColor="text1" w:val="262626"/>
        </w:rPr>
      </w:pPr>
    </w:p>
    <w:p w:rsidRDefault="00A55F29" w:rsidR="00A55F29">
      <w:pPr>
        <w:jc w:val="both"/>
        <w:rPr>
          <w:rFonts w:eastAsia="Calibri"/>
          <w:color w:themeTint="D9" w:themeColor="text1" w:val="262626"/>
        </w:rPr>
      </w:pPr>
    </w:p>
    <w:p w:rsidRDefault="00B0201B" w:rsidR="00AB53EB">
      <w:pPr>
        <w:jc w:val="both"/>
      </w:pPr>
      <w:r>
        <w:rPr>
          <w:rFonts w:cs="Times New Roman" w:eastAsia="Times New Roman"/>
          <w:b/>
          <w:i/>
          <w:color w:themeTint="D9" w:themeColor="text1" w:val="262626"/>
          <w:u w:val="single"/>
          <w:lang w:eastAsia="hr-HR"/>
        </w:rPr>
        <w:t>7. RAZLUČNA PRAVA</w:t>
      </w:r>
    </w:p>
    <w:p w:rsidRDefault="00AB53EB" w:rsidR="00AB53EB">
      <w:pPr>
        <w:jc w:val="both"/>
      </w:pPr>
    </w:p>
    <w:p w:rsidRDefault="00B24595" w:rsidR="00AB53EB">
      <w:pPr>
        <w:jc w:val="both"/>
        <w:rPr>
          <w:rFonts w:cs="Times New Roman" w:eastAsia="Times New Roman"/>
          <w:color w:themeTint="D9" w:themeColor="text1" w:val="262626"/>
          <w:lang w:eastAsia="hr-HR"/>
        </w:rPr>
      </w:pPr>
      <w:r>
        <w:rPr>
          <w:rFonts w:cs="Times New Roman" w:eastAsia="Times New Roman"/>
          <w:color w:themeTint="D9" w:themeColor="text1" w:val="262626"/>
          <w:lang w:eastAsia="hr-HR"/>
        </w:rPr>
        <w:t>Obavijest o razlučnom pravu:</w:t>
      </w:r>
    </w:p>
    <w:p w:rsidRDefault="00B24595" w:rsidR="00B24595">
      <w:pPr>
        <w:jc w:val="both"/>
        <w:rPr>
          <w:rFonts w:cs="Times New Roman" w:eastAsia="Times New Roman"/>
          <w:color w:themeTint="D9" w:themeColor="text1" w:val="262626"/>
          <w:lang w:eastAsia="hr-HR"/>
        </w:rPr>
      </w:pPr>
      <w:r w:rsidRPr="00A55F29">
        <w:rPr>
          <w:rFonts w:cs="Times New Roman" w:eastAsia="Times New Roman"/>
          <w:b/>
          <w:color w:themeTint="D9" w:themeColor="text1" w:val="262626"/>
          <w:u w:val="single"/>
          <w:lang w:eastAsia="hr-HR"/>
        </w:rPr>
        <w:t xml:space="preserve">Republika </w:t>
      </w:r>
      <w:r w:rsidR="00A55F29">
        <w:rPr>
          <w:rFonts w:cs="Times New Roman" w:eastAsia="Times New Roman"/>
          <w:b/>
          <w:color w:themeTint="D9" w:themeColor="text1" w:val="262626"/>
          <w:u w:val="single"/>
          <w:lang w:eastAsia="hr-HR"/>
        </w:rPr>
        <w:t>Hrvatska, Ministarstvo financija</w:t>
      </w:r>
      <w:r>
        <w:rPr>
          <w:rFonts w:cs="Times New Roman" w:eastAsia="Times New Roman"/>
          <w:color w:themeTint="D9" w:themeColor="text1" w:val="262626"/>
          <w:lang w:eastAsia="hr-HR"/>
        </w:rPr>
        <w:t>, temeljem Rješenja o</w:t>
      </w:r>
      <w:r w:rsidR="004F552C">
        <w:rPr>
          <w:rFonts w:cs="Times New Roman" w:eastAsia="Times New Roman"/>
          <w:color w:themeTint="D9" w:themeColor="text1" w:val="262626"/>
          <w:lang w:eastAsia="hr-HR"/>
        </w:rPr>
        <w:t xml:space="preserve"> osiguranju Općinskog građanskog suda u Zagrebu Posl.br. Ovr-1514/14 od 21. svibnja 2014. godine za nekretninu u Zagrebu upisanu u Z.k.ul. 8026 K.o. Vrapče Novo – poslovni prostor u prizemlju oznake PP9, površine 38,32 m2</w:t>
      </w:r>
      <w:r w:rsidR="00D66FE5">
        <w:rPr>
          <w:rFonts w:cs="Times New Roman" w:eastAsia="Times New Roman"/>
          <w:color w:themeTint="D9" w:themeColor="text1" w:val="262626"/>
          <w:lang w:eastAsia="hr-HR"/>
        </w:rPr>
        <w:t xml:space="preserve"> u iznosu</w:t>
      </w:r>
      <w:r w:rsidR="00224465">
        <w:rPr>
          <w:rFonts w:cs="Times New Roman" w:eastAsia="Times New Roman"/>
          <w:color w:themeTint="D9" w:themeColor="text1" w:val="262626"/>
          <w:lang w:eastAsia="hr-HR"/>
        </w:rPr>
        <w:t xml:space="preserve"> o</w:t>
      </w:r>
      <w:r w:rsidR="00D66FE5">
        <w:rPr>
          <w:rFonts w:cs="Times New Roman" w:eastAsia="Times New Roman"/>
          <w:color w:themeTint="D9" w:themeColor="text1" w:val="262626"/>
          <w:lang w:eastAsia="hr-HR"/>
        </w:rPr>
        <w:t xml:space="preserve">d  </w:t>
      </w:r>
      <w:r w:rsidR="00224465">
        <w:rPr>
          <w:rFonts w:cs="Times New Roman" w:eastAsia="Times New Roman"/>
          <w:color w:themeTint="D9" w:themeColor="text1" w:val="262626"/>
          <w:lang w:eastAsia="hr-HR"/>
        </w:rPr>
        <w:t>74.155,55 kn.</w:t>
      </w:r>
    </w:p>
    <w:p w:rsidRDefault="00224465" w:rsidR="00224465">
      <w:pPr>
        <w:jc w:val="both"/>
        <w:rPr>
          <w:rFonts w:cs="Times New Roman" w:eastAsia="Times New Roman"/>
          <w:color w:themeTint="D9" w:themeColor="text1" w:val="262626"/>
          <w:lang w:eastAsia="hr-HR"/>
        </w:rPr>
      </w:pPr>
    </w:p>
    <w:p w:rsidRDefault="00224465" w:rsidR="00224465">
      <w:pPr>
        <w:jc w:val="both"/>
        <w:rPr>
          <w:rFonts w:cs="Times New Roman" w:eastAsia="Times New Roman"/>
          <w:color w:themeTint="D9" w:themeColor="text1" w:val="262626"/>
          <w:lang w:eastAsia="hr-HR"/>
        </w:rPr>
      </w:pPr>
      <w:r>
        <w:rPr>
          <w:rFonts w:cs="Times New Roman" w:eastAsia="Times New Roman"/>
          <w:color w:themeTint="D9" w:themeColor="text1" w:val="262626"/>
          <w:lang w:eastAsia="hr-HR"/>
        </w:rPr>
        <w:t>Nisu dali obavijest:</w:t>
      </w:r>
    </w:p>
    <w:p w:rsidRDefault="00224465" w:rsidP="00224465" w:rsidR="00224465" w:rsidRPr="00224465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color w:themeTint="D9" w:themeColor="text1" w:val="262626"/>
          <w:lang w:eastAsia="hr-HR"/>
        </w:rPr>
      </w:pPr>
      <w:r w:rsidRPr="00224465">
        <w:rPr>
          <w:rFonts w:cs="Times New Roman" w:eastAsia="Times New Roman"/>
          <w:color w:themeTint="D9" w:themeColor="text1" w:val="262626"/>
          <w:lang w:eastAsia="hr-HR"/>
        </w:rPr>
        <w:t>Erste &amp; Steiermarkische banka d.d. na iznos od 55.000,00 EUR-a</w:t>
      </w:r>
    </w:p>
    <w:p w:rsidRDefault="00224465" w:rsidP="00224465" w:rsidR="00224465" w:rsidRPr="00224465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color w:themeTint="D9" w:themeColor="text1" w:val="262626"/>
          <w:lang w:eastAsia="hr-HR"/>
        </w:rPr>
      </w:pPr>
      <w:r>
        <w:rPr>
          <w:rFonts w:cs="Times New Roman" w:eastAsia="Times New Roman"/>
          <w:color w:themeTint="D9" w:themeColor="text1" w:val="262626"/>
          <w:lang w:eastAsia="hr-HR"/>
        </w:rPr>
        <w:t>Rješenje o ovrsi Posl.br. Ovr-4262/16 od 13. lipnja 2016. godine</w:t>
      </w:r>
    </w:p>
    <w:p w:rsidRDefault="00224465" w:rsidR="00224465">
      <w:pPr>
        <w:jc w:val="both"/>
      </w:pP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A55F29" w:rsidR="00A55F29">
      <w:pPr>
        <w:jc w:val="both"/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lastRenderedPageBreak/>
        <w:t>8. PREGLED IMOVINE I OBVEZA</w:t>
      </w:r>
    </w:p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t>1.) Predmet stečajne mase</w:t>
      </w:r>
    </w:p>
    <w:tbl>
      <w:tblPr>
        <w:tblStyle w:val="Reetkatablice"/>
        <w:tblW w:type="dxa" w:w="9289"/>
        <w:tblInd w:type="dxa" w:w="-40"/>
        <w:tblCellMar>
          <w:left w:type="dxa" w:w="68"/>
        </w:tblCellMar>
        <w:tblLook w:val="04A0" w:noVBand="1" w:noHBand="0" w:lastColumn="0" w:firstColumn="1" w:lastRow="0" w:firstRow="1"/>
      </w:tblPr>
      <w:tblGrid>
        <w:gridCol w:w="1044"/>
        <w:gridCol w:w="4350"/>
        <w:gridCol w:w="3895"/>
      </w:tblGrid>
      <w:tr w:rsidR="00AB53EB">
        <w:tc>
          <w:tcPr>
            <w:tcW w:type="dxa" w:w="10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R.br.</w:t>
            </w:r>
          </w:p>
        </w:tc>
        <w:tc>
          <w:tcPr>
            <w:tcW w:type="dxa" w:w="4350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predmet</w:t>
            </w:r>
          </w:p>
        </w:tc>
        <w:tc>
          <w:tcPr>
            <w:tcW w:type="dxa" w:w="3895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knjigovodstvena vrijednost</w:t>
            </w:r>
          </w:p>
        </w:tc>
      </w:tr>
      <w:tr w:rsidR="00AB53EB">
        <w:tc>
          <w:tcPr>
            <w:tcW w:type="dxa" w:w="10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1.</w:t>
            </w:r>
          </w:p>
        </w:tc>
        <w:tc>
          <w:tcPr>
            <w:tcW w:type="dxa" w:w="4350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MATERIJALNA IMOVINA</w:t>
            </w:r>
          </w:p>
        </w:tc>
        <w:tc>
          <w:tcPr>
            <w:tcW w:type="dxa" w:w="3895"/>
            <w:shd w:fill="auto" w:color="auto" w:val="clear"/>
            <w:tcMar>
              <w:left w:type="dxa" w:w="68"/>
            </w:tcMar>
          </w:tcPr>
          <w:p w:rsidRDefault="0053012A" w:rsidR="00AB53EB">
            <w:pPr>
              <w:spacing w:after="0"/>
            </w:pPr>
            <w:r>
              <w:rPr>
                <w:color w:themeTint="D9" w:themeColor="text1" w:val="262626"/>
              </w:rPr>
              <w:t>425.000,00</w:t>
            </w:r>
          </w:p>
        </w:tc>
      </w:tr>
      <w:tr w:rsidR="00AB53EB">
        <w:tc>
          <w:tcPr>
            <w:tcW w:type="dxa" w:w="10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2.</w:t>
            </w:r>
          </w:p>
        </w:tc>
        <w:tc>
          <w:tcPr>
            <w:tcW w:type="dxa" w:w="4350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NEMATERIJALNA IMOVINA</w:t>
            </w:r>
          </w:p>
        </w:tc>
        <w:tc>
          <w:tcPr>
            <w:tcW w:type="dxa" w:w="3895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10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3.</w:t>
            </w:r>
          </w:p>
        </w:tc>
        <w:tc>
          <w:tcPr>
            <w:tcW w:type="dxa" w:w="4350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POTRAŽIVANJA</w:t>
            </w:r>
          </w:p>
        </w:tc>
        <w:tc>
          <w:tcPr>
            <w:tcW w:type="dxa" w:w="3895"/>
            <w:shd w:fill="auto" w:color="auto" w:val="clear"/>
            <w:tcMar>
              <w:left w:type="dxa" w:w="68"/>
            </w:tcMar>
          </w:tcPr>
          <w:p w:rsidRDefault="0053012A" w:rsidR="00AB53EB">
            <w:pPr>
              <w:pStyle w:val="Sadrajitablice"/>
              <w:spacing w:after="0"/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10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4.</w:t>
            </w:r>
          </w:p>
        </w:tc>
        <w:tc>
          <w:tcPr>
            <w:tcW w:type="dxa" w:w="4350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KRATKOTRAJNA FINANACIJSKA IMOVINA</w:t>
            </w:r>
          </w:p>
        </w:tc>
        <w:tc>
          <w:tcPr>
            <w:tcW w:type="dxa" w:w="3895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</w:pPr>
            <w:r>
              <w:rPr>
                <w:color w:themeTint="D9" w:themeColor="text1" w:val="262626"/>
              </w:rPr>
              <w:t>0</w:t>
            </w:r>
          </w:p>
        </w:tc>
      </w:tr>
      <w:tr w:rsidR="00AB53EB">
        <w:tc>
          <w:tcPr>
            <w:tcW w:type="dxa" w:w="104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Ukupno</w:t>
            </w:r>
          </w:p>
        </w:tc>
        <w:tc>
          <w:tcPr>
            <w:tcW w:type="dxa" w:w="4350"/>
            <w:shd w:fill="auto" w:color="auto" w:val="clear"/>
            <w:tcMar>
              <w:left w:type="dxa" w:w="68"/>
            </w:tcMar>
          </w:tcPr>
          <w:p w:rsidRDefault="00AB53EB" w:rsidR="00AB53EB">
            <w:pPr>
              <w:spacing w:after="0"/>
              <w:rPr>
                <w:rFonts w:eastAsia="Calibri" w:hAnsi="Calibri" w:ascii="Calibri"/>
                <w:color w:themeTint="D9" w:themeColor="text1" w:val="262626"/>
              </w:rPr>
            </w:pPr>
          </w:p>
        </w:tc>
        <w:tc>
          <w:tcPr>
            <w:tcW w:type="dxa" w:w="3895"/>
            <w:shd w:fill="auto" w:color="auto" w:val="clear"/>
            <w:tcMar>
              <w:left w:type="dxa" w:w="68"/>
            </w:tcMar>
          </w:tcPr>
          <w:p w:rsidRDefault="0053012A" w:rsidR="00AB53EB" w:rsidRPr="00DB16A4">
            <w:pPr>
              <w:pStyle w:val="Sadrajitablice"/>
              <w:spacing w:after="0"/>
              <w:rPr>
                <w:b/>
                <w:u w:val="single"/>
              </w:rPr>
            </w:pPr>
            <w:r w:rsidRPr="00DB16A4">
              <w:rPr>
                <w:b/>
                <w:color w:themeTint="D9" w:themeColor="text1" w:val="262626"/>
                <w:u w:val="single"/>
              </w:rPr>
              <w:t>425.000,00</w:t>
            </w:r>
          </w:p>
        </w:tc>
      </w:tr>
    </w:tbl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t>2.) Obveze stečajne mase</w:t>
      </w:r>
    </w:p>
    <w:tbl>
      <w:tblPr>
        <w:tblStyle w:val="Reetkatablice"/>
        <w:tblW w:type="dxa" w:w="9288"/>
        <w:tblInd w:type="dxa" w:w="-40"/>
        <w:tblCellMar>
          <w:left w:type="dxa" w:w="68"/>
        </w:tblCellMar>
        <w:tblLook w:val="04A0" w:noVBand="1" w:noHBand="0" w:lastColumn="0" w:firstColumn="1" w:lastRow="0" w:firstRow="1"/>
      </w:tblPr>
      <w:tblGrid>
        <w:gridCol w:w="1004"/>
        <w:gridCol w:w="5194"/>
        <w:gridCol w:w="3090"/>
      </w:tblGrid>
      <w:tr w:rsidR="00AB53EB">
        <w:tc>
          <w:tcPr>
            <w:tcW w:type="dxa" w:w="100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R.br.</w:t>
            </w:r>
          </w:p>
        </w:tc>
        <w:tc>
          <w:tcPr>
            <w:tcW w:type="dxa" w:w="519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predmet</w:t>
            </w:r>
          </w:p>
        </w:tc>
        <w:tc>
          <w:tcPr>
            <w:tcW w:type="dxa" w:w="3090"/>
            <w:shd w:fill="auto" w:color="auto" w:val="clear"/>
            <w:tcMar>
              <w:left w:type="dxa" w:w="68"/>
            </w:tcMar>
          </w:tcPr>
          <w:p w:rsidRDefault="00AB53EB" w:rsidR="00AB53EB">
            <w:pPr>
              <w:spacing w:after="0"/>
              <w:rPr>
                <w:rFonts w:eastAsia="Calibri" w:hAnsi="Calibri" w:ascii="Calibri"/>
                <w:color w:themeTint="D9" w:themeColor="text1" w:val="262626"/>
              </w:rPr>
            </w:pPr>
          </w:p>
        </w:tc>
      </w:tr>
      <w:tr w:rsidR="00AB53EB">
        <w:tc>
          <w:tcPr>
            <w:tcW w:type="dxa" w:w="100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1.</w:t>
            </w:r>
          </w:p>
        </w:tc>
        <w:tc>
          <w:tcPr>
            <w:tcW w:type="dxa" w:w="519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</w:pPr>
            <w:r>
              <w:rPr>
                <w:color w:themeTint="D9" w:themeColor="text1" w:val="262626"/>
              </w:rPr>
              <w:t>RAZLUČNI VJEROVNICI</w:t>
            </w:r>
          </w:p>
        </w:tc>
        <w:tc>
          <w:tcPr>
            <w:tcW w:type="dxa" w:w="3090"/>
            <w:shd w:fill="auto" w:color="auto" w:val="clear"/>
            <w:tcMar>
              <w:left w:type="dxa" w:w="68"/>
            </w:tcMar>
          </w:tcPr>
          <w:p w:rsidRDefault="00DB16A4" w:rsidR="00AB53EB">
            <w:pPr>
              <w:spacing w:after="0"/>
              <w:jc w:val="both"/>
            </w:pPr>
            <w:r>
              <w:rPr>
                <w:rFonts w:cs="Times New Roman" w:eastAsia="Times New Roman"/>
                <w:color w:themeTint="D9" w:themeColor="text1" w:val="262626"/>
                <w:lang w:eastAsia="hr-HR"/>
              </w:rPr>
              <w:t xml:space="preserve"> 74.155,55 kn</w:t>
            </w:r>
          </w:p>
        </w:tc>
      </w:tr>
      <w:tr w:rsidR="00AB53EB">
        <w:tc>
          <w:tcPr>
            <w:tcW w:type="dxa" w:w="100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2.</w:t>
            </w:r>
          </w:p>
        </w:tc>
        <w:tc>
          <w:tcPr>
            <w:tcW w:type="dxa" w:w="519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</w:pPr>
            <w:r>
              <w:rPr>
                <w:color w:themeTint="D9" w:themeColor="text1" w:val="262626"/>
              </w:rPr>
              <w:t>TROŠKOVI STEČAJNOG POSTUPKA (procjena za 6 mj)</w:t>
            </w:r>
          </w:p>
        </w:tc>
        <w:tc>
          <w:tcPr>
            <w:tcW w:type="dxa" w:w="3090"/>
            <w:shd w:fill="auto" w:color="auto" w:val="clear"/>
            <w:tcMar>
              <w:left w:type="dxa" w:w="68"/>
            </w:tcMar>
          </w:tcPr>
          <w:p w:rsidRDefault="00B24595" w:rsidR="00AB53EB">
            <w:pPr>
              <w:spacing w:after="0"/>
              <w:jc w:val="both"/>
            </w:pPr>
            <w:r>
              <w:rPr>
                <w:color w:themeTint="D9" w:themeColor="text1" w:val="262626"/>
              </w:rPr>
              <w:t xml:space="preserve">  17.55</w:t>
            </w:r>
            <w:r w:rsidR="00B0201B">
              <w:rPr>
                <w:color w:themeTint="D9" w:themeColor="text1" w:val="262626"/>
              </w:rPr>
              <w:t>0,00 kn</w:t>
            </w:r>
          </w:p>
        </w:tc>
      </w:tr>
      <w:tr w:rsidR="00AB53EB">
        <w:tc>
          <w:tcPr>
            <w:tcW w:type="dxa" w:w="100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3.</w:t>
            </w:r>
          </w:p>
        </w:tc>
        <w:tc>
          <w:tcPr>
            <w:tcW w:type="dxa" w:w="519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</w:pPr>
            <w:r>
              <w:rPr>
                <w:color w:themeTint="D9" w:themeColor="text1" w:val="262626"/>
              </w:rPr>
              <w:t>NAGRADA STEČAJNOJ UPRAVITELJICI</w:t>
            </w:r>
          </w:p>
        </w:tc>
        <w:tc>
          <w:tcPr>
            <w:tcW w:type="dxa" w:w="3090"/>
            <w:shd w:fill="auto" w:color="auto" w:val="clear"/>
            <w:tcMar>
              <w:left w:type="dxa" w:w="68"/>
            </w:tcMar>
          </w:tcPr>
          <w:p w:rsidRDefault="00B24595" w:rsidR="00AB53EB">
            <w:pPr>
              <w:spacing w:after="0"/>
            </w:pPr>
            <w:r>
              <w:rPr>
                <w:color w:themeTint="D9" w:themeColor="text1" w:val="262626"/>
              </w:rPr>
              <w:t xml:space="preserve">  52.5</w:t>
            </w:r>
            <w:r w:rsidR="00B0201B">
              <w:rPr>
                <w:color w:themeTint="D9" w:themeColor="text1" w:val="262626"/>
              </w:rPr>
              <w:t>00,00 kn</w:t>
            </w:r>
          </w:p>
        </w:tc>
      </w:tr>
      <w:tr w:rsidR="00AB53EB">
        <w:tc>
          <w:tcPr>
            <w:tcW w:type="dxa" w:w="100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4.</w:t>
            </w:r>
          </w:p>
        </w:tc>
        <w:tc>
          <w:tcPr>
            <w:tcW w:type="dxa" w:w="519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STEČAJNI VJEROVNICI – 1. viši isplatni red</w:t>
            </w:r>
          </w:p>
        </w:tc>
        <w:tc>
          <w:tcPr>
            <w:tcW w:type="dxa" w:w="3090"/>
            <w:shd w:fill="auto" w:color="auto" w:val="clear"/>
            <w:tcMar>
              <w:left w:type="dxa" w:w="68"/>
            </w:tcMar>
          </w:tcPr>
          <w:p w:rsidRDefault="00A55F29" w:rsidR="00AB53EB" w:rsidRPr="00A55F29">
            <w:pPr>
              <w:spacing w:after="0"/>
              <w:jc w:val="both"/>
            </w:pPr>
            <w:r w:rsidRPr="00A55F29">
              <w:rPr>
                <w:color w:themeTint="D9" w:themeColor="text1" w:val="262626"/>
              </w:rPr>
              <w:t xml:space="preserve">  </w:t>
            </w:r>
            <w:r w:rsidRPr="00A55F29">
              <w:t>4.192,68 kn</w:t>
            </w:r>
          </w:p>
        </w:tc>
      </w:tr>
      <w:tr w:rsidR="00AB53EB">
        <w:tc>
          <w:tcPr>
            <w:tcW w:type="dxa" w:w="100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5.</w:t>
            </w:r>
          </w:p>
        </w:tc>
        <w:tc>
          <w:tcPr>
            <w:tcW w:type="dxa" w:w="519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</w:pPr>
            <w:r>
              <w:rPr>
                <w:color w:themeTint="D9" w:themeColor="text1" w:val="262626"/>
              </w:rPr>
              <w:t>STEČAJNI VJEROVNICI – 2. viši isplatni red</w:t>
            </w:r>
          </w:p>
        </w:tc>
        <w:tc>
          <w:tcPr>
            <w:tcW w:type="dxa" w:w="3090"/>
            <w:shd w:fill="auto" w:color="auto" w:val="clear"/>
            <w:tcMar>
              <w:left w:type="dxa" w:w="68"/>
            </w:tcMar>
          </w:tcPr>
          <w:p w:rsidRDefault="00A55F29" w:rsidR="00AB53EB" w:rsidRPr="00A55F29">
            <w:pPr>
              <w:spacing w:after="0"/>
              <w:jc w:val="both"/>
            </w:pPr>
            <w:r>
              <w:rPr>
                <w:rFonts w:cs="Times New Roman" w:eastAsia="Times New Roman"/>
                <w:color w:themeTint="D9" w:themeColor="text1" w:val="262626"/>
                <w:lang w:eastAsia="hr-HR"/>
              </w:rPr>
              <w:t xml:space="preserve"> </w:t>
            </w:r>
            <w:r w:rsidRPr="00A55F29">
              <w:rPr>
                <w:rFonts w:eastAsia="Calibri"/>
                <w:color w:themeTint="D9" w:themeColor="text1" w:val="262626"/>
              </w:rPr>
              <w:t>243.849,70 kn</w:t>
            </w:r>
          </w:p>
        </w:tc>
      </w:tr>
      <w:tr w:rsidR="00AB53EB">
        <w:trPr>
          <w:trHeight w:val="493"/>
        </w:trPr>
        <w:tc>
          <w:tcPr>
            <w:tcW w:type="dxa" w:w="1004"/>
            <w:shd w:fill="auto" w:color="auto" w:val="clear"/>
            <w:tcMar>
              <w:left w:type="dxa" w:w="68"/>
            </w:tcMar>
          </w:tcPr>
          <w:p w:rsidRDefault="00B0201B" w:rsidR="00AB53EB">
            <w:pPr>
              <w:spacing w:after="0"/>
              <w:rPr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>UKUPNO</w:t>
            </w:r>
          </w:p>
        </w:tc>
        <w:tc>
          <w:tcPr>
            <w:tcW w:type="dxa" w:w="5194"/>
            <w:shd w:fill="auto" w:color="auto" w:val="clear"/>
            <w:tcMar>
              <w:left w:type="dxa" w:w="68"/>
            </w:tcMar>
          </w:tcPr>
          <w:p w:rsidRDefault="00AB53EB" w:rsidR="00AB53EB">
            <w:pPr>
              <w:spacing w:after="0"/>
              <w:rPr>
                <w:rFonts w:eastAsia="Calibri" w:hAnsi="Calibri" w:ascii="Calibri"/>
                <w:color w:themeTint="D9" w:themeColor="text1" w:val="262626"/>
              </w:rPr>
            </w:pPr>
          </w:p>
        </w:tc>
        <w:tc>
          <w:tcPr>
            <w:tcW w:type="dxa" w:w="3090"/>
            <w:shd w:fill="auto" w:color="auto" w:val="clear"/>
            <w:tcMar>
              <w:left w:type="dxa" w:w="68"/>
            </w:tcMar>
          </w:tcPr>
          <w:p w:rsidRDefault="00DB16A4" w:rsidR="00AB53EB" w:rsidRPr="00DB16A4">
            <w:pPr>
              <w:spacing w:after="0"/>
              <w:rPr>
                <w:b/>
                <w:u w:val="single"/>
              </w:rPr>
            </w:pPr>
            <w:r>
              <w:rPr>
                <w:color w:themeTint="D9" w:themeColor="text1" w:val="262626"/>
              </w:rPr>
              <w:t xml:space="preserve"> </w:t>
            </w:r>
            <w:r w:rsidRPr="00DB16A4">
              <w:rPr>
                <w:b/>
                <w:color w:themeTint="D9" w:themeColor="text1" w:val="262626"/>
                <w:u w:val="single"/>
              </w:rPr>
              <w:t>3</w:t>
            </w:r>
            <w:r>
              <w:rPr>
                <w:b/>
                <w:color w:themeTint="D9" w:themeColor="text1" w:val="262626"/>
                <w:u w:val="single"/>
              </w:rPr>
              <w:t>92</w:t>
            </w:r>
            <w:r w:rsidRPr="00DB16A4">
              <w:rPr>
                <w:b/>
                <w:color w:themeTint="D9" w:themeColor="text1" w:val="262626"/>
                <w:u w:val="single"/>
              </w:rPr>
              <w:t>.</w:t>
            </w:r>
            <w:r>
              <w:rPr>
                <w:b/>
                <w:color w:themeTint="D9" w:themeColor="text1" w:val="262626"/>
                <w:u w:val="single"/>
              </w:rPr>
              <w:t>24</w:t>
            </w:r>
            <w:r w:rsidRPr="00DB16A4">
              <w:rPr>
                <w:b/>
                <w:color w:themeTint="D9" w:themeColor="text1" w:val="262626"/>
                <w:u w:val="single"/>
              </w:rPr>
              <w:t>7,93</w:t>
            </w:r>
            <w:r w:rsidR="00B0201B" w:rsidRPr="00DB16A4">
              <w:rPr>
                <w:b/>
                <w:color w:themeTint="D9" w:themeColor="text1" w:val="262626"/>
                <w:u w:val="single"/>
              </w:rPr>
              <w:t xml:space="preserve"> kn</w:t>
            </w:r>
          </w:p>
          <w:p w:rsidRDefault="00AB53EB" w:rsidR="00AB53EB">
            <w:pPr>
              <w:spacing w:after="0"/>
              <w:rPr>
                <w:rFonts w:eastAsia="Calibri" w:hAnsi="Calibri" w:ascii="Calibri"/>
                <w:color w:themeTint="D9" w:themeColor="text1" w:val="262626"/>
              </w:rPr>
            </w:pPr>
          </w:p>
          <w:p w:rsidRDefault="00AB53EB" w:rsidR="00AB53EB">
            <w:pPr>
              <w:spacing w:after="0"/>
              <w:rPr>
                <w:rFonts w:eastAsia="Calibri" w:hAnsi="Calibri" w:ascii="Calibri"/>
                <w:color w:themeTint="D9" w:themeColor="text1" w:val="262626"/>
              </w:rPr>
            </w:pPr>
          </w:p>
          <w:p w:rsidRDefault="00B0201B" w:rsidR="00AB53EB">
            <w:pPr>
              <w:spacing w:after="0"/>
              <w:rPr>
                <w:rFonts w:eastAsia="Calibri" w:hAnsi="Calibri" w:ascii="Calibri"/>
                <w:color w:themeTint="D9" w:themeColor="text1" w:val="262626"/>
              </w:rPr>
            </w:pPr>
            <w:r>
              <w:rPr>
                <w:color w:themeTint="D9" w:themeColor="text1" w:val="262626"/>
              </w:rPr>
              <w:t xml:space="preserve"> </w:t>
            </w:r>
          </w:p>
        </w:tc>
      </w:tr>
    </w:tbl>
    <w:p w:rsidRDefault="00AB53EB" w:rsidR="00AB53EB">
      <w:pPr>
        <w:jc w:val="both"/>
      </w:pP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t>Pod 2. Troškovi stečajnog postupka</w:t>
      </w:r>
      <w:r>
        <w:rPr>
          <w:color w:themeTint="D9" w:themeColor="text1" w:val="262626"/>
        </w:rPr>
        <w:t xml:space="preserve"> radi se o procijenjenim troškovima stečajnog postupka i isto je obrađeno pod točkom 11.</w:t>
      </w: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t xml:space="preserve">Pod 3. </w:t>
      </w:r>
      <w:r>
        <w:rPr>
          <w:b/>
          <w:bCs/>
          <w:color w:themeTint="D9" w:themeColor="text1" w:val="262626"/>
          <w:u w:val="single"/>
        </w:rPr>
        <w:t>Nagrada stečajnoj upraviteljici</w:t>
      </w:r>
      <w:r>
        <w:rPr>
          <w:color w:themeTint="D9" w:themeColor="text1" w:val="262626"/>
        </w:rPr>
        <w:t xml:space="preserve"> je obrađeno pod t. 10.</w:t>
      </w:r>
    </w:p>
    <w:p w:rsidRDefault="00B0201B" w:rsidR="00AB53EB">
      <w:pPr>
        <w:jc w:val="both"/>
      </w:pPr>
      <w:r>
        <w:rPr>
          <w:b/>
          <w:i/>
          <w:color w:themeTint="D9" w:themeColor="text1" w:val="262626"/>
          <w:u w:val="single"/>
        </w:rPr>
        <w:t>Pod 4.</w:t>
      </w:r>
      <w:r>
        <w:rPr>
          <w:color w:themeTint="D9" w:themeColor="text1" w:val="262626"/>
        </w:rPr>
        <w:t xml:space="preserve"> su stečajni vjerovnici </w:t>
      </w:r>
      <w:r>
        <w:rPr>
          <w:b/>
          <w:i/>
          <w:color w:themeTint="D9" w:themeColor="text1" w:val="262626"/>
          <w:u w:val="single"/>
        </w:rPr>
        <w:t>1. višeg isplatnog reda</w:t>
      </w:r>
      <w:r>
        <w:rPr>
          <w:color w:themeTint="D9" w:themeColor="text1" w:val="262626"/>
        </w:rPr>
        <w:t xml:space="preserve">, odnosno radnici, isto je obrađeno pod točkom 5. </w:t>
      </w:r>
    </w:p>
    <w:p w:rsidRDefault="00B0201B" w:rsidR="00AB53EB">
      <w:pPr>
        <w:jc w:val="both"/>
        <w:rPr>
          <w:color w:themeTint="D9" w:themeColor="text1" w:val="262626"/>
        </w:rPr>
      </w:pPr>
      <w:r>
        <w:rPr>
          <w:b/>
          <w:i/>
          <w:color w:themeTint="D9" w:themeColor="text1" w:val="262626"/>
          <w:u w:val="single"/>
        </w:rPr>
        <w:t>Pod 5.</w:t>
      </w:r>
      <w:r>
        <w:rPr>
          <w:color w:themeTint="D9" w:themeColor="text1" w:val="262626"/>
        </w:rPr>
        <w:t xml:space="preserve"> su stečajni vjerovnici </w:t>
      </w:r>
      <w:r>
        <w:rPr>
          <w:b/>
          <w:i/>
          <w:color w:themeTint="D9" w:themeColor="text1" w:val="262626"/>
          <w:u w:val="single"/>
        </w:rPr>
        <w:t>2. višeg isplatnog reda</w:t>
      </w:r>
      <w:r>
        <w:rPr>
          <w:color w:themeTint="D9" w:themeColor="text1" w:val="262626"/>
        </w:rPr>
        <w:t>, a što je obrađeno pod točkom 6.</w:t>
      </w: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AB53EB" w:rsidR="00AB53EB">
      <w:pPr>
        <w:jc w:val="both"/>
      </w:pPr>
    </w:p>
    <w:p w:rsidRDefault="00B24595" w:rsidR="00AB53EB">
      <w:pPr>
        <w:jc w:val="both"/>
      </w:pPr>
      <w:r>
        <w:rPr>
          <w:b/>
          <w:i/>
          <w:color w:themeTint="D9" w:themeColor="text1" w:val="262626"/>
          <w:u w:val="single"/>
        </w:rPr>
        <w:lastRenderedPageBreak/>
        <w:t>9</w:t>
      </w:r>
      <w:r w:rsidR="00B0201B">
        <w:rPr>
          <w:b/>
          <w:i/>
          <w:color w:themeTint="D9" w:themeColor="text1" w:val="262626"/>
          <w:u w:val="single"/>
        </w:rPr>
        <w:t>. NAGRADA STEČAJNOJ UPRAVITELJICI</w:t>
      </w:r>
    </w:p>
    <w:p w:rsidRDefault="00B0201B" w:rsidR="00AB53EB">
      <w:pPr>
        <w:jc w:val="both"/>
      </w:pPr>
      <w:r>
        <w:rPr>
          <w:color w:themeTint="D9" w:themeColor="text1" w:val="262626"/>
        </w:rPr>
        <w:t>Stečajna upraviteljica sukladno ČL. 4. st. 3. i Čl. 5. Uredbe o kriterijima i načinu obračuna i plaćanja nagrade stečajnim upravitel</w:t>
      </w:r>
      <w:r w:rsidR="0053012A">
        <w:rPr>
          <w:color w:themeTint="D9" w:themeColor="text1" w:val="262626"/>
        </w:rPr>
        <w:t>jima (NN br. 71/15), podnosi izračun nagrade</w:t>
      </w:r>
    </w:p>
    <w:p w:rsidRDefault="00AB53EB" w:rsidR="00AB53EB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</w:tblGrid>
      <w:tr w:rsidTr="0053012A" w:rsidR="0053012A">
        <w:tc>
          <w:tcPr>
            <w:tcW w:type="dxa" w:w="2265"/>
          </w:tcPr>
          <w:p w:rsidRDefault="0053012A" w:rsidR="0053012A">
            <w:pPr>
              <w:jc w:val="both"/>
            </w:pPr>
            <w:r>
              <w:t>vrijednost</w:t>
            </w:r>
          </w:p>
        </w:tc>
        <w:tc>
          <w:tcPr>
            <w:tcW w:type="dxa" w:w="2265"/>
          </w:tcPr>
          <w:p w:rsidRDefault="0053012A" w:rsidR="0053012A">
            <w:pPr>
              <w:jc w:val="both"/>
            </w:pPr>
            <w:r>
              <w:t>Nagrada u %</w:t>
            </w:r>
          </w:p>
        </w:tc>
        <w:tc>
          <w:tcPr>
            <w:tcW w:type="dxa" w:w="2266"/>
          </w:tcPr>
          <w:p w:rsidRDefault="0053012A" w:rsidR="0053012A">
            <w:pPr>
              <w:jc w:val="both"/>
            </w:pPr>
            <w:r>
              <w:t>Iznos</w:t>
            </w:r>
          </w:p>
        </w:tc>
      </w:tr>
      <w:tr w:rsidTr="0053012A" w:rsidR="0053012A">
        <w:tc>
          <w:tcPr>
            <w:tcW w:type="dxa" w:w="2265"/>
          </w:tcPr>
          <w:p w:rsidRDefault="0053012A" w:rsidR="0053012A">
            <w:pPr>
              <w:jc w:val="both"/>
            </w:pPr>
            <w:r>
              <w:t>Do 100.000,00</w:t>
            </w:r>
          </w:p>
        </w:tc>
        <w:tc>
          <w:tcPr>
            <w:tcW w:type="dxa" w:w="2265"/>
          </w:tcPr>
          <w:p w:rsidRDefault="0053012A" w:rsidR="0053012A">
            <w:pPr>
              <w:jc w:val="both"/>
            </w:pPr>
            <w:r>
              <w:t>16</w:t>
            </w:r>
          </w:p>
        </w:tc>
        <w:tc>
          <w:tcPr>
            <w:tcW w:type="dxa" w:w="2266"/>
          </w:tcPr>
          <w:p w:rsidRDefault="0053012A" w:rsidR="0053012A">
            <w:pPr>
              <w:jc w:val="both"/>
            </w:pPr>
            <w:r>
              <w:t>16.000,00</w:t>
            </w:r>
          </w:p>
        </w:tc>
      </w:tr>
      <w:tr w:rsidTr="0053012A" w:rsidR="0053012A">
        <w:tc>
          <w:tcPr>
            <w:tcW w:type="dxa" w:w="2265"/>
          </w:tcPr>
          <w:p w:rsidRDefault="0053012A" w:rsidR="0053012A">
            <w:pPr>
              <w:jc w:val="both"/>
            </w:pPr>
            <w:r>
              <w:t>Od 100.000,00 do 300.000,00</w:t>
            </w:r>
          </w:p>
        </w:tc>
        <w:tc>
          <w:tcPr>
            <w:tcW w:type="dxa" w:w="2265"/>
          </w:tcPr>
          <w:p w:rsidRDefault="0053012A" w:rsidR="0053012A">
            <w:pPr>
              <w:jc w:val="both"/>
            </w:pPr>
            <w:r>
              <w:t>12</w:t>
            </w:r>
          </w:p>
        </w:tc>
        <w:tc>
          <w:tcPr>
            <w:tcW w:type="dxa" w:w="2266"/>
          </w:tcPr>
          <w:p w:rsidRDefault="0053012A" w:rsidR="0053012A">
            <w:pPr>
              <w:jc w:val="both"/>
            </w:pPr>
            <w:r>
              <w:t>24.000,00</w:t>
            </w:r>
          </w:p>
        </w:tc>
      </w:tr>
      <w:tr w:rsidTr="0053012A" w:rsidR="0053012A">
        <w:tc>
          <w:tcPr>
            <w:tcW w:type="dxa" w:w="2265"/>
          </w:tcPr>
          <w:p w:rsidRDefault="0053012A" w:rsidR="0053012A">
            <w:pPr>
              <w:jc w:val="both"/>
            </w:pPr>
            <w:r>
              <w:t>Od 300.000,00 do 425.000,00</w:t>
            </w:r>
          </w:p>
        </w:tc>
        <w:tc>
          <w:tcPr>
            <w:tcW w:type="dxa" w:w="2265"/>
          </w:tcPr>
          <w:p w:rsidRDefault="0053012A" w:rsidR="0053012A">
            <w:pPr>
              <w:jc w:val="both"/>
            </w:pPr>
            <w:r>
              <w:t>10</w:t>
            </w:r>
          </w:p>
        </w:tc>
        <w:tc>
          <w:tcPr>
            <w:tcW w:type="dxa" w:w="2266"/>
          </w:tcPr>
          <w:p w:rsidRDefault="0053012A" w:rsidR="0053012A">
            <w:pPr>
              <w:jc w:val="both"/>
            </w:pPr>
            <w:r>
              <w:t>12.500,00</w:t>
            </w:r>
          </w:p>
        </w:tc>
      </w:tr>
    </w:tbl>
    <w:p w:rsidRDefault="00AB53EB" w:rsidR="00AB53EB">
      <w:pPr>
        <w:jc w:val="both"/>
      </w:pPr>
    </w:p>
    <w:p w:rsidRDefault="0053012A" w:rsidR="0053012A">
      <w:pPr>
        <w:jc w:val="both"/>
      </w:pPr>
      <w:r>
        <w:t xml:space="preserve">Nagrada bi vjerojatno mogla iznositi </w:t>
      </w:r>
      <w:r w:rsidRPr="00DB16A4">
        <w:rPr>
          <w:b/>
          <w:u w:val="single"/>
        </w:rPr>
        <w:t>52.500,00 kn</w:t>
      </w:r>
      <w:r>
        <w:t>.</w:t>
      </w:r>
    </w:p>
    <w:p w:rsidRDefault="00AB53EB" w:rsidR="00AB53EB">
      <w:pPr>
        <w:jc w:val="both"/>
      </w:pPr>
    </w:p>
    <w:p w:rsidRDefault="00B24595" w:rsidR="00AB53EB">
      <w:pPr>
        <w:jc w:val="both"/>
      </w:pPr>
      <w:r>
        <w:rPr>
          <w:b/>
          <w:i/>
          <w:color w:themeTint="D9" w:themeColor="text1" w:val="262626"/>
          <w:u w:val="single"/>
        </w:rPr>
        <w:t>10</w:t>
      </w:r>
      <w:r w:rsidR="00B0201B">
        <w:rPr>
          <w:b/>
          <w:i/>
          <w:color w:themeTint="D9" w:themeColor="text1" w:val="262626"/>
          <w:u w:val="single"/>
        </w:rPr>
        <w:t>. PREGLED TROŠKOVA STEČAJNOG POSTUPKA -  PROCIJENA ZA 6 MJESECI</w:t>
      </w:r>
    </w:p>
    <w:p w:rsidRDefault="00AB53EB" w:rsidR="00AB53EB">
      <w:pPr>
        <w:jc w:val="both"/>
      </w:pPr>
    </w:p>
    <w:tbl>
      <w:tblPr>
        <w:tblW w:type="dxa" w:w="9072"/>
        <w:tblInd w:type="dxa" w:w="45"/>
        <w:tblBorders>
          <w:top w:space="0" w:sz="2" w:color="000001" w:val="single"/>
          <w:left w:space="0" w:sz="2" w:color="000001" w:val="single"/>
          <w:bottom w:space="0" w:sz="2" w:color="000001" w:val="single"/>
          <w:insideH w:space="0" w:sz="2" w:color="000001" w:val="single"/>
        </w:tblBorders>
        <w:tblCellMar>
          <w:top w:type="dxa" w:w="55"/>
          <w:left w:type="dxa" w:w="42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958"/>
        <w:gridCol w:w="5085"/>
        <w:gridCol w:w="3029"/>
      </w:tblGrid>
      <w:tr w:rsidR="00AB53EB">
        <w:tc>
          <w:tcPr>
            <w:tcW w:type="dxa" w:w="958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R.br.</w:t>
            </w:r>
          </w:p>
        </w:tc>
        <w:tc>
          <w:tcPr>
            <w:tcW w:type="dxa" w:w="5085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Naziv</w:t>
            </w:r>
          </w:p>
        </w:tc>
        <w:tc>
          <w:tcPr>
            <w:tcW w:type="dxa" w:w="3029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Iznos</w:t>
            </w:r>
          </w:p>
        </w:tc>
      </w:tr>
      <w:tr w:rsidR="00AB53EB">
        <w:tc>
          <w:tcPr>
            <w:tcW w:type="dxa" w:w="958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1</w:t>
            </w:r>
          </w:p>
        </w:tc>
        <w:tc>
          <w:tcPr>
            <w:tcW w:type="dxa" w:w="5085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Knjigovodstvo (700,00 kn/mj + PDV)</w:t>
            </w:r>
          </w:p>
        </w:tc>
        <w:tc>
          <w:tcPr>
            <w:tcW w:type="dxa" w:w="3029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4.200,00 + 1.050,00</w:t>
            </w:r>
          </w:p>
        </w:tc>
      </w:tr>
      <w:tr w:rsidR="00AB53EB">
        <w:tc>
          <w:tcPr>
            <w:tcW w:type="dxa" w:w="958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2</w:t>
            </w:r>
          </w:p>
        </w:tc>
        <w:tc>
          <w:tcPr>
            <w:tcW w:type="dxa" w:w="5085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Erste &amp; Steiermarkische banka – naknade</w:t>
            </w:r>
          </w:p>
        </w:tc>
        <w:tc>
          <w:tcPr>
            <w:tcW w:type="dxa" w:w="3029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 xml:space="preserve">   300,00</w:t>
            </w:r>
          </w:p>
        </w:tc>
      </w:tr>
      <w:tr w:rsidR="00AB53EB">
        <w:tc>
          <w:tcPr>
            <w:tcW w:type="dxa" w:w="958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3</w:t>
            </w:r>
          </w:p>
        </w:tc>
        <w:tc>
          <w:tcPr>
            <w:tcW w:type="dxa" w:w="5085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Javni bilježnik</w:t>
            </w:r>
            <w:r w:rsidR="0053012A">
              <w:t xml:space="preserve"> /odvjetnici</w:t>
            </w:r>
            <w:r>
              <w:t xml:space="preserve"> – postupci ovrha</w:t>
            </w:r>
            <w:r w:rsidR="0053012A">
              <w:t>/tužbi</w:t>
            </w:r>
          </w:p>
        </w:tc>
        <w:tc>
          <w:tcPr>
            <w:tcW w:type="dxa" w:w="3029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53012A" w:rsidR="00AB53EB">
            <w:pPr>
              <w:pStyle w:val="Sadrajitablice"/>
            </w:pPr>
            <w:r>
              <w:t xml:space="preserve"> 5</w:t>
            </w:r>
            <w:r w:rsidR="00B0201B">
              <w:t>.000,00</w:t>
            </w:r>
          </w:p>
        </w:tc>
      </w:tr>
      <w:tr w:rsidR="00AB53EB">
        <w:tc>
          <w:tcPr>
            <w:tcW w:type="dxa" w:w="958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4</w:t>
            </w:r>
          </w:p>
        </w:tc>
        <w:tc>
          <w:tcPr>
            <w:tcW w:type="dxa" w:w="5085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Materijal za rad (papir, toner, registratori, koverte, polica za 16 registratora isl.)</w:t>
            </w:r>
          </w:p>
        </w:tc>
        <w:tc>
          <w:tcPr>
            <w:tcW w:type="dxa" w:w="3029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 xml:space="preserve"> 2.000,00</w:t>
            </w:r>
          </w:p>
        </w:tc>
      </w:tr>
      <w:tr w:rsidR="00AB53EB">
        <w:tc>
          <w:tcPr>
            <w:tcW w:type="dxa" w:w="958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5</w:t>
            </w:r>
          </w:p>
        </w:tc>
        <w:tc>
          <w:tcPr>
            <w:tcW w:type="dxa" w:w="5085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t>Ostali troškovi (mobitel, preporučena pošta, parking, prijevoz isl)</w:t>
            </w:r>
          </w:p>
        </w:tc>
        <w:tc>
          <w:tcPr>
            <w:tcW w:type="dxa" w:w="3029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53012A" w:rsidR="00AB53EB">
            <w:pPr>
              <w:pStyle w:val="Sadrajitablice"/>
            </w:pPr>
            <w:r>
              <w:t xml:space="preserve"> 5.00</w:t>
            </w:r>
            <w:r w:rsidR="00B0201B">
              <w:t>0,00</w:t>
            </w:r>
          </w:p>
        </w:tc>
      </w:tr>
      <w:tr w:rsidR="00AB53EB">
        <w:tc>
          <w:tcPr>
            <w:tcW w:type="dxa" w:w="958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AB53EB" w:rsidR="00AB53EB">
            <w:pPr>
              <w:pStyle w:val="Sadrajitablice"/>
            </w:pPr>
          </w:p>
        </w:tc>
        <w:tc>
          <w:tcPr>
            <w:tcW w:type="dxa" w:w="5085"/>
            <w:tcBorders>
              <w:top w:space="0" w:sz="2" w:color="000001" w:val="single"/>
              <w:left w:space="0" w:sz="2" w:color="000001" w:val="single"/>
              <w:bottom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B0201B" w:rsidR="00AB53EB">
            <w:pPr>
              <w:pStyle w:val="Sadrajitablice"/>
            </w:pPr>
            <w:r>
              <w:rPr>
                <w:b/>
                <w:bCs/>
              </w:rPr>
              <w:t>UKUPNO</w:t>
            </w:r>
          </w:p>
        </w:tc>
        <w:tc>
          <w:tcPr>
            <w:tcW w:type="dxa" w:w="3029"/>
            <w:tcBorders>
              <w:top w:space="0" w:sz="2" w:color="000001" w:val="single"/>
              <w:left w:space="0" w:sz="2" w:color="000001" w:val="single"/>
              <w:bottom w:space="0" w:sz="2" w:color="000001" w:val="single"/>
              <w:right w:space="0" w:sz="2" w:color="000001" w:val="single"/>
            </w:tcBorders>
            <w:shd w:fill="auto" w:color="auto" w:val="clear"/>
            <w:tcMar>
              <w:left w:type="dxa" w:w="42"/>
            </w:tcMar>
          </w:tcPr>
          <w:p w:rsidRDefault="0053012A" w:rsidR="00AB53EB">
            <w:pPr>
              <w:pStyle w:val="Sadrajitablice"/>
            </w:pPr>
            <w:r>
              <w:rPr>
                <w:b/>
                <w:bCs/>
              </w:rPr>
              <w:t>17.55</w:t>
            </w:r>
            <w:r w:rsidR="00B0201B">
              <w:rPr>
                <w:b/>
                <w:bCs/>
              </w:rPr>
              <w:t>0,00</w:t>
            </w:r>
          </w:p>
        </w:tc>
      </w:tr>
    </w:tbl>
    <w:p w:rsidRDefault="00AB53EB" w:rsidR="00AB53EB">
      <w:pPr>
        <w:jc w:val="both"/>
        <w:rPr>
          <w:rFonts w:eastAsia="Calibri" w:hAnsi="Calibri" w:ascii="Calibri"/>
          <w:color w:themeTint="D9" w:themeColor="text1" w:val="262626"/>
        </w:rPr>
      </w:pPr>
    </w:p>
    <w:p w:rsidRDefault="00AB53EB" w:rsidR="00AB53EB">
      <w:pPr>
        <w:jc w:val="both"/>
      </w:pPr>
    </w:p>
    <w:p w:rsidRDefault="00B0201B" w:rsidR="00AB53EB">
      <w:pPr>
        <w:jc w:val="right"/>
      </w:pPr>
      <w:r>
        <w:t>Stečajna upraviteljica:</w:t>
      </w:r>
    </w:p>
    <w:p w:rsidRDefault="00B0201B" w:rsidP="001C47B5" w:rsidR="00AB53EB">
      <w:pPr>
        <w:jc w:val="right"/>
      </w:pPr>
      <w:r>
        <w:t>Ana Vičević Gračanin</w:t>
      </w:r>
    </w:p>
    <w:sectPr w:rsidR="00AB53EB">
      <w:footerReference w:type="default" r:id="rId10"/>
      <w:pgSz w:h="16838" w:w="11906"/>
      <w:pgMar w:gutter="0" w:footer="708" w:header="0" w:left="1417" w:bottom="1417" w:right="1417" w:top="1417"/>
      <w:pgNumType w:start="0"/>
      <w:cols w:space="720"/>
      <w:formProt w:val="false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E6F" w:rsidR="00623E6F">
      <w:pPr>
        <w:spacing w:lineRule="auto" w:line="240" w:after="0"/>
      </w:pPr>
      <w:r>
        <w:separator/>
      </w:r>
    </w:p>
  </w:endnote>
  <w:endnote w:id="0" w:type="continuationSeparator">
    <w:p w:rsidRDefault="00623E6F" w:rsidR="00623E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0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999063"/>
      <w:docPartObj>
        <w:docPartGallery w:val="Page Numbers (Bottom of Page)"/>
        <w:docPartUnique/>
      </w:docPartObj>
    </w:sdtPr>
    <w:sdtEndPr/>
    <w:sdtContent>
      <w:p w:rsidRDefault="00A55F29" w:rsidR="00A55F29">
        <w:pPr>
          <w:pStyle w:val="Podnoj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82057">
          <w:rPr>
            <w:noProof/>
          </w:rPr>
          <w:t>9</w:t>
        </w:r>
        <w:r>
          <w:fldChar w:fldCharType="end"/>
        </w:r>
      </w:p>
    </w:sdtContent>
  </w:sdt>
  <w:p w:rsidRDefault="00A55F29" w:rsidR="00A55F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E6F" w:rsidR="00623E6F">
      <w:pPr>
        <w:spacing w:lineRule="auto" w:line="240" w:after="0"/>
      </w:pPr>
      <w:r>
        <w:separator/>
      </w:r>
    </w:p>
  </w:footnote>
  <w:footnote w:id="0" w:type="continuationSeparator">
    <w:p w:rsidRDefault="00623E6F" w:rsidR="00623E6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A86408"/>
    <w:multiLevelType w:val="hybridMultilevel"/>
    <w:tmpl w:val="DDCA49E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25500D"/>
    <w:multiLevelType w:val="hybridMultilevel"/>
    <w:tmpl w:val="121E542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3EB"/>
    <w:rsid w:val="001316D9"/>
    <w:rsid w:val="0016130C"/>
    <w:rsid w:val="001C47B5"/>
    <w:rsid w:val="00224465"/>
    <w:rsid w:val="002B6B4B"/>
    <w:rsid w:val="002E0433"/>
    <w:rsid w:val="002F4AC1"/>
    <w:rsid w:val="003233A3"/>
    <w:rsid w:val="00357918"/>
    <w:rsid w:val="004228AA"/>
    <w:rsid w:val="004F552C"/>
    <w:rsid w:val="00507D78"/>
    <w:rsid w:val="0053012A"/>
    <w:rsid w:val="00623E6F"/>
    <w:rsid w:val="007A762C"/>
    <w:rsid w:val="0081202B"/>
    <w:rsid w:val="009043CD"/>
    <w:rsid w:val="00A20A01"/>
    <w:rsid w:val="00A55F29"/>
    <w:rsid w:val="00AB53EB"/>
    <w:rsid w:val="00AB7D35"/>
    <w:rsid w:val="00B0201B"/>
    <w:rsid w:val="00B24595"/>
    <w:rsid w:val="00B67900"/>
    <w:rsid w:val="00B82057"/>
    <w:rsid w:val="00C71F49"/>
    <w:rsid w:val="00D66FE5"/>
    <w:rsid w:val="00DB16A4"/>
    <w:rsid w:val="00E3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4584"/>
    <w:pPr>
      <w:suppressAutoHyphens/>
      <w:spacing w:after="200"/>
    </w:pPr>
    <w:rPr>
      <w:color w:val="00000A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Internetskapoveznica" w:type="character">
    <w:name w:val="Internetska poveznica"/>
    <w:basedOn w:val="Zadanifontodlomka"/>
    <w:uiPriority w:val="99"/>
    <w:unhideWhenUsed/>
    <w:rsid w:val="0086061A"/>
    <w:rPr>
      <w:color w:themeColor="hyperlink" w:val="0000FF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942E0"/>
  </w:style>
  <w:style w:customStyle="true" w:styleId="PodnojeChar" w:type="character">
    <w:name w:val="Podnožje Char"/>
    <w:basedOn w:val="Zadanifontodlomka"/>
    <w:link w:val="Podnoje"/>
    <w:uiPriority w:val="99"/>
    <w:rsid w:val="008942E0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Mang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Mangal"/>
    </w:rPr>
  </w:style>
  <w:style w:customStyle="true" w:styleId="Opiselementa" w:type="paragraph">
    <w:name w:val="Opis elementa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Mangal"/>
    </w:rPr>
  </w:style>
  <w:style w:styleId="Zaglavlje" w:type="paragraph">
    <w:name w:val="header"/>
    <w:basedOn w:val="Normal"/>
    <w:link w:val="ZaglavljeChar"/>
    <w:uiPriority w:val="99"/>
    <w:semiHidden/>
    <w:unhideWhenUsed/>
    <w:rsid w:val="008942E0"/>
    <w:pPr>
      <w:tabs>
        <w:tab w:pos="4536" w:val="center"/>
        <w:tab w:pos="9072" w:val="right"/>
      </w:tabs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8942E0"/>
    <w:pPr>
      <w:tabs>
        <w:tab w:pos="4536" w:val="center"/>
        <w:tab w:pos="9072" w:val="right"/>
      </w:tabs>
      <w:spacing w:lineRule="auto" w:line="240" w:after="0"/>
    </w:pPr>
  </w:style>
  <w:style w:customStyle="true" w:styleId="Sadrajitablice" w:type="paragraph">
    <w:name w:val="Sadržaji tablice"/>
    <w:basedOn w:val="Normal"/>
  </w:style>
  <w:style w:customStyle="true" w:styleId="Naslovtablice" w:type="paragraph">
    <w:name w:val="Naslov tablice"/>
    <w:basedOn w:val="Sadrajitablice"/>
  </w:style>
  <w:style w:styleId="Reetkatablice" w:type="table">
    <w:name w:val="Table Grid"/>
    <w:basedOn w:val="Obinatablica"/>
    <w:uiPriority w:val="59"/>
    <w:rsid w:val="00DF054C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233A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228A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28AA"/>
    <w:rPr>
      <w:rFonts w:cs="Segoe UI" w:hAnsi="Segoe UI" w:ascii="Segoe UI"/>
      <w:color w:val="00000A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82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057"/>
    <w:rPr>
      <w:rFonts w:cs="Times New Roman" w:hAnsi="Times New Roman" w:ascii="Times New Roman"/>
      <w:b/>
      <w:color w:themeTint="D9" w:themeColor="text1" w:val="26262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057"/>
    <w:rPr>
      <w:b/>
      <w:color w:themeTint="D9" w:themeColor="text1" w:val="26262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057"/>
    <w:rPr>
      <w:rFonts w:cs="Times New Roman" w:hAnsi="Times New Roman" w:ascii="Times New Roman"/>
      <w:b w:val="false"/>
      <w:color w:themeTint="D9" w:themeColor="text1" w:val="26262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057"/>
    <w:rPr>
      <w:rFonts w:cs="Times New Roman" w:hAnsi="Times New Roman" w:ascii="Times New Roman"/>
      <w:b w:val="false"/>
      <w:color w:themeTint="D9" w:themeColor="text1" w:val="26262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4584"/>
    <w:pPr>
      <w:suppressAutoHyphens/>
      <w:spacing w:after="200"/>
    </w:pPr>
    <w:rPr>
      <w:color w:val="00000A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Internetskapoveznica" w:type="character">
    <w:name w:val="Internetska poveznica"/>
    <w:basedOn w:val="Zadanifontodlomka"/>
    <w:uiPriority w:val="99"/>
    <w:unhideWhenUsed/>
    <w:rsid w:val="0086061A"/>
    <w:rPr>
      <w:color w:themeColor="hyperlink" w:val="0000FF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8942E0"/>
  </w:style>
  <w:style w:customStyle="1" w:styleId="PodnojeChar" w:type="character">
    <w:name w:val="Podnožje Char"/>
    <w:basedOn w:val="Zadanifontodlomka"/>
    <w:link w:val="Podnoje"/>
    <w:uiPriority w:val="99"/>
    <w:rsid w:val="008942E0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Mangal"/>
    </w:rPr>
  </w:style>
  <w:style w:customStyle="1" w:styleId="Opiselementa" w:type="paragraph">
    <w:name w:val="Opis elementa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Mangal"/>
    </w:rPr>
  </w:style>
  <w:style w:styleId="Zaglavlje" w:type="paragraph">
    <w:name w:val="header"/>
    <w:basedOn w:val="Normal"/>
    <w:link w:val="ZaglavljeChar"/>
    <w:uiPriority w:val="99"/>
    <w:semiHidden/>
    <w:unhideWhenUsed/>
    <w:rsid w:val="008942E0"/>
    <w:pPr>
      <w:tabs>
        <w:tab w:pos="4536" w:val="center"/>
        <w:tab w:pos="9072" w:val="right"/>
      </w:tabs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8942E0"/>
    <w:pPr>
      <w:tabs>
        <w:tab w:pos="4536" w:val="center"/>
        <w:tab w:pos="9072" w:val="right"/>
      </w:tabs>
      <w:spacing w:after="0" w:line="240" w:lineRule="auto"/>
    </w:pPr>
  </w:style>
  <w:style w:customStyle="1" w:styleId="Sadrajitablice" w:type="paragraph">
    <w:name w:val="Sadržaji tablice"/>
    <w:basedOn w:val="Normal"/>
  </w:style>
  <w:style w:customStyle="1" w:styleId="Naslovtablice" w:type="paragraph">
    <w:name w:val="Naslov tablice"/>
    <w:basedOn w:val="Sadrajitablice"/>
  </w:style>
  <w:style w:styleId="Reetkatablice" w:type="table">
    <w:name w:val="Table Grid"/>
    <w:basedOn w:val="Obinatablica"/>
    <w:uiPriority w:val="59"/>
    <w:rsid w:val="00DF054C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233A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228A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28AA"/>
    <w:rPr>
      <w:rFonts w:ascii="Segoe UI" w:cs="Segoe UI" w:hAnsi="Segoe UI"/>
      <w:color w:val="00000A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82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057"/>
    <w:rPr>
      <w:rFonts w:ascii="Times New Roman" w:cs="Times New Roman" w:hAnsi="Times New Roman"/>
      <w:b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057"/>
    <w:rPr>
      <w:b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057"/>
    <w:rPr>
      <w:rFonts w:ascii="Times New Roman" w:cs="Times New Roman" w:hAnsi="Times New Roman"/>
      <w:b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057"/>
    <w:rPr>
      <w:rFonts w:ascii="Times New Roman" w:cs="Times New Roman" w:hAnsi="Times New Roman"/>
      <w:b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prilogu prijave tražbina u stečajnom 
postupku</izvorni_sadrzaj>
    <derivirana_varijabla naziv="DomainObject.Primjedba_1">U prilogu prijave tražbina u stečajnom 
postupku</derivirana_varijabla>
  </DomainObject.Primjedba>
  <DomainObject.Oznaka>
    <izvorni_sadrzaj>St-1170/2016-18</izvorni_sadrzaj>
    <derivirana_varijabla naziv="DomainObject.Oznaka_1">St-1170/2016-18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Mlikota</izvorni_sadrzaj>
    <derivirana_varijabla naziv="DomainObject.Predmet.ProtustrankaFormated_1">  Melita Mlikota</derivirana_varijabla>
  </DomainObject.Predmet.ProtustrankaFormated>
  <DomainObject.Predmet.ProtustrankaFormatedOIB>
    <izvorni_sadrzaj>  Melita Mlikota, OIB 90524560838</izvorni_sadrzaj>
    <derivirana_varijabla naziv="DomainObject.Predmet.ProtustrankaFormatedOIB_1">  Melita Mlikota, OIB 90524560838</derivirana_varijabla>
  </DomainObject.Predmet.ProtustrankaFormatedOIB>
  <DomainObject.Predmet.ProtustrankaFormatedWithAdress>
    <izvorni_sadrzaj> Melita Mlikota, Matije Divkovića 19A, 10000 Zagreb</izvorni_sadrzaj>
    <derivirana_varijabla naziv="DomainObject.Predmet.ProtustrankaFormatedWithAdress_1"> Melita Mlikota, Matije Divkovića 19A, 10000 Zagreb</derivirana_varijabla>
  </DomainObject.Predmet.ProtustrankaFormatedWithAdress>
  <DomainObject.Predmet.ProtustrankaFormatedWithAdressOIB>
    <izvorni_sadrzaj> Melita Mlikota, OIB 90524560838, Matije Divkovića 19A, 10000 Zagreb</izvorni_sadrzaj>
    <derivirana_varijabla naziv="DomainObject.Predmet.ProtustrankaFormatedWithAdressOIB_1"> Melita Mlikota, OIB 90524560838, Matije Divkovića 19A, 10000 Zagreb</derivirana_varijabla>
  </DomainObject.Predmet.ProtustrankaFormatedWithAdressOIB>
  <DomainObject.Predmet.ProtustrankaWithAdress>
    <izvorni_sadrzaj>Melita Mlikota Matije Divkovića 19A, 10000 Zagreb</izvorni_sadrzaj>
    <derivirana_varijabla naziv="DomainObject.Predmet.ProtustrankaWithAdress_1">Melita Mlikota Matije Divkovića 19A, 10000 Zagreb</derivirana_varijabla>
  </DomainObject.Predmet.ProtustrankaWithAdress>
  <DomainObject.Predmet.ProtustrankaWithAdressOIB>
    <izvorni_sadrzaj>Melita Mlikota, OIB 90524560838, Matije Divkovića 19A, 10000 Zagreb</izvorni_sadrzaj>
    <derivirana_varijabla naziv="DomainObject.Predmet.ProtustrankaWithAdressOIB_1">Melita Mlikota, OIB 90524560838, Matije Divkovića 19A, 10000 Zagreb</derivirana_varijabla>
  </DomainObject.Predmet.ProtustrankaWithAdressOIB>
  <DomainObject.Predmet.ProtustrankaNazivFormated>
    <izvorni_sadrzaj>Melita Mlikota</izvorni_sadrzaj>
    <derivirana_varijabla naziv="DomainObject.Predmet.ProtustrankaNazivFormated_1">Melita Mlikota</derivirana_varijabla>
  </DomainObject.Predmet.ProtustrankaNazivFormated>
  <DomainObject.Predmet.ProtustrankaNazivFormatedOIB>
    <izvorni_sadrzaj>Melita Mlikota, OIB 90524560838</izvorni_sadrzaj>
    <derivirana_varijabla naziv="DomainObject.Predmet.ProtustrankaNazivFormatedOIB_1">Melita Mlikota, OIB 90524560838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Melita Mlikota</item>
    </izvorni_sadrzaj>
    <derivirana_varijabla naziv="DomainObject.Predmet.ProtuStrankaListFormated_1">
      <item>Melita Mlikota</item>
    </derivirana_varijabla>
  </DomainObject.Predmet.ProtuStrankaListFormated>
  <DomainObject.Predmet.ProtuStrankaListFormatedOIB>
    <izvorni_sadrzaj>
      <item>Melita Mlikota, OIB 90524560838</item>
    </izvorni_sadrzaj>
    <derivirana_varijabla naziv="DomainObject.Predmet.ProtuStrankaListFormatedOIB_1">
      <item>Melita Mlikota, OIB 90524560838</item>
    </derivirana_varijabla>
  </DomainObject.Predmet.ProtuStrankaListFormatedOIB>
  <DomainObject.Predmet.ProtuStrankaListFormatedWithAdress>
    <izvorni_sadrzaj>
      <item>Melita Mlikota, Matije Divkovića 19A, 10000 Zagreb</item>
    </izvorni_sadrzaj>
    <derivirana_varijabla naziv="DomainObject.Predmet.ProtuStrankaListFormatedWithAdress_1">
      <item>Melita Mlikota, Matije Divkovića 19A, 10000 Zagreb</item>
    </derivirana_varijabla>
  </DomainObject.Predmet.ProtuStrankaListFormatedWithAdress>
  <DomainObject.Predmet.ProtuStrankaListFormatedWithAdressOIB>
    <izvorni_sadrzaj>
      <item>Melita Mlikota, OIB 90524560838, Matije Divkovića 19A, 10000 Zagreb</item>
    </izvorni_sadrzaj>
    <derivirana_varijabla naziv="DomainObject.Predmet.ProtuStrankaListFormatedWithAdressOIB_1">
      <item>Melita Mlikota, OIB 90524560838, Matije Divkovića 19A, 10000 Zagreb</item>
    </derivirana_varijabla>
  </DomainObject.Predmet.ProtuStrankaListFormatedWithAdressOIB>
  <DomainObject.Predmet.ProtuStrankaListNazivFormated>
    <izvorni_sadrzaj>
      <item>Melita Mlikota</item>
    </izvorni_sadrzaj>
    <derivirana_varijabla naziv="DomainObject.Predmet.ProtuStrankaListNazivFormated_1">
      <item>Melita Mlikota</item>
    </derivirana_varijabla>
  </DomainObject.Predmet.ProtuStrankaListNazivFormated>
  <DomainObject.Predmet.ProtuStrankaListNazivFormatedOIB>
    <izvorni_sadrzaj>
      <item>Melita Mlikota, OIB 90524560838</item>
    </izvorni_sadrzaj>
    <derivirana_varijabla naziv="DomainObject.Predmet.ProtuStrankaListNazivFormatedOIB_1">
      <item>Melita Mlikota, OIB 90524560838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Melita Mlikota</izvorni_sadrzaj>
    <derivirana_varijabla naziv="DomainObject.Predmet.ProtustrankaIDrugi_1">Melita Mlikota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Melita Mlikota, OIB 90524560838, Matije Divkovića 19A, 10000 Zagreb</izvorni_sadrzaj>
    <derivirana_varijabla naziv="DomainObject.Predmet.ProtustrankaIDrugiAdressOIB_1">Melita Mlikota, OIB 90524560838, Matije Divkovića 19A,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Melita Mlikota</item>
    </izvorni_sadrzaj>
    <derivirana_varijabla naziv="DomainObject.Predmet.SudioniciListNaziv_1">
      <item>FINA Regionalni centar Zagreb</item>
      <item>Melita Mlikota</item>
    </derivirana_varijabla>
  </DomainObject.Predmet.SudioniciListNaziv>
  <DomainObject.Predmet.SudioniciListAdressOIB>
    <izvorni_sadrzaj>
      <item>FINA Regionalni centar Zagreb, OIB 85821130368, Ulica grada Vukovara 70,10000 Zagreb</item>
      <item>Melita Mlikota, OIB 90524560838, Matije Divkovića 19A,10000 Zagreb</item>
    </izvorni_sadrzaj>
    <derivirana_varijabla naziv="DomainObject.Predmet.SudioniciListAdressOIB_1">
      <item>FINA Regionalni centar Zagreb, OIB 85821130368, Ulica grada Vukovara 70,10000 Zagreb</item>
      <item>Melita Mlikota, OIB 90524560838, Matije Divkovića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90524560838</item>
    </izvorni_sadrzaj>
    <derivirana_varijabla naziv="DomainObject.Predmet.SudioniciListNazivOIB_1">
      <item>, OIB 85821130368</item>
      <item>, OIB 90524560838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0106F-62AC-436C-BA87-0895804B84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1462</properties:Words>
  <properties:Characters>8628</properties:Characters>
  <properties:Lines>368</properties:Lines>
  <properties:Paragraphs>202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2017-11-21T13:27:00Z</dcterms:created>
  <dc:creator>Ana</dc:creator>
  <dc:language>hr-HR</dc:language>
  <cp:lastModifiedBy>Žana Livaja</cp:lastModifiedBy>
  <cp:lastPrinted>2017-11-16T16:50:00Z</cp:lastPrinted>
  <dcterms:modified xmlns:xsi="http://www.w3.org/2001/XMLSchema-instance" xsi:type="dcterms:W3CDTF">2017-11-21T13:37:00Z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St-1170/2016-18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