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4407E" w:rsidR="00FF1F21" w:rsidRPr="00FF1F21">
        <w:tc>
          <w:tcPr>
            <w:tcW w:type="dxa" w:w="3060"/>
          </w:tcPr>
          <w:p w:rsidRDefault="00FF1F21" w:rsidP="00FF1F21" w:rsidR="00FF1F21" w:rsidRPr="00FF1F21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bookmarkStart w:name="_GoBack" w:id="0"/>
            <w:bookmarkEnd w:id="0"/>
          </w:p>
          <w:p w:rsidRDefault="00FF1F21" w:rsidP="00FF1F21" w:rsidR="00FF1F21" w:rsidRPr="00FF1F21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FF1F21">
              <w:rPr>
                <w:rFonts w:hAnsiTheme="minorHAnsi" w:asciiTheme="minorHAnsi"/>
                <w:noProof/>
                <w:sz w:val="22"/>
                <w:lang w:eastAsia="hr-HR"/>
              </w:rPr>
              <w:drawing>
                <wp:anchor allowOverlap="true" layoutInCell="true" locked="false" behindDoc="false" relativeHeight="251659264" simplePos="false" distR="114300" distL="114300" distB="0" distT="0">
                  <wp:simplePos y="0" x="0"/>
                  <wp:positionH relativeFrom="column">
                    <wp:posOffset>-30480</wp:posOffset>
                  </wp:positionH>
                  <wp:positionV relativeFrom="paragraph">
                    <wp:posOffset>152400</wp:posOffset>
                  </wp:positionV>
                  <wp:extent cy="963295" cx="719455"/>
                  <wp:effectExtent b="8255" r="4445" t="0" l="0"/>
                  <wp:wrapSquare wrapText="bothSides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Default="00FF1F21" w:rsidP="00FF1F21" w:rsidR="00FF1F21" w:rsidRPr="00FF1F21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FF1F21">
              <w:rPr>
                <w:rFonts w:cs="Times New Roman" w:eastAsia="Times New Roman"/>
                <w:szCs w:val="24"/>
                <w:lang w:eastAsia="hr-HR"/>
              </w:rPr>
              <w:t xml:space="preserve"> </w:t>
            </w:r>
          </w:p>
          <w:p w:rsidRDefault="00FF1F21" w:rsidP="00FF1F21" w:rsidR="00FF1F21" w:rsidRPr="00FF1F21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FF1F21" w:rsidP="00FF1F21" w:rsidR="00FF1F21" w:rsidRPr="00FF1F21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FF1F21" w:rsidP="00FF1F21" w:rsidR="00FF1F21" w:rsidRPr="00FF1F21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FF1F21" w:rsidP="00FF1F21" w:rsidR="00FF1F21" w:rsidRPr="00FF1F21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FF1F21" w:rsidP="00FF1F21" w:rsidR="00FF1F21" w:rsidRPr="00FF1F21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FF1F21" w:rsidP="00FF1F21" w:rsidR="00FF1F21" w:rsidRPr="00FF1F21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FF1F21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FF1F21" w:rsidP="00FF1F21" w:rsidR="00FF1F21" w:rsidRPr="00FF1F21">
            <w:pPr>
              <w:overflowPunct w:val="false"/>
              <w:autoSpaceDE w:val="false"/>
              <w:autoSpaceDN w:val="false"/>
              <w:adjustRightInd w:val="false"/>
              <w:rPr>
                <w:rFonts w:cs="Times New Roman" w:eastAsia="Times New Roman"/>
                <w:szCs w:val="24"/>
                <w:lang w:eastAsia="hr-HR"/>
              </w:rPr>
            </w:pPr>
            <w:r w:rsidRPr="00FF1F21">
              <w:rPr>
                <w:rFonts w:cs="Times New Roman" w:eastAsia="Times New Roman"/>
                <w:szCs w:val="24"/>
                <w:lang w:eastAsia="hr-HR"/>
              </w:rPr>
              <w:t xml:space="preserve">  Trgovački sud u Zagrebu</w:t>
            </w:r>
          </w:p>
          <w:p w:rsidRDefault="00FF1F21" w:rsidP="00FF1F21" w:rsidR="00FF1F21" w:rsidRPr="00FF1F21">
            <w:pPr>
              <w:overflowPunct w:val="false"/>
              <w:autoSpaceDE w:val="false"/>
              <w:autoSpaceDN w:val="false"/>
              <w:adjustRightInd w:val="false"/>
              <w:rPr>
                <w:rFonts w:cs="Times New Roman" w:eastAsia="Times New Roman"/>
                <w:szCs w:val="24"/>
                <w:lang w:eastAsia="hr-HR"/>
              </w:rPr>
            </w:pPr>
            <w:r w:rsidRPr="00FF1F21">
              <w:rPr>
                <w:rFonts w:cs="Times New Roman" w:eastAsia="Times New Roman"/>
                <w:szCs w:val="24"/>
                <w:lang w:eastAsia="hr-HR"/>
              </w:rPr>
              <w:t xml:space="preserve">    Zagreb, Amruševa 2/II</w:t>
            </w:r>
          </w:p>
        </w:tc>
      </w:tr>
      <w:tr w:rsidTr="0084407E" w:rsidR="00FF1F21" w:rsidRPr="00FF1F21">
        <w:tc>
          <w:tcPr>
            <w:tcW w:type="dxa" w:w="3060"/>
          </w:tcPr>
          <w:p w:rsidRDefault="00FF1F21" w:rsidP="00FF1F21" w:rsidR="00FF1F21" w:rsidRPr="00FF1F21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</w:tc>
      </w:tr>
    </w:tbl>
    <w:p w14:textId="5ffb727" w14:paraId="5ffb727" w:rsidRDefault="00FF1F21" w:rsidP="00FF1F21" w:rsidR="00FF1F21" w:rsidRPr="00FF1F21">
      <w:pPr>
        <w:overflowPunct w:val="false"/>
        <w:autoSpaceDE w:val="false"/>
        <w:autoSpaceDN w:val="false"/>
        <w:adjustRightInd w:val="false"/>
        <w15:collapsed w:val="false"/>
        <w:rPr>
          <w:rFonts w:cs="Times New Roman" w:eastAsia="Times New Roman"/>
          <w:szCs w:val="20"/>
          <w:lang w:eastAsia="hr-HR"/>
        </w:rPr>
      </w:pPr>
      <w:r w:rsidRPr="00FF1F21">
        <w:rPr>
          <w:rFonts w:cs="Times New Roman" w:eastAsia="Times New Roman"/>
          <w:b/>
          <w:szCs w:val="20"/>
          <w:lang w:eastAsia="hr-HR"/>
        </w:rPr>
        <w:tab/>
      </w:r>
      <w:r w:rsidRPr="00FF1F21">
        <w:rPr>
          <w:rFonts w:cs="Times New Roman" w:eastAsia="Times New Roman"/>
          <w:b/>
          <w:szCs w:val="20"/>
          <w:lang w:eastAsia="hr-HR"/>
        </w:rPr>
        <w:tab/>
      </w:r>
      <w:r w:rsidRPr="00FF1F21">
        <w:rPr>
          <w:rFonts w:cs="Times New Roman" w:eastAsia="Times New Roman"/>
          <w:b/>
          <w:szCs w:val="20"/>
          <w:lang w:eastAsia="hr-HR"/>
        </w:rPr>
        <w:tab/>
      </w:r>
      <w:r w:rsidRPr="00FF1F21">
        <w:rPr>
          <w:rFonts w:cs="Times New Roman" w:eastAsia="Times New Roman"/>
          <w:b/>
          <w:szCs w:val="20"/>
          <w:lang w:eastAsia="hr-HR"/>
        </w:rPr>
        <w:tab/>
      </w:r>
      <w:r w:rsidRPr="00FF1F21">
        <w:rPr>
          <w:rFonts w:cs="Times New Roman" w:eastAsia="Times New Roman"/>
          <w:b/>
          <w:szCs w:val="20"/>
          <w:lang w:eastAsia="hr-HR"/>
        </w:rPr>
        <w:tab/>
      </w:r>
      <w:r w:rsidRPr="00FF1F21">
        <w:rPr>
          <w:rFonts w:cs="Times New Roman" w:eastAsia="Times New Roman"/>
          <w:b/>
          <w:szCs w:val="20"/>
          <w:lang w:eastAsia="hr-HR"/>
        </w:rPr>
        <w:tab/>
      </w:r>
      <w:r w:rsidRPr="00FF1F21">
        <w:rPr>
          <w:rFonts w:cs="Times New Roman" w:eastAsia="Times New Roman"/>
          <w:b/>
          <w:szCs w:val="20"/>
          <w:lang w:eastAsia="hr-HR"/>
        </w:rPr>
        <w:tab/>
      </w:r>
      <w:r w:rsidRPr="00FF1F21">
        <w:rPr>
          <w:rFonts w:cs="Times New Roman" w:eastAsia="Times New Roman"/>
          <w:b/>
          <w:szCs w:val="20"/>
          <w:lang w:eastAsia="hr-HR"/>
        </w:rPr>
        <w:tab/>
      </w:r>
      <w:r w:rsidRPr="00FF1F21">
        <w:rPr>
          <w:rFonts w:cs="Times New Roman" w:eastAsia="Times New Roman"/>
          <w:b/>
          <w:szCs w:val="20"/>
          <w:lang w:eastAsia="hr-HR"/>
        </w:rPr>
        <w:tab/>
      </w:r>
    </w:p>
    <w:p w:rsidRDefault="00FF1F21" w:rsidP="00FF1F21" w:rsidR="00FF1F21" w:rsidRPr="00FF1F21">
      <w:pPr>
        <w:jc w:val="center"/>
        <w:rPr>
          <w:rFonts w:cs="Times New Roman" w:eastAsia="Times New Roman"/>
          <w:szCs w:val="24"/>
          <w:lang w:eastAsia="hr-HR"/>
        </w:rPr>
      </w:pPr>
      <w:r w:rsidRPr="00FF1F21">
        <w:rPr>
          <w:rFonts w:cs="Times New Roman" w:eastAsia="Times New Roman"/>
          <w:szCs w:val="24"/>
          <w:lang w:eastAsia="hr-HR"/>
        </w:rPr>
        <w:t xml:space="preserve">                          </w:t>
      </w:r>
    </w:p>
    <w:p w:rsidRDefault="00FF1F21" w:rsidP="00FF1F21" w:rsidR="00FF1F21" w:rsidRPr="00FF1F21">
      <w:pPr>
        <w:jc w:val="center"/>
        <w:rPr>
          <w:rFonts w:cs="Times New Roman" w:eastAsia="Times New Roman"/>
          <w:szCs w:val="24"/>
          <w:lang w:eastAsia="hr-HR"/>
        </w:rPr>
      </w:pPr>
    </w:p>
    <w:p w:rsidRDefault="00FF1F21" w:rsidP="00FF1F21" w:rsidR="00FF1F21" w:rsidRPr="00FF1F21">
      <w:pPr>
        <w:jc w:val="center"/>
        <w:rPr>
          <w:rFonts w:cs="Times New Roman" w:eastAsia="Times New Roman"/>
          <w:szCs w:val="24"/>
          <w:lang w:eastAsia="hr-HR"/>
        </w:rPr>
      </w:pPr>
      <w:r w:rsidRPr="00FF1F21">
        <w:rPr>
          <w:rFonts w:cs="Times New Roman" w:eastAsia="Times New Roman"/>
          <w:szCs w:val="24"/>
          <w:lang w:eastAsia="hr-HR"/>
        </w:rPr>
        <w:t xml:space="preserve">           R E P U B L I K A    H R V A T S K A                  </w:t>
      </w:r>
    </w:p>
    <w:p w:rsidRDefault="00FF1F21" w:rsidP="00FF1F21" w:rsidR="00FF1F21" w:rsidRPr="00FF1F21">
      <w:pPr>
        <w:jc w:val="center"/>
        <w:rPr>
          <w:rFonts w:cs="Times New Roman" w:eastAsia="Times New Roman"/>
          <w:szCs w:val="24"/>
          <w:lang w:eastAsia="hr-HR"/>
        </w:rPr>
      </w:pPr>
    </w:p>
    <w:p w:rsidRDefault="00FF1F21" w:rsidP="00FF1F21" w:rsidR="00FF1F21" w:rsidRPr="00FF1F21">
      <w:pPr>
        <w:jc w:val="center"/>
        <w:rPr>
          <w:rFonts w:cs="Times New Roman" w:eastAsia="Times New Roman"/>
          <w:szCs w:val="24"/>
          <w:lang w:eastAsia="hr-HR"/>
        </w:rPr>
      </w:pPr>
      <w:r w:rsidRPr="00FF1F21">
        <w:rPr>
          <w:rFonts w:cs="Times New Roman" w:eastAsia="Times New Roman"/>
          <w:szCs w:val="24"/>
          <w:lang w:eastAsia="hr-HR"/>
        </w:rPr>
        <w:t>R J E Š E N J E</w:t>
      </w:r>
    </w:p>
    <w:p w:rsidRDefault="00FF1F21" w:rsidP="00FF1F21" w:rsidR="00FF1F21" w:rsidRPr="00FF1F21">
      <w:pPr>
        <w:jc w:val="center"/>
        <w:rPr>
          <w:rFonts w:cs="Times New Roman" w:eastAsia="Times New Roman"/>
          <w:szCs w:val="24"/>
          <w:lang w:eastAsia="hr-HR"/>
        </w:rPr>
      </w:pPr>
    </w:p>
    <w:p w:rsidRDefault="00FF1F21" w:rsidP="00FF1F21" w:rsidR="00FF1F21" w:rsidRPr="00FF1F21">
      <w:pPr>
        <w:jc w:val="both"/>
        <w:rPr>
          <w:rFonts w:cs="Times New Roman" w:eastAsia="Times New Roman"/>
          <w:szCs w:val="24"/>
          <w:lang w:eastAsia="hr-HR"/>
        </w:rPr>
      </w:pPr>
      <w:r w:rsidRPr="00FF1F21">
        <w:rPr>
          <w:rFonts w:cs="Times New Roman" w:eastAsia="Times New Roman"/>
          <w:szCs w:val="24"/>
          <w:lang w:eastAsia="hr-HR"/>
        </w:rPr>
        <w:tab/>
        <w:t xml:space="preserve">Trgovački sud u Zagrebu po sudskom savjetniku  Mariju Žiškoviću u pravnoj stvari podnositelja zahtjeva Financijske agencije, Zagreb, Trg svibanjskih žrtava 1995. br. 1, za pokretanjem skraćenog stečajnog postupka nad dužnikom </w:t>
      </w:r>
      <w:r>
        <w:rPr>
          <w:rFonts w:cs="Times New Roman" w:eastAsia="Times New Roman"/>
          <w:szCs w:val="24"/>
          <w:lang w:eastAsia="hr-HR"/>
        </w:rPr>
        <w:t>INCIPIO SAVJETOVANJE d.o.o.</w:t>
      </w:r>
      <w:r w:rsidRPr="00FF1F21">
        <w:rPr>
          <w:rFonts w:cs="Times New Roman" w:eastAsia="Times New Roman"/>
          <w:szCs w:val="24"/>
          <w:lang w:eastAsia="hr-HR"/>
        </w:rPr>
        <w:t xml:space="preserve"> MBS:</w:t>
      </w:r>
      <w:r>
        <w:rPr>
          <w:rFonts w:cs="Times New Roman" w:eastAsia="Times New Roman"/>
          <w:szCs w:val="24"/>
          <w:lang w:eastAsia="hr-HR"/>
        </w:rPr>
        <w:t>080645709</w:t>
      </w:r>
      <w:r w:rsidRPr="00FF1F21">
        <w:rPr>
          <w:rFonts w:cs="Times New Roman" w:eastAsia="Times New Roman"/>
          <w:szCs w:val="24"/>
          <w:lang w:eastAsia="hr-HR"/>
        </w:rPr>
        <w:t>, OIB:</w:t>
      </w:r>
      <w:r>
        <w:rPr>
          <w:rFonts w:cs="Times New Roman" w:eastAsia="Times New Roman"/>
          <w:szCs w:val="24"/>
          <w:lang w:eastAsia="hr-HR"/>
        </w:rPr>
        <w:t>12398712486</w:t>
      </w:r>
      <w:r w:rsidRPr="00FF1F21">
        <w:rPr>
          <w:rFonts w:cs="Times New Roman" w:eastAsia="Times New Roman"/>
          <w:szCs w:val="24"/>
          <w:lang w:eastAsia="hr-HR"/>
        </w:rPr>
        <w:t xml:space="preserve">, </w:t>
      </w:r>
      <w:r w:rsidR="00CA2450">
        <w:rPr>
          <w:rFonts w:cs="Times New Roman" w:eastAsia="Times New Roman"/>
          <w:szCs w:val="24"/>
          <w:lang w:eastAsia="hr-HR"/>
        </w:rPr>
        <w:t>Zagreb, Pantovčak 106</w:t>
      </w:r>
      <w:r w:rsidRPr="00FF1F21">
        <w:rPr>
          <w:rFonts w:cs="Times New Roman" w:eastAsia="Times New Roman"/>
          <w:szCs w:val="24"/>
          <w:lang w:eastAsia="hr-HR"/>
        </w:rPr>
        <w:t xml:space="preserve">, dana 27. travnja 2016. </w:t>
      </w:r>
    </w:p>
    <w:p w:rsidRDefault="00FF1F21" w:rsidP="00FF1F21" w:rsidR="00FF1F21" w:rsidRPr="00FF1F21">
      <w:pPr>
        <w:jc w:val="both"/>
        <w:rPr>
          <w:rFonts w:cs="Times New Roman" w:eastAsia="Times New Roman"/>
          <w:szCs w:val="24"/>
          <w:lang w:eastAsia="hr-HR"/>
        </w:rPr>
      </w:pPr>
    </w:p>
    <w:p w:rsidRDefault="00FF1F21" w:rsidP="00FF1F21" w:rsidR="00FF1F21" w:rsidRPr="00FF1F21">
      <w:pPr>
        <w:jc w:val="center"/>
        <w:rPr>
          <w:rFonts w:cs="Times New Roman" w:eastAsia="Times New Roman"/>
          <w:szCs w:val="24"/>
          <w:lang w:eastAsia="hr-HR"/>
        </w:rPr>
      </w:pPr>
      <w:r w:rsidRPr="00FF1F21">
        <w:rPr>
          <w:rFonts w:cs="Times New Roman" w:eastAsia="Times New Roman"/>
          <w:szCs w:val="24"/>
          <w:lang w:eastAsia="hr-HR"/>
        </w:rPr>
        <w:t>r i j e š i o    je</w:t>
      </w:r>
    </w:p>
    <w:p w:rsidRDefault="00FF1F21" w:rsidP="00FF1F21" w:rsidR="00FF1F21" w:rsidRPr="00FF1F21">
      <w:pPr>
        <w:jc w:val="center"/>
        <w:rPr>
          <w:rFonts w:cs="Times New Roman" w:eastAsia="Times New Roman"/>
          <w:szCs w:val="24"/>
          <w:lang w:eastAsia="hr-HR"/>
        </w:rPr>
      </w:pPr>
    </w:p>
    <w:p w:rsidRDefault="00FF1F21" w:rsidP="00FF1F21" w:rsidR="00FF1F21" w:rsidRPr="00FF1F21">
      <w:pPr>
        <w:ind w:firstLine="12" w:left="708"/>
        <w:jc w:val="both"/>
        <w:rPr>
          <w:rFonts w:cs="Times New Roman" w:eastAsia="Times New Roman"/>
          <w:szCs w:val="24"/>
          <w:lang w:eastAsia="hr-HR"/>
        </w:rPr>
      </w:pPr>
      <w:r w:rsidRPr="00FF1F21">
        <w:rPr>
          <w:rFonts w:cs="Times New Roman" w:eastAsia="Times New Roman"/>
          <w:szCs w:val="24"/>
          <w:lang w:eastAsia="hr-HR"/>
        </w:rPr>
        <w:t xml:space="preserve">Pokreće se skraćeni stečajni postupak nad dužnikom </w:t>
      </w:r>
      <w:r w:rsidR="00CA2450">
        <w:rPr>
          <w:rFonts w:cs="Times New Roman" w:eastAsia="Times New Roman"/>
          <w:szCs w:val="24"/>
          <w:lang w:eastAsia="hr-HR"/>
        </w:rPr>
        <w:t>INCIPIO SAVJETOVANJE d.o.o.</w:t>
      </w:r>
      <w:r w:rsidR="00CA2450" w:rsidRPr="00FF1F21">
        <w:rPr>
          <w:rFonts w:cs="Times New Roman" w:eastAsia="Times New Roman"/>
          <w:szCs w:val="24"/>
          <w:lang w:eastAsia="hr-HR"/>
        </w:rPr>
        <w:t xml:space="preserve"> MBS:</w:t>
      </w:r>
      <w:r w:rsidR="00CA2450">
        <w:rPr>
          <w:rFonts w:cs="Times New Roman" w:eastAsia="Times New Roman"/>
          <w:szCs w:val="24"/>
          <w:lang w:eastAsia="hr-HR"/>
        </w:rPr>
        <w:t>080645709</w:t>
      </w:r>
      <w:r w:rsidR="00CA2450" w:rsidRPr="00FF1F21">
        <w:rPr>
          <w:rFonts w:cs="Times New Roman" w:eastAsia="Times New Roman"/>
          <w:szCs w:val="24"/>
          <w:lang w:eastAsia="hr-HR"/>
        </w:rPr>
        <w:t>, OIB:</w:t>
      </w:r>
      <w:r w:rsidR="00CA2450">
        <w:rPr>
          <w:rFonts w:cs="Times New Roman" w:eastAsia="Times New Roman"/>
          <w:szCs w:val="24"/>
          <w:lang w:eastAsia="hr-HR"/>
        </w:rPr>
        <w:t>12398712486</w:t>
      </w:r>
      <w:r w:rsidR="00CA2450" w:rsidRPr="00FF1F21">
        <w:rPr>
          <w:rFonts w:cs="Times New Roman" w:eastAsia="Times New Roman"/>
          <w:szCs w:val="24"/>
          <w:lang w:eastAsia="hr-HR"/>
        </w:rPr>
        <w:t xml:space="preserve">, </w:t>
      </w:r>
      <w:r w:rsidR="00CA2450">
        <w:rPr>
          <w:rFonts w:cs="Times New Roman" w:eastAsia="Times New Roman"/>
          <w:szCs w:val="24"/>
          <w:lang w:eastAsia="hr-HR"/>
        </w:rPr>
        <w:t>Zagreb, Pantovčak 106</w:t>
      </w:r>
      <w:r w:rsidRPr="00FF1F21">
        <w:rPr>
          <w:rFonts w:cs="Times New Roman" w:eastAsia="Times New Roman"/>
          <w:szCs w:val="24"/>
          <w:lang w:eastAsia="hr-HR"/>
        </w:rPr>
        <w:t>.</w:t>
      </w:r>
    </w:p>
    <w:p w:rsidRDefault="00FF1F21" w:rsidP="00FF1F21" w:rsidR="00FF1F21" w:rsidRPr="00FF1F2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FF1F21" w:rsidP="00FF1F21" w:rsidR="00FF1F21" w:rsidRPr="00FF1F21">
      <w:pPr>
        <w:jc w:val="center"/>
        <w:rPr>
          <w:rFonts w:cs="Times New Roman" w:eastAsia="Times New Roman"/>
          <w:szCs w:val="24"/>
          <w:lang w:eastAsia="hr-HR"/>
        </w:rPr>
      </w:pPr>
      <w:r w:rsidRPr="00FF1F21">
        <w:rPr>
          <w:rFonts w:cs="Times New Roman" w:eastAsia="Times New Roman"/>
          <w:szCs w:val="24"/>
          <w:lang w:eastAsia="hr-HR"/>
        </w:rPr>
        <w:t>Obrazloženje</w:t>
      </w:r>
    </w:p>
    <w:p w:rsidRDefault="00FF1F21" w:rsidP="00FF1F21" w:rsidR="00FF1F21" w:rsidRPr="00FF1F21">
      <w:pPr>
        <w:jc w:val="both"/>
        <w:rPr>
          <w:rFonts w:cs="Times New Roman" w:eastAsia="Times New Roman"/>
          <w:szCs w:val="24"/>
          <w:lang w:eastAsia="hr-HR"/>
        </w:rPr>
      </w:pPr>
    </w:p>
    <w:p w:rsidRDefault="00FF1F21" w:rsidP="00FF1F21" w:rsidR="00FF1F21" w:rsidRPr="00FF1F21">
      <w:pPr>
        <w:jc w:val="both"/>
        <w:rPr>
          <w:rFonts w:cs="Times New Roman" w:eastAsia="Times New Roman"/>
          <w:szCs w:val="20"/>
          <w:lang w:eastAsia="hr-HR"/>
        </w:rPr>
      </w:pPr>
      <w:r w:rsidRPr="00FF1F21">
        <w:rPr>
          <w:rFonts w:cs="Times New Roman" w:eastAsia="Times New Roman"/>
          <w:szCs w:val="24"/>
          <w:lang w:eastAsia="hr-HR"/>
        </w:rPr>
        <w:tab/>
        <w:t xml:space="preserve">Zahtjev za provedbu skraćenog stečajnog postupka nad gore navedenom pravnom osobom podnijela je ovome sudu Financijska agencija, Zagreb, Trg svibanjskih žrtava 1995. br. 1,  (dalje: FINA), temeljem odredbe čl. 429. </w:t>
      </w:r>
      <w:r w:rsidRPr="00FF1F21">
        <w:rPr>
          <w:rFonts w:cs="Times New Roman" w:eastAsia="Times New Roman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F1F21" w:rsidP="00FF1F21" w:rsidR="00FF1F21" w:rsidRPr="00FF1F21">
      <w:pPr>
        <w:jc w:val="both"/>
        <w:rPr>
          <w:rFonts w:cs="Times New Roman" w:eastAsia="Times New Roman"/>
          <w:szCs w:val="20"/>
          <w:lang w:eastAsia="hr-HR"/>
        </w:rPr>
      </w:pPr>
    </w:p>
    <w:p w:rsidRDefault="00FF1F21" w:rsidP="00FF1F21" w:rsidR="00FF1F21" w:rsidRPr="00FF1F21">
      <w:pPr>
        <w:jc w:val="both"/>
        <w:rPr>
          <w:rFonts w:cs="Times New Roman" w:eastAsia="Times New Roman"/>
          <w:szCs w:val="20"/>
          <w:lang w:eastAsia="hr-HR"/>
        </w:rPr>
      </w:pPr>
      <w:r w:rsidRPr="00FF1F21">
        <w:rPr>
          <w:rFonts w:cs="Times New Roman" w:eastAsia="Times New Roman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CA2450">
        <w:rPr>
          <w:rFonts w:cs="Times New Roman" w:eastAsia="Times New Roman"/>
          <w:szCs w:val="20"/>
          <w:lang w:eastAsia="hr-HR"/>
        </w:rPr>
        <w:t>1055</w:t>
      </w:r>
      <w:r w:rsidRPr="00FF1F21">
        <w:rPr>
          <w:rFonts w:cs="Times New Roman" w:eastAsia="Times New Roman"/>
          <w:szCs w:val="20"/>
          <w:lang w:eastAsia="hr-HR"/>
        </w:rPr>
        <w:t xml:space="preserve"> dana te da ukupni iznos duga evidentiranog na temelju neizvršenih osnova za plaćanje iznosi </w:t>
      </w:r>
      <w:r w:rsidR="00CA2450">
        <w:rPr>
          <w:rFonts w:cs="Times New Roman" w:eastAsia="Times New Roman"/>
          <w:szCs w:val="20"/>
          <w:lang w:eastAsia="hr-HR"/>
        </w:rPr>
        <w:t>248.835,89</w:t>
      </w:r>
      <w:r w:rsidRPr="00FF1F21">
        <w:rPr>
          <w:rFonts w:cs="Times New Roman" w:eastAsia="Times New Roman"/>
          <w:szCs w:val="20"/>
          <w:lang w:eastAsia="hr-HR"/>
        </w:rPr>
        <w:t xml:space="preserve"> kuna na dan 1. rujna 2015.</w:t>
      </w:r>
    </w:p>
    <w:p w:rsidRDefault="00FF1F21" w:rsidP="00FF1F21" w:rsidR="00FF1F21" w:rsidRPr="00FF1F21">
      <w:pPr>
        <w:jc w:val="both"/>
        <w:rPr>
          <w:rFonts w:cs="Times New Roman" w:eastAsia="Times New Roman"/>
          <w:szCs w:val="20"/>
          <w:lang w:eastAsia="hr-HR"/>
        </w:rPr>
      </w:pPr>
    </w:p>
    <w:p w:rsidRDefault="00FF1F21" w:rsidP="00FF1F21" w:rsidR="00FF1F21" w:rsidRPr="00FF1F21">
      <w:pPr>
        <w:jc w:val="both"/>
        <w:rPr>
          <w:rFonts w:cs="Times New Roman" w:eastAsia="Times New Roman"/>
          <w:szCs w:val="20"/>
          <w:lang w:eastAsia="hr-HR"/>
        </w:rPr>
      </w:pPr>
      <w:r w:rsidRPr="00FF1F21">
        <w:rPr>
          <w:rFonts w:cs="Times New Roman" w:eastAsia="Times New Roman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F1F21" w:rsidP="00FF1F21" w:rsidR="00FF1F21" w:rsidRPr="00FF1F21">
      <w:pPr>
        <w:jc w:val="both"/>
        <w:rPr>
          <w:rFonts w:cs="Times New Roman" w:eastAsia="Times New Roman"/>
          <w:szCs w:val="20"/>
          <w:lang w:eastAsia="hr-HR"/>
        </w:rPr>
      </w:pPr>
      <w:r w:rsidRPr="00FF1F21">
        <w:rPr>
          <w:rFonts w:cs="Times New Roman" w:eastAsia="Times New Roman"/>
          <w:szCs w:val="20"/>
          <w:lang w:eastAsia="hr-HR"/>
        </w:rPr>
        <w:tab/>
      </w:r>
    </w:p>
    <w:p w:rsidRDefault="00FF1F21" w:rsidP="00FF1F21" w:rsidR="00FF1F21" w:rsidRPr="00FF1F21">
      <w:pPr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FF1F21" w:rsidP="00FF1F21" w:rsidR="00FF1F21" w:rsidRPr="00FF1F21">
      <w:pPr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FF1F21" w:rsidP="00FF1F21" w:rsidR="00FF1F21" w:rsidRPr="00FF1F21">
      <w:pPr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FF1F21" w:rsidP="00FF1F21" w:rsidR="00FF1F21" w:rsidRPr="00FF1F21">
      <w:pPr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FF1F21">
        <w:rPr>
          <w:rFonts w:cs="Times New Roman" w:eastAsia="Times New Roman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F1F21" w:rsidP="00FF1F21" w:rsidR="00FF1F21" w:rsidRPr="00FF1F21">
      <w:pPr>
        <w:jc w:val="center"/>
        <w:rPr>
          <w:rFonts w:cs="Times New Roman" w:eastAsia="Times New Roman"/>
          <w:szCs w:val="20"/>
          <w:lang w:eastAsia="hr-HR"/>
        </w:rPr>
      </w:pPr>
    </w:p>
    <w:p w:rsidRDefault="00FF1F21" w:rsidP="00FF1F21" w:rsidR="00FF1F21" w:rsidRPr="00FF1F21">
      <w:pPr>
        <w:jc w:val="center"/>
        <w:rPr>
          <w:rFonts w:cs="Times New Roman" w:eastAsia="Times New Roman"/>
          <w:szCs w:val="20"/>
          <w:lang w:eastAsia="hr-HR"/>
        </w:rPr>
      </w:pPr>
      <w:r w:rsidRPr="00FF1F21">
        <w:rPr>
          <w:rFonts w:cs="Times New Roman" w:eastAsia="Times New Roman"/>
          <w:szCs w:val="20"/>
          <w:lang w:eastAsia="hr-HR"/>
        </w:rPr>
        <w:t xml:space="preserve">U Zagrebu, 27. travnja 2016. </w:t>
      </w:r>
    </w:p>
    <w:p w:rsidRDefault="00FF1F21" w:rsidP="00FF1F21" w:rsidR="00FF1F21" w:rsidRPr="00FF1F21">
      <w:pPr>
        <w:jc w:val="center"/>
        <w:rPr>
          <w:rFonts w:cs="Times New Roman" w:eastAsia="Times New Roman"/>
          <w:szCs w:val="20"/>
          <w:lang w:eastAsia="hr-HR"/>
        </w:rPr>
      </w:pPr>
    </w:p>
    <w:p w:rsidRDefault="00FF1F21" w:rsidP="00FF1F21" w:rsidR="00FF1F21" w:rsidRPr="00FF1F21">
      <w:pPr>
        <w:ind w:firstLine="720" w:left="5040"/>
        <w:jc w:val="center"/>
        <w:rPr>
          <w:rFonts w:cs="Times New Roman" w:eastAsia="Times New Roman"/>
          <w:szCs w:val="20"/>
          <w:lang w:eastAsia="hr-HR"/>
        </w:rPr>
      </w:pPr>
      <w:r w:rsidRPr="00FF1F21">
        <w:rPr>
          <w:rFonts w:cs="Times New Roman" w:eastAsia="Times New Roman"/>
          <w:szCs w:val="20"/>
          <w:lang w:eastAsia="hr-HR"/>
        </w:rPr>
        <w:t xml:space="preserve">      SUDSKI SAVJETNIK:</w:t>
      </w:r>
    </w:p>
    <w:p w:rsidRDefault="00FF1F21" w:rsidP="00FF1F21" w:rsidR="00FF1F21" w:rsidRPr="00FF1F21">
      <w:pPr>
        <w:ind w:firstLine="720" w:left="5040"/>
        <w:jc w:val="center"/>
        <w:rPr>
          <w:rFonts w:cs="Times New Roman" w:eastAsia="Times New Roman"/>
          <w:szCs w:val="20"/>
          <w:lang w:eastAsia="hr-HR"/>
        </w:rPr>
      </w:pPr>
    </w:p>
    <w:p w:rsidRDefault="00FF1F21" w:rsidP="00FF1F21" w:rsidR="00FF1F21" w:rsidRPr="00FF1F21">
      <w:pPr>
        <w:jc w:val="center"/>
        <w:rPr>
          <w:rFonts w:cs="Times New Roman" w:eastAsia="Times New Roman"/>
          <w:szCs w:val="20"/>
          <w:lang w:eastAsia="hr-HR"/>
        </w:rPr>
      </w:pPr>
      <w:r w:rsidRPr="00FF1F2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C8480D">
        <w:rPr>
          <w:rFonts w:cs="Times New Roman" w:eastAsia="Times New Roman"/>
          <w:szCs w:val="20"/>
          <w:lang w:eastAsia="hr-HR"/>
        </w:rPr>
        <w:t>, v.r.</w:t>
      </w:r>
      <w:r w:rsidRPr="00FF1F21">
        <w:rPr>
          <w:rFonts w:cs="Times New Roman" w:eastAsia="Times New Roman"/>
          <w:szCs w:val="20"/>
          <w:lang w:eastAsia="hr-HR"/>
        </w:rPr>
        <w:t xml:space="preserve"> </w:t>
      </w:r>
    </w:p>
    <w:p w:rsidRDefault="00FF1F21" w:rsidP="00FF1F21" w:rsidR="00FF1F21" w:rsidRPr="00FF1F21">
      <w:pPr>
        <w:jc w:val="both"/>
        <w:rPr>
          <w:rFonts w:cs="Times New Roman" w:eastAsia="Times New Roman"/>
          <w:szCs w:val="24"/>
          <w:lang w:eastAsia="hr-HR"/>
        </w:rPr>
      </w:pPr>
    </w:p>
    <w:p w:rsidRDefault="00FF1F21" w:rsidP="00FF1F21" w:rsidR="00FF1F21" w:rsidRPr="00FF1F21">
      <w:pPr>
        <w:jc w:val="both"/>
        <w:rPr>
          <w:rFonts w:cs="Times New Roman" w:eastAsia="Times New Roman"/>
          <w:szCs w:val="24"/>
          <w:lang w:eastAsia="hr-HR"/>
        </w:rPr>
      </w:pPr>
    </w:p>
    <w:p w:rsidRDefault="00FF1F21" w:rsidP="00FF1F21" w:rsidR="00FF1F21" w:rsidRPr="00FF1F21">
      <w:pPr>
        <w:jc w:val="both"/>
        <w:rPr>
          <w:rFonts w:cs="Times New Roman" w:eastAsia="Times New Roman"/>
          <w:szCs w:val="24"/>
          <w:lang w:eastAsia="hr-HR"/>
        </w:rPr>
      </w:pPr>
      <w:r w:rsidRPr="00FF1F21">
        <w:rPr>
          <w:rFonts w:cs="Times New Roman" w:eastAsia="Times New Roman"/>
          <w:szCs w:val="24"/>
          <w:lang w:eastAsia="hr-HR"/>
        </w:rPr>
        <w:t>UPUTA O PRAVNOM LIJEKU:</w:t>
      </w:r>
    </w:p>
    <w:p w:rsidRDefault="00FF1F21" w:rsidP="00FF1F21" w:rsidR="00FF1F21" w:rsidRPr="00FF1F21">
      <w:pPr>
        <w:jc w:val="both"/>
        <w:rPr>
          <w:rFonts w:cs="Times New Roman" w:eastAsia="Times New Roman"/>
          <w:i/>
          <w:szCs w:val="24"/>
          <w:lang w:eastAsia="hr-HR"/>
        </w:rPr>
      </w:pPr>
      <w:r w:rsidRPr="00FF1F21">
        <w:rPr>
          <w:rFonts w:cs="Times New Roman" w:eastAsia="Times New Roman"/>
          <w:szCs w:val="24"/>
          <w:lang w:eastAsia="hr-HR"/>
        </w:rPr>
        <w:t>Protiv ovog rješenja dopuštena je  žalba Visokom trgovačkom sudu RH, a koja se podnosi u roku od 8 dana ovome sudu u 3 primjerka.</w:t>
      </w:r>
      <w:r w:rsidRPr="00FF1F21">
        <w:rPr>
          <w:rFonts w:cs="Times New Roman" w:eastAsia="Times New Roman"/>
          <w:i/>
          <w:szCs w:val="24"/>
          <w:lang w:eastAsia="hr-HR"/>
        </w:rPr>
        <w:t xml:space="preserve">  </w:t>
      </w:r>
    </w:p>
    <w:p w:rsidRDefault="00FF1F21" w:rsidP="00FF1F21" w:rsidR="00FF1F21" w:rsidRPr="00FF1F21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FF1F21" w:rsidP="00FF1F21" w:rsidR="00FF1F21" w:rsidRPr="00FF1F21">
      <w:pPr>
        <w:jc w:val="both"/>
        <w:rPr>
          <w:rFonts w:cs="Times New Roman" w:eastAsia="Times New Roman"/>
          <w:szCs w:val="20"/>
          <w:lang w:eastAsia="hr-HR" w:val="en-GB"/>
        </w:rPr>
      </w:pPr>
    </w:p>
    <w:p w:rsidRDefault="00C8480D" w:rsidP="00C8480D" w:rsidR="00FF1F21">
      <w:pPr>
        <w:ind w:left="4956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 točnost otpravka – ovlašteni službenik:</w:t>
      </w:r>
    </w:p>
    <w:p w:rsidRDefault="00C8480D" w:rsidP="00C8480D" w:rsidR="00C8480D" w:rsidRPr="00FF1F21">
      <w:pPr>
        <w:ind w:firstLine="708" w:left="4956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Vlasta Bogović Milisavljević</w:t>
      </w:r>
    </w:p>
    <w:p w:rsidRDefault="00FF1F21" w:rsidP="00FF1F21" w:rsidR="00FF1F21" w:rsidRPr="00FF1F21">
      <w:pPr>
        <w:jc w:val="both"/>
        <w:rPr>
          <w:rFonts w:cs="Times New Roman" w:eastAsia="Times New Roman"/>
          <w:sz w:val="22"/>
          <w:szCs w:val="20"/>
          <w:lang w:eastAsia="hr-HR"/>
        </w:rPr>
      </w:pPr>
    </w:p>
    <w:p w:rsidRDefault="00FF1F21" w:rsidP="00FF1F21" w:rsidR="00FF1F21" w:rsidRPr="00FF1F21">
      <w:pPr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FF1F21" w:rsidP="00FF1F21" w:rsidR="00FF1F21" w:rsidRPr="00FF1F21">
      <w:pPr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FF1F21" w:rsidP="00FF1F21" w:rsidR="00FF1F21" w:rsidRPr="00FF1F21">
      <w:pPr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F1F21" w:rsidP="00FF1F21" w:rsidR="00FF1F21" w:rsidRPr="00FF1F21">
      <w:pPr>
        <w:rPr>
          <w:rFonts w:cs="Times New Roman" w:eastAsia="Times New Roman" w:hAnsi="Arial" w:ascii="Arial"/>
          <w:szCs w:val="20"/>
          <w:lang w:eastAsia="hr-HR" w:val="en-GB"/>
        </w:rPr>
      </w:pPr>
    </w:p>
    <w:p w:rsidRDefault="00FF1F21" w:rsidP="00FF1F21" w:rsidR="00FF1F21" w:rsidRPr="00FF1F21">
      <w:pPr>
        <w:spacing w:lineRule="auto" w:line="276" w:after="200"/>
        <w:rPr>
          <w:rFonts w:hAnsiTheme="minorHAnsi" w:asciiTheme="minorHAnsi"/>
          <w:sz w:val="22"/>
        </w:rPr>
      </w:pPr>
    </w:p>
    <w:p w:rsidRDefault="00FF1F21" w:rsidP="00FF1F21" w:rsidR="00FF1F21" w:rsidRPr="00FF1F21">
      <w:pPr>
        <w:spacing w:lineRule="auto" w:line="276" w:after="200"/>
        <w:rPr>
          <w:rFonts w:hAnsiTheme="minorHAnsi" w:asciiTheme="minorHAnsi"/>
          <w:sz w:val="22"/>
        </w:rPr>
      </w:pPr>
    </w:p>
    <w:p w:rsidRDefault="00FF1F21" w:rsidP="00FF1F21" w:rsidR="00FF1F21" w:rsidRPr="00FF1F21">
      <w:pPr>
        <w:spacing w:lineRule="auto" w:line="276" w:after="200"/>
        <w:rPr>
          <w:rFonts w:hAnsiTheme="minorHAnsi" w:asciiTheme="minorHAnsi"/>
          <w:sz w:val="22"/>
        </w:rPr>
      </w:pPr>
    </w:p>
    <w:p w:rsidRDefault="00FF1F21" w:rsidP="00FF1F21" w:rsidR="00FF1F21" w:rsidRPr="00FF1F21">
      <w:pPr>
        <w:spacing w:lineRule="auto" w:line="276" w:after="200"/>
        <w:rPr>
          <w:rFonts w:hAnsiTheme="minorHAnsi" w:asciiTheme="minorHAnsi"/>
          <w:sz w:val="22"/>
        </w:rPr>
      </w:pPr>
    </w:p>
    <w:p w:rsidRDefault="00FF1F21" w:rsidP="00FF1F21" w:rsidR="00FF1F21" w:rsidRPr="00FF1F21">
      <w:pPr>
        <w:spacing w:lineRule="auto" w:line="276" w:after="200"/>
        <w:rPr>
          <w:rFonts w:hAnsiTheme="minorHAnsi" w:asciiTheme="minorHAnsi"/>
          <w:sz w:val="22"/>
        </w:rPr>
      </w:pPr>
    </w:p>
    <w:p w:rsidRDefault="00FF1F21" w:rsidP="00FF1F21" w:rsidR="00FF1F21" w:rsidRPr="00FF1F21"/>
    <w:p w:rsidRDefault="006C181C" w:rsidP="00FF1F21" w:rsidR="006C181C" w:rsidRPr="00FF1F21"/>
    <w:sectPr w:rsidR="006C181C" w:rsidRPr="00FF1F21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85C" w:rsidP="00FF1F21" w:rsidR="00A6385C">
      <w:r>
        <w:separator/>
      </w:r>
    </w:p>
  </w:endnote>
  <w:endnote w:id="0" w:type="continuationSeparator">
    <w:p w:rsidRDefault="00A6385C" w:rsidP="00FF1F21" w:rsidR="00A63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85C" w:rsidP="00FF1F21" w:rsidR="00A6385C">
      <w:r>
        <w:separator/>
      </w:r>
    </w:p>
  </w:footnote>
  <w:footnote w:id="0" w:type="continuationSeparator">
    <w:p w:rsidRDefault="00A6385C" w:rsidP="00FF1F21" w:rsidR="00A638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8791654"/>
      <w:docPartObj>
        <w:docPartGallery w:val="Page Numbers (Top of Page)"/>
        <w:docPartUnique/>
      </w:docPartObj>
    </w:sdtPr>
    <w:sdtEndPr/>
    <w:sdtContent>
      <w:p w:rsidRDefault="00A6385C" w:rsidR="0004378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480D">
          <w:rPr>
            <w:noProof/>
          </w:rPr>
          <w:t>1</w:t>
        </w:r>
        <w:r>
          <w:fldChar w:fldCharType="end"/>
        </w:r>
      </w:p>
    </w:sdtContent>
  </w:sdt>
  <w:p w:rsidRDefault="00A6385C" w:rsidP="00F55F27" w:rsidR="00F55F27" w:rsidRPr="00F55F27">
    <w:pPr>
      <w:pStyle w:val="Zaglavlje"/>
      <w:jc w:val="right"/>
      <w:rPr>
        <w:rFonts w:cs="Times New Roman"/>
        <w:szCs w:val="24"/>
      </w:rPr>
    </w:pPr>
    <w:r>
      <w:rPr>
        <w:rFonts w:cs="Times New Roman"/>
        <w:szCs w:val="24"/>
      </w:rPr>
      <w:t>81. St-</w:t>
    </w:r>
    <w:r w:rsidR="00FF1F21">
      <w:rPr>
        <w:rFonts w:cs="Times New Roman"/>
        <w:szCs w:val="24"/>
      </w:rPr>
      <w:t>4530</w:t>
    </w:r>
    <w:r>
      <w:rPr>
        <w:rFonts w:cs="Times New Roman"/>
        <w:szCs w:val="24"/>
      </w:rPr>
      <w:t>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F21"/>
    <w:rsid w:val="006C181C"/>
    <w:rsid w:val="00A6385C"/>
    <w:rsid w:val="00AE295B"/>
    <w:rsid w:val="00B005BB"/>
    <w:rsid w:val="00C8480D"/>
    <w:rsid w:val="00CA2450"/>
    <w:rsid w:val="00FF1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F1F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1F21"/>
  </w:style>
  <w:style w:styleId="Podnoje" w:type="paragraph">
    <w:name w:val="footer"/>
    <w:basedOn w:val="Normal"/>
    <w:link w:val="PodnojeChar"/>
    <w:uiPriority w:val="99"/>
    <w:unhideWhenUsed/>
    <w:rsid w:val="00FF1F2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1F21"/>
  </w:style>
  <w:style w:styleId="Tekstrezerviranogmjesta" w:type="character">
    <w:name w:val="Placeholder Text"/>
    <w:basedOn w:val="Zadanifontodlomka"/>
    <w:uiPriority w:val="99"/>
    <w:semiHidden/>
    <w:rsid w:val="00C848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480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8480D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8480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8480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F1F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1F21"/>
  </w:style>
  <w:style w:styleId="Podnoje" w:type="paragraph">
    <w:name w:val="footer"/>
    <w:basedOn w:val="Normal"/>
    <w:link w:val="PodnojeChar"/>
    <w:uiPriority w:val="99"/>
    <w:unhideWhenUsed/>
    <w:rsid w:val="00FF1F2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1F21"/>
  </w:style>
  <w:style w:styleId="Tekstrezerviranogmjesta" w:type="character">
    <w:name w:val="Placeholder Text"/>
    <w:basedOn w:val="Zadanifontodlomka"/>
    <w:uiPriority w:val="99"/>
    <w:semiHidden/>
    <w:rsid w:val="00C848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480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8480D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8480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8480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4530</izvorni_sadrzaj>
    <derivirana_varijabla naziv="DomainObject.Predmet.Broj_1">4530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St-4530/2015</izvorni_sadrzaj>
    <derivirana_varijabla naziv="DomainObject.Predmet.OznakaBroj_1">St-4530/2015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INCIPIO SAVJETOVANJE d.o.o.</izvorni_sadrzaj>
    <derivirana_varijabla naziv="DomainObject.Predmet.ProtustrankaFormated_1">  INCIPIO SAVJETOVANJE d.o.o.</derivirana_varijabla>
  </DomainObject.Predmet.ProtustrankaFormated>
  <DomainObject.Predmet.ProtustrankaFormatedOIB>
    <izvorni_sadrzaj>  INCIPIO SAVJETOVANJE d.o.o., OIB 12398712486</izvorni_sadrzaj>
    <derivirana_varijabla naziv="DomainObject.Predmet.ProtustrankaFormatedOIB_1">  INCIPIO SAVJETOVANJE d.o.o., OIB 12398712486</derivirana_varijabla>
  </DomainObject.Predmet.ProtustrankaFormatedOIB>
  <DomainObject.Predmet.ProtustrankaFormatedWithAdress>
    <izvorni_sadrzaj> INCIPIO SAVJETOVANJE d.o.o., Pantovčak 106, 10000 Zagreb</izvorni_sadrzaj>
    <derivirana_varijabla naziv="DomainObject.Predmet.ProtustrankaFormatedWithAdress_1"> INCIPIO SAVJETOVANJE d.o.o., Pantovčak 106, 10000 Zagreb</derivirana_varijabla>
  </DomainObject.Predmet.ProtustrankaFormatedWithAdress>
  <DomainObject.Predmet.ProtustrankaFormatedWithAdressOIB>
    <izvorni_sadrzaj> INCIPIO SAVJETOVANJE d.o.o., OIB 12398712486, Pantovčak 106, 10000 Zagreb</izvorni_sadrzaj>
    <derivirana_varijabla naziv="DomainObject.Predmet.ProtustrankaFormatedWithAdressOIB_1"> INCIPIO SAVJETOVANJE d.o.o., OIB 12398712486, Pantovčak 106, 10000 Zagreb</derivirana_varijabla>
  </DomainObject.Predmet.ProtustrankaFormatedWithAdressOIB>
  <DomainObject.Predmet.ProtustrankaWithAdress>
    <izvorni_sadrzaj>INCIPIO SAVJETOVANJE d.o.o. Pantovčak 106, 10000 Zagreb</izvorni_sadrzaj>
    <derivirana_varijabla naziv="DomainObject.Predmet.ProtustrankaWithAdress_1">INCIPIO SAVJETOVANJE d.o.o. Pantovčak 106, 10000 Zagreb</derivirana_varijabla>
  </DomainObject.Predmet.ProtustrankaWithAdress>
  <DomainObject.Predmet.ProtustrankaWithAdressOIB>
    <izvorni_sadrzaj>INCIPIO SAVJETOVANJE d.o.o., OIB 12398712486, Pantovčak 106, 10000 Zagreb</izvorni_sadrzaj>
    <derivirana_varijabla naziv="DomainObject.Predmet.ProtustrankaWithAdressOIB_1">INCIPIO SAVJETOVANJE d.o.o., OIB 12398712486, Pantovčak 106, 10000 Zagreb</derivirana_varijabla>
  </DomainObject.Predmet.ProtustrankaWithAdressOIB>
  <DomainObject.Predmet.ProtustrankaNazivFormated>
    <izvorni_sadrzaj>INCIPIO SAVJETOVANJE d.o.o.</izvorni_sadrzaj>
    <derivirana_varijabla naziv="DomainObject.Predmet.ProtustrankaNazivFormated_1">INCIPIO SAVJETOVANJE d.o.o.</derivirana_varijabla>
  </DomainObject.Predmet.ProtustrankaNazivFormated>
  <DomainObject.Predmet.ProtustrankaNazivFormatedOIB>
    <izvorni_sadrzaj>INCIPIO SAVJETOVANJE d.o.o., OIB 12398712486</izvorni_sadrzaj>
    <derivirana_varijabla naziv="DomainObject.Predmet.ProtustrankaNazivFormatedOIB_1">INCIPIO SAVJETOVANJE d.o.o., OIB 12398712486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INCIPIO SAVJETOVANJE d.o.o.</item>
    </izvorni_sadrzaj>
    <derivirana_varijabla naziv="DomainObject.Predmet.ProtuStrankaListFormated_1">
      <item>INCIPIO SAVJETOVANJE d.o.o.</item>
    </derivirana_varijabla>
  </DomainObject.Predmet.ProtuStrankaListFormated>
  <DomainObject.Predmet.ProtuStrankaListFormatedOIB>
    <izvorni_sadrzaj>
      <item>INCIPIO SAVJETOVANJE d.o.o., OIB 12398712486</item>
    </izvorni_sadrzaj>
    <derivirana_varijabla naziv="DomainObject.Predmet.ProtuStrankaListFormatedOIB_1">
      <item>INCIPIO SAVJETOVANJE d.o.o., OIB 12398712486</item>
    </derivirana_varijabla>
  </DomainObject.Predmet.ProtuStrankaListFormatedOIB>
  <DomainObject.Predmet.ProtuStrankaListFormatedWithAdress>
    <izvorni_sadrzaj>
      <item>INCIPIO SAVJETOVANJE d.o.o., Pantovčak 106, 10000 Zagreb</item>
    </izvorni_sadrzaj>
    <derivirana_varijabla naziv="DomainObject.Predmet.ProtuStrankaListFormatedWithAdress_1">
      <item>INCIPIO SAVJETOVANJE d.o.o., Pantovčak 106, 10000 Zagreb</item>
    </derivirana_varijabla>
  </DomainObject.Predmet.ProtuStrankaListFormatedWithAdress>
  <DomainObject.Predmet.ProtuStrankaListFormatedWithAdressOIB>
    <izvorni_sadrzaj>
      <item>INCIPIO SAVJETOVANJE d.o.o., OIB 12398712486, Pantovčak 106, 10000 Zagreb</item>
    </izvorni_sadrzaj>
    <derivirana_varijabla naziv="DomainObject.Predmet.ProtuStrankaListFormatedWithAdressOIB_1">
      <item>INCIPIO SAVJETOVANJE d.o.o., OIB 12398712486, Pantovčak 106, 10000 Zagreb</item>
    </derivirana_varijabla>
  </DomainObject.Predmet.ProtuStrankaListFormatedWithAdressOIB>
  <DomainObject.Predmet.ProtuStrankaListNazivFormated>
    <izvorni_sadrzaj>
      <item>INCIPIO SAVJETOVANJE d.o.o.</item>
    </izvorni_sadrzaj>
    <derivirana_varijabla naziv="DomainObject.Predmet.ProtuStrankaListNazivFormated_1">
      <item>INCIPIO SAVJETOVANJE d.o.o.</item>
    </derivirana_varijabla>
  </DomainObject.Predmet.ProtuStrankaListNazivFormated>
  <DomainObject.Predmet.ProtuStrankaListNazivFormatedOIB>
    <izvorni_sadrzaj>
      <item>INCIPIO SAVJETOVANJE d.o.o., OIB 12398712486</item>
    </izvorni_sadrzaj>
    <derivirana_varijabla naziv="DomainObject.Predmet.ProtuStrankaListNazivFormatedOIB_1">
      <item>INCIPIO SAVJETOVANJE d.o.o., OIB 12398712486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INCIPIO SAVJETOVANJE d.o.o.</izvorni_sadrzaj>
    <derivirana_varijabla naziv="DomainObject.Predmet.ProtustrankaIDrugi_1">INCIPIO SAVJETOVANJE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INCIPIO SAVJETOVANJE d.o.o., OIB 12398712486, Pantovčak 106, 10000 Zagreb</izvorni_sadrzaj>
    <derivirana_varijabla naziv="DomainObject.Predmet.ProtustrankaIDrugiAdressOIB_1">INCIPIO SAVJETOVANJE d.o.o., OIB 12398712486, Pantovčak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INCIPIO SAVJETOVANJE d.o.o.</item>
      <item>FINA Regionalni centar Zagreb</item>
    </izvorni_sadrzaj>
    <derivirana_varijabla naziv="DomainObject.Predmet.SudioniciListNaziv_1">
      <item>INCIPIO SAVJETOVANJE d.o.o.</item>
      <item>FINA Regionalni centar Zagreb</item>
    </derivirana_varijabla>
  </DomainObject.Predmet.SudioniciListNaziv>
  <DomainObject.Predmet.SudioniciListAdressOIB>
    <izvorni_sadrzaj>
      <item>INCIPIO SAVJETOVANJE d.o.o., OIB 12398712486, Pantovčak 106,10000 Zagreb</item>
      <item>FINA Regionalni centar Zagreb, OIB 85821130368, Trg svibanjskih žrtava 1995. 1,10000 Zagreb</item>
    </izvorni_sadrzaj>
    <derivirana_varijabla naziv="DomainObject.Predmet.SudioniciListAdressOIB_1">
      <item>INCIPIO SAVJETOVANJE d.o.o., OIB 12398712486, Pantovčak 106,10000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12398712486</item>
      <item>, OIB 85821130368</item>
    </izvorni_sadrzaj>
    <derivirana_varijabla naziv="DomainObject.Predmet.SudioniciListNazivOIB_1">
      <item>, OIB 12398712486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1948</properties:Characters>
  <properties:Lines>80</properties:Lines>
  <properties:Paragraphs>20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2016-04-27T09:09:00Z</dcterms:created>
  <dc:creator>Lidija Klinčić</dc:creator>
  <cp:lastModifiedBy>Lidija Klinčić</cp:lastModifiedBy>
  <cp:lastPrinted>2016-04-27T09:34:00Z</cp:lastPrinted>
  <dcterms:modified xmlns:xsi="http://www.w3.org/2001/XMLSchema-instance" xsi:type="dcterms:W3CDTF">2016-04-27T09:36:00Z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