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ad97" w14:paraId="6f3ad9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377D5F">
        <w:rPr>
          <w:lang w:val="pt-BR"/>
        </w:rPr>
        <w:t xml:space="preserve"> St-462</w:t>
      </w:r>
      <w:r w:rsidR="00CE24E4">
        <w:rPr>
          <w:lang w:val="pt-BR"/>
        </w:rPr>
        <w:t>/12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CE24E4" w:rsidP="00112374" w:rsidR="005866EA">
      <w:pPr>
        <w:ind w:firstLine="708"/>
        <w:jc w:val="both"/>
      </w:pPr>
      <w:r w:rsidRPr="00CE24E4">
        <w:t xml:space="preserve">TRGOVAČKI SUD U ZAGREBU, po sucu Gordanu Zubaku, u stečajnom postupku nad dužnikom </w:t>
      </w:r>
      <w:r w:rsidR="00377D5F" w:rsidRPr="00377D5F">
        <w:rPr>
          <w:bCs/>
        </w:rPr>
        <w:t>ŠITUM INTERIJERI d.o.o. u stečaju, Zagreb, Savska opatovina 30, OIB: 84385113569</w:t>
      </w:r>
      <w:r w:rsidR="00112374" w:rsidRPr="00112374">
        <w:t xml:space="preserve">, </w:t>
      </w:r>
      <w:r w:rsidR="00377D5F">
        <w:t>30. studenoga</w:t>
      </w:r>
      <w:r w:rsidR="00112374" w:rsidRPr="00112374">
        <w:t xml:space="preserve"> 2017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DB6A7F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377D5F">
        <w:t>Mati Čičku iz Donje Lomnice, Velika Gorica, II. odv. Deverićeve 5, OIB: 63670108668</w:t>
      </w:r>
      <w:r w:rsidR="00F75299">
        <w:t>,</w:t>
      </w:r>
      <w:r w:rsidR="00766798">
        <w:t xml:space="preserve"> određuje se nagrada u iznosu od </w:t>
      </w:r>
      <w:r w:rsidR="00F75299">
        <w:t>56.296,98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CE24E4" w:rsidP="005866EA" w:rsidR="005866EA">
      <w:pPr>
        <w:ind w:firstLine="720"/>
        <w:jc w:val="both"/>
      </w:pPr>
      <w:r>
        <w:t xml:space="preserve">Nakon unovčenja nekretnina stečajnog dužnika </w:t>
      </w:r>
      <w:r w:rsidR="00DB6A7F">
        <w:t>stečajni</w:t>
      </w:r>
      <w:r w:rsidR="005866EA">
        <w:t xml:space="preserve"> upravitelj </w:t>
      </w:r>
      <w:r w:rsidR="00DB6A7F">
        <w:t>predložio</w:t>
      </w:r>
      <w:r>
        <w:t xml:space="preserve"> je</w:t>
      </w:r>
      <w:r w:rsidR="00377D5F">
        <w:t xml:space="preserve"> podneskom od 11. rujna 2017.</w:t>
      </w:r>
      <w:r w:rsidR="005866EA">
        <w:t xml:space="preserve"> određivanje nagrade.</w:t>
      </w:r>
    </w:p>
    <w:p w:rsidRDefault="005866EA" w:rsidP="005866EA" w:rsidR="005866EA">
      <w:pPr>
        <w:ind w:firstLine="720"/>
        <w:jc w:val="both"/>
      </w:pPr>
    </w:p>
    <w:p w:rsidRDefault="00496897" w:rsidP="005866EA" w:rsidR="005866EA">
      <w:pPr>
        <w:ind w:firstLine="708"/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 xml:space="preserve">otvaranje stečajnog postupka </w:t>
      </w:r>
      <w:r w:rsidR="005866EA">
        <w:t>na snagu stupio Stečajni zakon (</w:t>
      </w:r>
      <w:r>
        <w:t xml:space="preserve">„Narodne novine“ broj </w:t>
      </w:r>
      <w:r w:rsidR="005866EA">
        <w:t>71/15</w:t>
      </w:r>
      <w:r w:rsidR="00A4119B">
        <w:t>,</w:t>
      </w:r>
      <w:r w:rsidR="00377D5F">
        <w:t xml:space="preserve"> 104/17</w:t>
      </w:r>
      <w:r w:rsidR="00A4119B">
        <w:t xml:space="preserve">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F75299">
        <w:t>,</w:t>
      </w:r>
      <w:r w:rsidR="005866EA">
        <w:t xml:space="preserve"> dovršiti će se prema odredbama Stečajnog zakona</w:t>
      </w:r>
      <w:r w:rsidR="00CE24E4">
        <w:t>,</w:t>
      </w:r>
      <w:r w:rsidR="005866EA">
        <w:t xml:space="preserve">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</w:t>
      </w:r>
      <w:r w:rsidR="00766798">
        <w:t>ovaj stečajni postupak pokrenut</w:t>
      </w:r>
      <w:r w:rsidR="00496897">
        <w:t xml:space="preserve"> 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>listopada 2015.) obračunati će se nagrada po pravilima  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stečajnom upravitelju pripada prema pravilima </w:t>
      </w:r>
      <w:r>
        <w:t>te uredbe, a prema odredbi stav</w:t>
      </w:r>
      <w:r w:rsidR="005866EA">
        <w:t>ka 3. istog članka za poslove obavljene</w:t>
      </w:r>
      <w:r>
        <w:t xml:space="preserve"> nakon stupanja na snagu Uredb</w:t>
      </w:r>
      <w:r w:rsidR="00A21FE4">
        <w:t>e</w:t>
      </w:r>
      <w:r>
        <w:t>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t>Prema čl. 29. st.</w:t>
      </w:r>
      <w:r w:rsidR="005866EA">
        <w:t xml:space="preserve">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766798" w:rsidP="00F41166" w:rsidR="00766798">
      <w:pPr>
        <w:ind w:firstLine="720"/>
        <w:jc w:val="both"/>
      </w:pPr>
    </w:p>
    <w:p w:rsidRDefault="00766798" w:rsidP="00F75299" w:rsidR="00766798">
      <w:pPr>
        <w:ind w:firstLine="720"/>
        <w:jc w:val="both"/>
      </w:pPr>
      <w:r>
        <w:t>S obzirom na to da je dužnikova imovina</w:t>
      </w:r>
      <w:r w:rsidR="00377D5F">
        <w:t xml:space="preserve">, i to nekretnina upisana u zemljišnim knjigama Općinskog građanskog suda u Zagrebu i to u zk. ul. 8614 k.o. Stenjevec (u naravi stan - etaža E-009) unovčena za iznos od 382.500,00 kn i nekretnine </w:t>
      </w:r>
      <w:r w:rsidR="00377D5F" w:rsidRPr="00377D5F">
        <w:t>upisan</w:t>
      </w:r>
      <w:r w:rsidR="00377D5F">
        <w:t>e u</w:t>
      </w:r>
      <w:r w:rsidR="00377D5F" w:rsidRPr="00377D5F">
        <w:t xml:space="preserve"> zemljišnim knjigama Općinskog građanskog suda u Zagrebu i to u zk. ul. 8614 k.o. Stenjevec (</w:t>
      </w:r>
      <w:r w:rsidR="00377D5F">
        <w:t xml:space="preserve">u naravi pakirna garažna mjesta – </w:t>
      </w:r>
      <w:r w:rsidR="00377D5F" w:rsidRPr="00377D5F">
        <w:t>etaža</w:t>
      </w:r>
      <w:r w:rsidR="00377D5F">
        <w:t xml:space="preserve"> E-203; E-204; E-205; i E-208)</w:t>
      </w:r>
      <w:r w:rsidR="00F75299">
        <w:t xml:space="preserve"> unovčene za iznos od 80.470,00 kn odnosno navedena imovina unovčena je za sveukupni iznos od 462.970,00 kn i to nakon 2. listopada 2015. tj. </w:t>
      </w:r>
      <w:r>
        <w:t>nakon stupanja na snagu Uredbe 2015., za određivanje nagrade stečajnom upravitelju primjenjuje se ta Uredba.</w:t>
      </w:r>
    </w:p>
    <w:p w:rsidRDefault="00E42BEB" w:rsidP="00766798" w:rsidR="00E42BEB">
      <w:pPr>
        <w:jc w:val="both"/>
      </w:pPr>
    </w:p>
    <w:p w:rsidRDefault="00E42BEB" w:rsidP="00E42BEB" w:rsidR="005866EA">
      <w:pPr>
        <w:ind w:firstLine="720"/>
        <w:jc w:val="both"/>
      </w:pPr>
      <w:r>
        <w:t>Nadalje,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</w:t>
      </w:r>
      <w:r w:rsidR="004F1E9C">
        <w:t xml:space="preserve">                                </w:t>
      </w:r>
      <w:r>
        <w:t xml:space="preserve">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>na ra</w:t>
      </w:r>
      <w:r w:rsidR="004F1E9C">
        <w:t xml:space="preserve">zliku    100.000,01            </w:t>
      </w:r>
      <w:r>
        <w:t xml:space="preserve">do     </w:t>
      </w:r>
      <w:r w:rsidR="004F1E9C">
        <w:t xml:space="preserve"> </w:t>
      </w:r>
      <w:r>
        <w:t xml:space="preserve">300.000,00 kn -    </w:t>
      </w:r>
      <w:r w:rsidR="00E42BEB">
        <w:t xml:space="preserve">  </w:t>
      </w:r>
      <w:r w:rsidR="004F1E9C">
        <w:t xml:space="preserve"> </w:t>
      </w:r>
      <w:r>
        <w:t>12%</w:t>
      </w:r>
    </w:p>
    <w:p w:rsidRDefault="005866EA" w:rsidP="005866EA" w:rsidR="005866EA">
      <w:pPr>
        <w:ind w:firstLine="720"/>
        <w:jc w:val="both"/>
      </w:pPr>
      <w:r>
        <w:t>na ra</w:t>
      </w:r>
      <w:r w:rsidR="004F1E9C">
        <w:t xml:space="preserve">zliku    300.000,01            </w:t>
      </w:r>
      <w:r>
        <w:t xml:space="preserve">do     </w:t>
      </w:r>
      <w:r w:rsidR="004F1E9C">
        <w:t xml:space="preserve"> </w:t>
      </w:r>
      <w:r>
        <w:t xml:space="preserve">500.000,00 kn -    </w:t>
      </w:r>
      <w:r w:rsidR="00E42BEB">
        <w:t xml:space="preserve"> </w:t>
      </w:r>
      <w:r w:rsidR="004F1E9C">
        <w:t xml:space="preserve"> </w:t>
      </w:r>
      <w:r w:rsidR="00E42BEB">
        <w:t xml:space="preserve">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</w:t>
      </w:r>
      <w:r w:rsidR="004F1E9C">
        <w:t xml:space="preserve">  </w:t>
      </w:r>
      <w:r>
        <w:t xml:space="preserve">do   </w:t>
      </w:r>
      <w:r w:rsidR="004F1E9C">
        <w:t xml:space="preserve"> </w:t>
      </w:r>
      <w:r>
        <w:t xml:space="preserve">1.000.000,00 kn -    </w:t>
      </w:r>
      <w:r w:rsidR="004F1E9C">
        <w:t xml:space="preserve">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4F1E9C">
        <w:t xml:space="preserve">    do    </w:t>
      </w:r>
      <w:r w:rsidR="00E42BEB">
        <w:t xml:space="preserve">5.000.000,00 kn -    </w:t>
      </w:r>
      <w:r w:rsidR="004F1E9C">
        <w:t xml:space="preserve">     </w:t>
      </w:r>
      <w:r>
        <w:t>7%</w:t>
      </w:r>
    </w:p>
    <w:p w:rsidRDefault="005866EA" w:rsidP="005866EA" w:rsidR="005866EA">
      <w:pPr>
        <w:ind w:firstLine="720"/>
        <w:jc w:val="both"/>
      </w:pPr>
      <w:r>
        <w:t>na r</w:t>
      </w:r>
      <w:r w:rsidR="004F1E9C">
        <w:t xml:space="preserve">azliku  5.000.000,01           do   </w:t>
      </w:r>
      <w:r>
        <w:t xml:space="preserve">10.000.000,00 kn - </w:t>
      </w:r>
      <w:r w:rsidR="004F1E9C">
        <w:t xml:space="preserve">      </w:t>
      </w:r>
      <w:r>
        <w:t xml:space="preserve"> 6%</w:t>
      </w:r>
    </w:p>
    <w:p w:rsidRDefault="005866EA" w:rsidP="005866EA" w:rsidR="005866EA">
      <w:pPr>
        <w:ind w:firstLine="720"/>
        <w:jc w:val="both"/>
      </w:pPr>
      <w:r>
        <w:t xml:space="preserve">na </w:t>
      </w:r>
      <w:r w:rsidR="004F1E9C">
        <w:t xml:space="preserve">razliku 10.000.000,01          </w:t>
      </w:r>
      <w:r>
        <w:t xml:space="preserve">do   12.000.000,00 kn -  </w:t>
      </w:r>
      <w:r w:rsidR="00E42BEB">
        <w:t xml:space="preserve"> </w:t>
      </w:r>
      <w:r w:rsidR="004F1E9C">
        <w:t xml:space="preserve">    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 w:rsidR="004F1E9C">
        <w:t xml:space="preserve">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F75299" w:rsidRPr="00F75299">
        <w:t xml:space="preserve">462.970,00 </w:t>
      </w:r>
      <w:r w:rsidR="00F75299">
        <w:t>kn,</w:t>
      </w:r>
      <w:r w:rsidR="00CE24E4">
        <w:t xml:space="preserve"> stoga</w:t>
      </w:r>
      <w:r w:rsidR="00766798">
        <w:t xml:space="preserve"> na tem</w:t>
      </w:r>
      <w:r w:rsidR="00DB6A7F">
        <w:t>elju čl. 7. Uredbe2015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F75299">
        <w:t>56.296,98</w:t>
      </w:r>
      <w:r w:rsidR="00CE24E4" w:rsidRPr="00CE24E4">
        <w:t xml:space="preserve"> kn</w:t>
      </w:r>
      <w:r w:rsidR="00766798">
        <w:t>.</w:t>
      </w:r>
      <w:r w:rsidR="00A21FE4">
        <w:t xml:space="preserve"> Slijedom navedenog, sud je riješio kao u izreci.</w:t>
      </w: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F75299">
        <w:t>30. studenoga</w:t>
      </w:r>
      <w:r w:rsidR="005866EA" w:rsidRPr="00A21FE4">
        <w:rPr>
          <w:color w:val="FF0000"/>
        </w:rPr>
        <w:t xml:space="preserve"> </w:t>
      </w:r>
      <w:r w:rsidR="00AB347E">
        <w:t>2017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4F1E9C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4F1E9C" w:rsidP="00BA7734" w:rsidR="004F1E9C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4F1E9C" w:rsidP="00BA7734" w:rsidR="004F1E9C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F266E" w:rsidP="004F1E9C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E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CE24E4">
      <w:t>320</w:t>
    </w:r>
    <w:r w:rsidR="005866EA">
      <w:t>/</w:t>
    </w:r>
    <w:r w:rsidR="00CE24E4">
      <w:t>12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77D5F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4F1E9C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75299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export-import; Dinko Prosoli</izvorni_sadrzaj>
    <derivirana_varijabla naziv="DomainObject.Predmet.StrankaFormated_1">  FINA; DAVID KEVIN HYATT; IDA COMERC društvo s ograničenom odgovornošću za trgovinu i export-import; Dinko Prosoli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82286842529; Dinko Prosoli, OIB 99895907296</izvorni_sadrzaj>
    <derivirana_varijabla naziv="DomainObject.Predmet.StrankaFormatedOIB_1">  FINA, OIB 85821130368; DAVID KEVIN HYATT, OIB 88839667304; IDA COMERC društvo s ograničenom odgovornošću za trgovinu i export-import, OIB 82286842529; Dinko Prosoli, OIB 99895907296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Prelog; Dinko Prosoli, Stenjevečka 33, 10000 Zagreb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Prelog; Dinko Prosoli, Stenjevečka 33,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Prelog,Dinko Prosoli Stenjevečka 33,10000 Zagreb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Prelog,Dinko Prosoli Stenjevečka 33,10000 Zagreb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derivirana_varijabla>
  </DomainObject.Predmet.StrankaWithAdressOIB>
  <DomainObject.Predmet.StrankaNazivFormated>
    <izvorni_sadrzaj>FINA,DAVID KEVIN HYATT,IDA COMERC društvo s ograničenom odgovornošću za trgovinu i export-import,Dinko Prosoli</izvorni_sadrzaj>
    <derivirana_varijabla naziv="DomainObject.Predmet.StrankaNazivFormated_1">FINA,DAVID KEVIN HYATT,IDA COMERC društvo s ograničenom odgovornošću za trgovinu i export-import,Dinko Prosoli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82286842529,Dinko Prosoli, OIB 99895907296</izvorni_sadrzaj>
    <derivirana_varijabla naziv="DomainObject.Predmet.StrankaNazivFormatedOIB_1">FINA, OIB 85821130368,DAVID KEVIN HYATT, OIB 88839667304,IDA COMERC društvo s ograničenom odgovornošću za trgovinu i export-import, OIB 82286842529,Dinko Prosoli, OIB 99895907296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Formated_1">
      <item>FINA</item>
      <item>DAVID KEVIN HYATT</item>
      <item>IDA COMERC društvo s ograničenom odgovornošću za trgovinu i export-import</item>
      <item>Dinko Prosoli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NazivFormated_1">
      <item>FINA</item>
      <item>DAVID KEVIN HYATT</item>
      <item>IDA COMERC društvo s ograničenom odgovornošću za trgovinu i export-import</item>
      <item>Dinko Prosoli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3452</properties:Characters>
  <properties:Lines>91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2017-11-30T09:01:00Z</dcterms:created>
  <dc:creator>Korisnik</dc:creator>
  <cp:lastModifiedBy>Katica Franjić</cp:lastModifiedBy>
  <cp:lastPrinted>2017-11-30T09:19:00Z</cp:lastPrinted>
  <dcterms:modified xmlns:xsi="http://www.w3.org/2001/XMLSchema-instance" xsi:type="dcterms:W3CDTF">2017-11-30T09:20:00Z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