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90066" w:rsidRPr="00CD2BEB">
        <w:trPr>
          <w:trHeight w:val="2231"/>
        </w:trPr>
        <w:tc>
          <w:tcPr>
            <w:tcW w:type="dxa" w:w="3369"/>
            <w:vAlign w:val="center"/>
          </w:tcPr>
          <w:p w:rsidRDefault="00890066" w:rsidP="00A66C00" w:rsidR="0089006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90066" w:rsidP="00A66C00" w:rsidR="00890066" w:rsidRPr="00F24FD8">
            <w:pPr>
              <w:spacing w:before="100"/>
              <w:rPr>
                <w:sz w:val="24"/>
                <w:szCs w:val="24"/>
              </w:rPr>
            </w:pPr>
            <w:r w:rsidRPr="00F24FD8">
              <w:rPr>
                <w:sz w:val="24"/>
                <w:szCs w:val="24"/>
              </w:rPr>
              <w:t>REPUBLIKA HRVATSKA</w:t>
            </w:r>
          </w:p>
          <w:p w:rsidRDefault="00890066" w:rsidP="00A66C00" w:rsidR="00890066" w:rsidRPr="00F24FD8">
            <w:pPr>
              <w:rPr>
                <w:sz w:val="24"/>
                <w:szCs w:val="24"/>
              </w:rPr>
            </w:pPr>
            <w:r w:rsidRPr="00F24FD8">
              <w:rPr>
                <w:sz w:val="24"/>
                <w:szCs w:val="24"/>
              </w:rPr>
              <w:t>TRGOVAČKI SUD U SPLITU</w:t>
            </w:r>
          </w:p>
          <w:p w:rsidRDefault="00890066" w:rsidP="00DA5B9D" w:rsidR="00890066" w:rsidRPr="00C61EDF">
            <w:r w:rsidRPr="00F24FD8">
              <w:rPr>
                <w:sz w:val="24"/>
                <w:szCs w:val="24"/>
              </w:rPr>
              <w:t>Split, Sukoišanska 6</w:t>
            </w:r>
          </w:p>
        </w:tc>
        <w:tc>
          <w:tcPr>
            <w:tcW w:type="dxa" w:w="5811"/>
          </w:tcPr>
          <w:p w:rsidRDefault="00890066" w:rsidP="00DA5B9D" w:rsidR="00890066" w:rsidRPr="00CD2BEB">
            <w:pPr>
              <w:jc w:val="both"/>
            </w:pPr>
          </w:p>
          <w:p w:rsidRDefault="00890066" w:rsidP="00DA5B9D" w:rsidR="00890066" w:rsidRPr="00CD2BEB">
            <w:pPr>
              <w:jc w:val="both"/>
            </w:pPr>
          </w:p>
          <w:p w:rsidRDefault="00890066" w:rsidP="00DA5B9D" w:rsidR="00890066" w:rsidRPr="00CD2BEB">
            <w:pPr>
              <w:jc w:val="both"/>
            </w:pPr>
          </w:p>
          <w:p w:rsidRDefault="00890066" w:rsidP="00DA5B9D" w:rsidR="00890066" w:rsidRPr="00CD2BEB">
            <w:pPr>
              <w:jc w:val="right"/>
            </w:pPr>
          </w:p>
          <w:p w:rsidRDefault="00890066" w:rsidP="00DA5B9D" w:rsidR="00890066" w:rsidRPr="00CD2BEB">
            <w:pPr>
              <w:jc w:val="right"/>
            </w:pPr>
          </w:p>
          <w:p w:rsidRDefault="00890066" w:rsidP="00DA5B9D" w:rsidR="00890066" w:rsidRPr="00CD2BEB">
            <w:pPr>
              <w:jc w:val="right"/>
              <w:rPr>
                <w:noProof/>
              </w:rPr>
            </w:pPr>
          </w:p>
          <w:p w:rsidRDefault="00890066" w:rsidP="00DA5B9D" w:rsidR="00890066" w:rsidRPr="00CD2BEB">
            <w:pPr>
              <w:jc w:val="right"/>
              <w:rPr>
                <w:noProof/>
              </w:rPr>
            </w:pPr>
          </w:p>
          <w:p w:rsidRDefault="00890066" w:rsidP="00DA5B9D" w:rsidR="00890066" w:rsidRPr="00CD2BEB">
            <w:pPr>
              <w:jc w:val="right"/>
              <w:rPr>
                <w:noProof/>
                <w:sz w:val="24"/>
              </w:rPr>
            </w:pPr>
          </w:p>
          <w:p w:rsidRDefault="00890066" w:rsidP="00E87BAC" w:rsidR="00890066" w:rsidRPr="00CD2BEB">
            <w:pPr>
              <w:ind w:right="-108"/>
              <w:jc w:val="right"/>
              <w:rPr>
                <w:noProof/>
                <w:sz w:val="24"/>
                <w:szCs w:val="24"/>
              </w:rPr>
            </w:pPr>
            <w:r w:rsidRPr="00CD2BEB">
              <w:rPr>
                <w:noProof/>
                <w:sz w:val="24"/>
                <w:szCs w:val="24"/>
              </w:rPr>
              <w:t>Poslovni broj: 11.St-9/</w:t>
            </w:r>
            <w:r w:rsidR="004F497C">
              <w:rPr>
                <w:noProof/>
                <w:sz w:val="24"/>
                <w:szCs w:val="24"/>
              </w:rPr>
              <w:t>2015-</w:t>
            </w:r>
            <w:r w:rsidR="00E87BAC">
              <w:rPr>
                <w:noProof/>
                <w:sz w:val="24"/>
                <w:szCs w:val="24"/>
              </w:rPr>
              <w:t>460</w:t>
            </w:r>
            <w:r w:rsidR="000A5E6E" w:rsidRPr="00CD2BEB">
              <w:rPr>
                <w:noProof/>
                <w:sz w:val="24"/>
                <w:szCs w:val="24"/>
              </w:rPr>
              <w:t xml:space="preserve">  </w:t>
            </w:r>
          </w:p>
        </w:tc>
      </w:tr>
    </w:tbl>
    <w:p w14:textId="10896c6" w14:paraId="10896c6" w:rsidRDefault="00614EE6" w:rsidP="00614EE6" w:rsidR="00614EE6" w:rsidRPr="00614EE6">
      <w:pPr>
        <w:spacing w:lineRule="auto" w:line="240" w:after="0"/>
        <w15:collapsed w:val="false"/>
        <w:rPr>
          <w:rFonts w:cs="Times New Roman" w:eastAsia="Calibri" w:hAnsi="Times New Roman" w:ascii="Times New Roman"/>
          <w:sz w:val="24"/>
          <w:szCs w:val="24"/>
        </w:rPr>
      </w:pPr>
    </w:p>
    <w:p w:rsidRDefault="004F497C" w:rsidP="004F497C" w:rsidR="004F497C">
      <w:pPr>
        <w:spacing w:lineRule="auto" w:line="240" w:after="0"/>
        <w:jc w:val="right"/>
        <w:rPr>
          <w:rFonts w:cs="Times New Roman" w:eastAsia="Calibri" w:hAnsi="Times New Roman" w:ascii="Times New Roman"/>
          <w:sz w:val="24"/>
          <w:szCs w:val="24"/>
        </w:rPr>
      </w:pPr>
    </w:p>
    <w:p w:rsidRDefault="004F497C" w:rsidP="004F497C" w:rsidR="004F497C" w:rsidRPr="00614EE6">
      <w:pPr>
        <w:spacing w:lineRule="auto" w:line="240" w:after="0"/>
        <w:jc w:val="right"/>
        <w:rPr>
          <w:rFonts w:cs="Times New Roman" w:eastAsia="Calibri" w:hAnsi="Times New Roman" w:ascii="Times New Roman"/>
          <w:sz w:val="24"/>
          <w:szCs w:val="24"/>
        </w:rPr>
      </w:pPr>
      <w:r>
        <w:rPr>
          <w:rFonts w:cs="Times New Roman" w:eastAsia="Calibri" w:hAnsi="Times New Roman" w:ascii="Times New Roman"/>
          <w:sz w:val="24"/>
          <w:szCs w:val="24"/>
        </w:rPr>
        <w:t xml:space="preserve">Visoki Trgovački </w:t>
      </w:r>
      <w:r w:rsidR="00E87BAC">
        <w:rPr>
          <w:rFonts w:cs="Times New Roman" w:eastAsia="Calibri" w:hAnsi="Times New Roman" w:ascii="Times New Roman"/>
          <w:sz w:val="24"/>
          <w:szCs w:val="24"/>
        </w:rPr>
        <w:t>s</w:t>
      </w:r>
      <w:r>
        <w:rPr>
          <w:rFonts w:cs="Times New Roman" w:eastAsia="Calibri" w:hAnsi="Times New Roman" w:ascii="Times New Roman"/>
          <w:sz w:val="24"/>
          <w:szCs w:val="24"/>
        </w:rPr>
        <w:t>ud Republike Hrvatske</w:t>
      </w:r>
    </w:p>
    <w:p w:rsidRDefault="004F497C" w:rsidP="00890066" w:rsidR="00890066" w:rsidRPr="00614EE6">
      <w:pPr>
        <w:spacing w:lineRule="auto" w:line="240" w:after="0"/>
        <w:ind w:left="4248"/>
        <w:rPr>
          <w:rFonts w:cs="Times New Roman" w:eastAsia="Calibri" w:hAnsi="Times New Roman" w:ascii="Times New Roman"/>
          <w:sz w:val="24"/>
          <w:szCs w:val="24"/>
        </w:rPr>
      </w:pPr>
      <w:r w:rsidRPr="00614EE6">
        <w:rPr>
          <w:rFonts w:cs="Times New Roman" w:eastAsia="Calibri" w:hAnsi="Times New Roman" w:ascii="Times New Roman"/>
          <w:sz w:val="24"/>
          <w:szCs w:val="24"/>
        </w:rPr>
        <w:t xml:space="preserve">           </w:t>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 xml:space="preserve">    </w:t>
      </w:r>
    </w:p>
    <w:p w:rsidRDefault="00890066" w:rsidP="004F497C" w:rsidR="00890066" w:rsidRPr="0049015F">
      <w:pPr>
        <w:spacing w:lineRule="auto" w:line="240" w:after="0" w:before="100"/>
        <w:jc w:val="both"/>
        <w:rPr>
          <w:rFonts w:cs="Times New Roman" w:eastAsia="Calibri" w:hAnsi="Times New Roman" w:ascii="Times New Roman"/>
          <w:sz w:val="24"/>
          <w:szCs w:val="24"/>
        </w:rPr>
      </w:pPr>
      <w:r w:rsidRPr="0049015F">
        <w:rPr>
          <w:rFonts w:cs="Times New Roman" w:eastAsia="Calibri" w:hAnsi="Times New Roman" w:ascii="Times New Roman"/>
          <w:sz w:val="24"/>
          <w:szCs w:val="24"/>
        </w:rPr>
        <w:t xml:space="preserve">Pravna stvar: </w:t>
      </w:r>
      <w:r w:rsidR="00BD5B32">
        <w:rPr>
          <w:rFonts w:cs="Times New Roman" w:eastAsia="Calibri" w:hAnsi="Times New Roman" w:ascii="Times New Roman"/>
          <w:sz w:val="24"/>
          <w:szCs w:val="24"/>
        </w:rPr>
        <w:t xml:space="preserve">Stečajni postupak nad </w:t>
      </w:r>
      <w:r w:rsidRPr="0049015F">
        <w:rPr>
          <w:rFonts w:cs="Times New Roman" w:eastAsia="Calibri" w:hAnsi="Times New Roman" w:ascii="Times New Roman"/>
          <w:sz w:val="24"/>
          <w:szCs w:val="24"/>
        </w:rPr>
        <w:t xml:space="preserve">dužnikom </w:t>
      </w:r>
      <w:r w:rsidRPr="00890066">
        <w:rPr>
          <w:rFonts w:cs="Times New Roman" w:eastAsia="Calibri" w:hAnsi="Times New Roman" w:ascii="Times New Roman"/>
          <w:sz w:val="24"/>
          <w:szCs w:val="24"/>
        </w:rPr>
        <w:t>HELIOS FAROS d.d. u stečaju, OIB: 48594515409, Stari Grad, Priko b.b.</w:t>
      </w:r>
    </w:p>
    <w:p w:rsidRDefault="00890066" w:rsidP="004F497C" w:rsidR="00890066" w:rsidRPr="0049015F">
      <w:pPr>
        <w:pStyle w:val="Bezproreda"/>
        <w:spacing w:before="300"/>
        <w:jc w:val="both"/>
        <w:rPr>
          <w:rFonts w:cs="Times New Roman" w:hAnsi="Times New Roman" w:ascii="Times New Roman"/>
          <w:sz w:val="24"/>
          <w:szCs w:val="24"/>
        </w:rPr>
      </w:pPr>
      <w:r w:rsidRPr="0049015F">
        <w:rPr>
          <w:rFonts w:cs="Times New Roman" w:hAnsi="Times New Roman" w:ascii="Times New Roman"/>
          <w:sz w:val="24"/>
          <w:szCs w:val="24"/>
        </w:rPr>
        <w:t>Naziv, datum i broj pobijane odluke:</w:t>
      </w:r>
      <w:r w:rsidR="004F497C">
        <w:rPr>
          <w:rFonts w:cs="Times New Roman" w:hAnsi="Times New Roman" w:ascii="Times New Roman"/>
          <w:sz w:val="24"/>
          <w:szCs w:val="24"/>
        </w:rPr>
        <w:t xml:space="preserve"> </w:t>
      </w:r>
      <w:r w:rsidRPr="0049015F">
        <w:rPr>
          <w:rFonts w:cs="Times New Roman" w:hAnsi="Times New Roman" w:ascii="Times New Roman"/>
          <w:sz w:val="24"/>
          <w:szCs w:val="24"/>
        </w:rPr>
        <w:t>Rješenje 11.St-</w:t>
      </w:r>
      <w:r w:rsidR="004F497C">
        <w:rPr>
          <w:rFonts w:cs="Times New Roman" w:hAnsi="Times New Roman" w:ascii="Times New Roman"/>
          <w:sz w:val="24"/>
          <w:szCs w:val="24"/>
        </w:rPr>
        <w:t>9/2015-44</w:t>
      </w:r>
      <w:r>
        <w:rPr>
          <w:rFonts w:cs="Times New Roman" w:hAnsi="Times New Roman" w:ascii="Times New Roman"/>
          <w:sz w:val="24"/>
          <w:szCs w:val="24"/>
        </w:rPr>
        <w:t>5</w:t>
      </w:r>
      <w:r w:rsidRPr="0049015F">
        <w:rPr>
          <w:rFonts w:cs="Times New Roman" w:hAnsi="Times New Roman" w:ascii="Times New Roman"/>
          <w:sz w:val="24"/>
          <w:szCs w:val="24"/>
        </w:rPr>
        <w:t xml:space="preserve"> od </w:t>
      </w:r>
      <w:r w:rsidR="004F497C">
        <w:rPr>
          <w:rFonts w:cs="Times New Roman" w:hAnsi="Times New Roman" w:ascii="Times New Roman"/>
          <w:sz w:val="24"/>
          <w:szCs w:val="24"/>
        </w:rPr>
        <w:t>10. lipnja 2019</w:t>
      </w:r>
      <w:r w:rsidRPr="0049015F">
        <w:rPr>
          <w:rFonts w:cs="Times New Roman" w:hAnsi="Times New Roman" w:ascii="Times New Roman"/>
          <w:sz w:val="24"/>
          <w:szCs w:val="24"/>
        </w:rPr>
        <w:t>.</w:t>
      </w:r>
      <w:r w:rsidRPr="0049015F">
        <w:rPr>
          <w:rFonts w:cs="Times New Roman" w:hAnsi="Times New Roman" w:ascii="Times New Roman"/>
          <w:sz w:val="24"/>
          <w:szCs w:val="24"/>
        </w:rPr>
        <w:tab/>
      </w:r>
    </w:p>
    <w:p w:rsidRDefault="00890066" w:rsidP="004F497C" w:rsidR="004F497C">
      <w:pPr>
        <w:pStyle w:val="Bezproreda"/>
        <w:spacing w:before="300"/>
        <w:jc w:val="both"/>
        <w:rPr>
          <w:rFonts w:cs="Times New Roman" w:hAnsi="Times New Roman" w:ascii="Times New Roman"/>
          <w:sz w:val="24"/>
          <w:szCs w:val="24"/>
        </w:rPr>
      </w:pPr>
      <w:r w:rsidRPr="0049015F">
        <w:rPr>
          <w:rFonts w:cs="Times New Roman" w:hAnsi="Times New Roman" w:ascii="Times New Roman"/>
          <w:sz w:val="24"/>
          <w:szCs w:val="24"/>
        </w:rPr>
        <w:t xml:space="preserve">Tko je i kada izjavio žalbu: </w:t>
      </w:r>
      <w:r w:rsidR="004F497C">
        <w:rPr>
          <w:rFonts w:cs="Times New Roman" w:hAnsi="Times New Roman" w:ascii="Times New Roman"/>
          <w:sz w:val="24"/>
          <w:szCs w:val="24"/>
        </w:rPr>
        <w:t>Stečajna upraviteljica Mira Hajdić 27. lipnja 2019.</w:t>
      </w:r>
    </w:p>
    <w:p w:rsidRDefault="00890066" w:rsidP="004F497C" w:rsidR="00890066" w:rsidRPr="0049015F">
      <w:pPr>
        <w:pStyle w:val="Bezproreda"/>
        <w:spacing w:before="300"/>
        <w:jc w:val="both"/>
        <w:rPr>
          <w:rFonts w:cs="Times New Roman" w:hAnsi="Times New Roman" w:ascii="Times New Roman"/>
          <w:sz w:val="24"/>
          <w:szCs w:val="24"/>
        </w:rPr>
      </w:pPr>
      <w:r w:rsidRPr="0049015F">
        <w:rPr>
          <w:rFonts w:cs="Times New Roman" w:hAnsi="Times New Roman" w:ascii="Times New Roman"/>
          <w:sz w:val="24"/>
          <w:szCs w:val="24"/>
        </w:rPr>
        <w:t>Kada je pobijana odluka do</w:t>
      </w:r>
      <w:r w:rsidR="004F497C">
        <w:rPr>
          <w:rFonts w:cs="Times New Roman" w:hAnsi="Times New Roman" w:ascii="Times New Roman"/>
          <w:sz w:val="24"/>
          <w:szCs w:val="24"/>
        </w:rPr>
        <w:t xml:space="preserve">stavljena podnositelju žalbe:  </w:t>
      </w:r>
      <w:r w:rsidRPr="0049015F">
        <w:rPr>
          <w:rFonts w:cs="Times New Roman" w:hAnsi="Times New Roman" w:ascii="Times New Roman"/>
          <w:sz w:val="24"/>
          <w:szCs w:val="24"/>
        </w:rPr>
        <w:t xml:space="preserve">    </w:t>
      </w:r>
    </w:p>
    <w:p w:rsidRDefault="004F497C" w:rsidP="004F497C" w:rsidR="00890066">
      <w:pPr>
        <w:pStyle w:val="Bezproreda"/>
        <w:spacing w:before="60"/>
        <w:jc w:val="both"/>
        <w:rPr>
          <w:rFonts w:cs="Times New Roman" w:hAnsi="Times New Roman" w:ascii="Times New Roman"/>
          <w:sz w:val="24"/>
          <w:szCs w:val="24"/>
        </w:rPr>
      </w:pPr>
      <w:r>
        <w:rPr>
          <w:rFonts w:cs="Times New Roman" w:hAnsi="Times New Roman" w:ascii="Times New Roman"/>
          <w:sz w:val="24"/>
          <w:szCs w:val="24"/>
        </w:rPr>
        <w:t>1. Pu</w:t>
      </w:r>
      <w:r w:rsidR="00890066" w:rsidRPr="0049015F">
        <w:rPr>
          <w:rFonts w:cs="Times New Roman" w:hAnsi="Times New Roman" w:ascii="Times New Roman"/>
          <w:sz w:val="24"/>
          <w:szCs w:val="24"/>
        </w:rPr>
        <w:t xml:space="preserve">tem javne objave </w:t>
      </w:r>
      <w:r>
        <w:rPr>
          <w:rFonts w:cs="Times New Roman" w:hAnsi="Times New Roman" w:ascii="Times New Roman"/>
          <w:sz w:val="24"/>
          <w:szCs w:val="24"/>
        </w:rPr>
        <w:t>18. lipnja 2019</w:t>
      </w:r>
      <w:r w:rsidR="00890066" w:rsidRPr="0049015F">
        <w:rPr>
          <w:rFonts w:cs="Times New Roman" w:hAnsi="Times New Roman" w:ascii="Times New Roman"/>
          <w:sz w:val="24"/>
          <w:szCs w:val="24"/>
        </w:rPr>
        <w:t>. (pobijana odluka objavl</w:t>
      </w:r>
      <w:r>
        <w:rPr>
          <w:rFonts w:cs="Times New Roman" w:hAnsi="Times New Roman" w:ascii="Times New Roman"/>
          <w:sz w:val="24"/>
          <w:szCs w:val="24"/>
        </w:rPr>
        <w:t>jena je na mrežnoj stranici e-</w:t>
      </w:r>
      <w:r w:rsidR="00890066" w:rsidRPr="0049015F">
        <w:rPr>
          <w:rFonts w:cs="Times New Roman" w:hAnsi="Times New Roman" w:ascii="Times New Roman"/>
          <w:sz w:val="24"/>
          <w:szCs w:val="24"/>
        </w:rPr>
        <w:t xml:space="preserve">Oglasna ploča </w:t>
      </w:r>
      <w:r w:rsidR="00890066">
        <w:rPr>
          <w:rFonts w:cs="Times New Roman" w:hAnsi="Times New Roman" w:ascii="Times New Roman"/>
          <w:sz w:val="24"/>
          <w:szCs w:val="24"/>
        </w:rPr>
        <w:t xml:space="preserve">sudova </w:t>
      </w:r>
      <w:r>
        <w:rPr>
          <w:rFonts w:cs="Times New Roman" w:hAnsi="Times New Roman" w:ascii="Times New Roman"/>
          <w:sz w:val="24"/>
          <w:szCs w:val="24"/>
        </w:rPr>
        <w:t>10. lipnja 2019</w:t>
      </w:r>
      <w:r w:rsidR="00890066" w:rsidRPr="0049015F">
        <w:rPr>
          <w:rFonts w:cs="Times New Roman" w:hAnsi="Times New Roman" w:ascii="Times New Roman"/>
          <w:sz w:val="24"/>
          <w:szCs w:val="24"/>
        </w:rPr>
        <w:t>.)</w:t>
      </w:r>
    </w:p>
    <w:p w:rsidRDefault="004F497C" w:rsidP="004F497C" w:rsidR="004F497C">
      <w:pPr>
        <w:pStyle w:val="Bezproreda"/>
        <w:spacing w:before="60"/>
        <w:jc w:val="both"/>
        <w:rPr>
          <w:rFonts w:cs="Times New Roman" w:hAnsi="Times New Roman" w:ascii="Times New Roman"/>
          <w:sz w:val="24"/>
          <w:szCs w:val="24"/>
        </w:rPr>
      </w:pPr>
      <w:r>
        <w:rPr>
          <w:rFonts w:cs="Times New Roman" w:hAnsi="Times New Roman" w:ascii="Times New Roman"/>
          <w:sz w:val="24"/>
          <w:szCs w:val="24"/>
        </w:rPr>
        <w:t>2.  Putem elektronske komunikacije sa sudom 10. lipnja 2019.</w:t>
      </w:r>
    </w:p>
    <w:p w:rsidRDefault="00890066" w:rsidP="004F497C" w:rsidR="00890066">
      <w:pPr>
        <w:pStyle w:val="Bezproreda"/>
        <w:spacing w:before="300"/>
        <w:jc w:val="both"/>
        <w:rPr>
          <w:rFonts w:cs="Times New Roman" w:hAnsi="Times New Roman" w:ascii="Times New Roman"/>
          <w:sz w:val="24"/>
          <w:szCs w:val="24"/>
        </w:rPr>
      </w:pPr>
      <w:r w:rsidRPr="0049015F">
        <w:rPr>
          <w:rFonts w:cs="Times New Roman" w:hAnsi="Times New Roman" w:ascii="Times New Roman"/>
          <w:sz w:val="24"/>
          <w:szCs w:val="24"/>
        </w:rPr>
        <w:t>Prilažu se:</w:t>
      </w:r>
    </w:p>
    <w:p w:rsidRDefault="00E570CC" w:rsidP="00E87BAC" w:rsidR="000A5E6E">
      <w:pPr>
        <w:pStyle w:val="Bezproreda"/>
        <w:spacing w:before="9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 rješenje </w:t>
      </w:r>
      <w:r w:rsidR="0036642D">
        <w:rPr>
          <w:rFonts w:cs="Times New Roman" w:eastAsia="Calibri" w:hAnsi="Times New Roman" w:ascii="Times New Roman"/>
          <w:sz w:val="24"/>
          <w:szCs w:val="24"/>
        </w:rPr>
        <w:t>o otvara</w:t>
      </w:r>
      <w:r w:rsidR="0036642D" w:rsidRPr="00E570CC">
        <w:rPr>
          <w:rFonts w:cs="Times New Roman" w:eastAsia="Calibri" w:hAnsi="Times New Roman" w:ascii="Times New Roman"/>
          <w:sz w:val="24"/>
          <w:szCs w:val="24"/>
        </w:rPr>
        <w:t>n</w:t>
      </w:r>
      <w:r w:rsidR="0036642D">
        <w:rPr>
          <w:rFonts w:cs="Times New Roman" w:eastAsia="Calibri" w:hAnsi="Times New Roman" w:ascii="Times New Roman"/>
          <w:sz w:val="24"/>
          <w:szCs w:val="24"/>
        </w:rPr>
        <w:t xml:space="preserve">ju stečajnog postupka </w:t>
      </w:r>
      <w:r>
        <w:rPr>
          <w:rFonts w:cs="Times New Roman" w:eastAsia="Calibri" w:hAnsi="Times New Roman" w:ascii="Times New Roman"/>
          <w:sz w:val="24"/>
          <w:szCs w:val="24"/>
        </w:rPr>
        <w:t>poslovni broj 11.</w:t>
      </w:r>
      <w:r w:rsidRPr="00E570CC">
        <w:rPr>
          <w:rFonts w:cs="Times New Roman" w:eastAsia="Calibri" w:hAnsi="Times New Roman" w:ascii="Times New Roman"/>
          <w:sz w:val="24"/>
          <w:szCs w:val="24"/>
        </w:rPr>
        <w:t xml:space="preserve">St-9/2015 od 11. veljače 2016. </w:t>
      </w:r>
      <w:r w:rsidR="000A5E6E" w:rsidRPr="000A5E6E">
        <w:rPr>
          <w:rFonts w:cs="Times New Roman" w:eastAsia="Calibri" w:hAnsi="Times New Roman" w:ascii="Times New Roman"/>
          <w:sz w:val="24"/>
          <w:szCs w:val="24"/>
        </w:rPr>
        <w:t>uz</w:t>
      </w:r>
    </w:p>
    <w:p w:rsidRDefault="000A5E6E" w:rsidP="00E87BAC" w:rsidR="00E570CC" w:rsidRPr="00E570CC">
      <w:pPr>
        <w:pStyle w:val="Bezproreda"/>
        <w:jc w:val="both"/>
        <w:rPr>
          <w:rFonts w:cs="Times New Roman" w:hAnsi="Times New Roman" w:ascii="Times New Roman"/>
          <w:sz w:val="24"/>
          <w:szCs w:val="24"/>
        </w:rPr>
      </w:pPr>
      <w:r>
        <w:rPr>
          <w:rFonts w:cs="Times New Roman" w:eastAsia="Calibri" w:hAnsi="Times New Roman" w:ascii="Times New Roman"/>
          <w:sz w:val="24"/>
          <w:szCs w:val="24"/>
        </w:rPr>
        <w:t xml:space="preserve"> </w:t>
      </w:r>
      <w:r w:rsidRPr="000A5E6E">
        <w:rPr>
          <w:rFonts w:cs="Times New Roman" w:eastAsia="Calibri" w:hAnsi="Times New Roman" w:ascii="Times New Roman"/>
          <w:sz w:val="24"/>
          <w:szCs w:val="24"/>
        </w:rPr>
        <w:t xml:space="preserve"> dokaz o objavi na mrežnoj stranici e-Oglasna ploča sudova</w:t>
      </w:r>
    </w:p>
    <w:p w:rsidRDefault="000A5E6E" w:rsidP="00E87BAC" w:rsidR="00004B33">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svezak 11. spisa koji sadrži</w:t>
      </w:r>
      <w:r w:rsidR="00E570CC">
        <w:rPr>
          <w:rFonts w:cs="Times New Roman" w:eastAsia="Times New Roman" w:hAnsi="Times New Roman" w:ascii="Times New Roman"/>
          <w:sz w:val="24"/>
          <w:szCs w:val="24"/>
          <w:lang w:eastAsia="hr-HR"/>
        </w:rPr>
        <w:t xml:space="preserve"> stečajni plan od</w:t>
      </w:r>
      <w:r w:rsidR="00E570CC" w:rsidRPr="00E570CC">
        <w:rPr>
          <w:rFonts w:cs="Times New Roman" w:eastAsia="Times New Roman" w:hAnsi="Times New Roman" w:ascii="Times New Roman"/>
          <w:sz w:val="24"/>
          <w:szCs w:val="24"/>
          <w:lang w:eastAsia="hr-HR"/>
        </w:rPr>
        <w:t xml:space="preserve"> 20. ožujka 2018. </w:t>
      </w:r>
      <w:r w:rsidR="00004B33">
        <w:rPr>
          <w:rFonts w:cs="Times New Roman" w:eastAsia="Times New Roman" w:hAnsi="Times New Roman" w:ascii="Times New Roman"/>
          <w:sz w:val="24"/>
          <w:szCs w:val="24"/>
          <w:lang w:eastAsia="hr-HR"/>
        </w:rPr>
        <w:t xml:space="preserve">sa prilozima </w:t>
      </w:r>
      <w:r w:rsidR="0036642D">
        <w:rPr>
          <w:rFonts w:cs="Times New Roman" w:eastAsia="Times New Roman" w:hAnsi="Times New Roman" w:ascii="Times New Roman"/>
          <w:sz w:val="24"/>
          <w:szCs w:val="24"/>
          <w:lang w:eastAsia="hr-HR"/>
        </w:rPr>
        <w:t>uz dokaz o objavi</w:t>
      </w:r>
    </w:p>
    <w:p w:rsidRDefault="00004B33" w:rsidP="00E87BAC" w:rsidR="00E570C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36642D">
        <w:rPr>
          <w:rFonts w:cs="Times New Roman" w:eastAsia="Times New Roman" w:hAnsi="Times New Roman" w:ascii="Times New Roman"/>
          <w:sz w:val="24"/>
          <w:szCs w:val="24"/>
          <w:lang w:eastAsia="hr-HR"/>
        </w:rPr>
        <w:t>na mrežnoj stranici e-Oglasna ploča sudova</w:t>
      </w:r>
    </w:p>
    <w:p w:rsidRDefault="0036642D" w:rsidP="00E87BAC" w:rsidR="00004B33">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0A5E6E">
        <w:rPr>
          <w:rFonts w:cs="Times New Roman" w:eastAsia="Times New Roman" w:hAnsi="Times New Roman" w:ascii="Times New Roman"/>
          <w:sz w:val="24"/>
          <w:szCs w:val="24"/>
          <w:lang w:eastAsia="hr-HR"/>
        </w:rPr>
        <w:t xml:space="preserve">svezak 13. spisa koji sadrži </w:t>
      </w:r>
      <w:r>
        <w:rPr>
          <w:rFonts w:cs="Times New Roman" w:eastAsia="Times New Roman" w:hAnsi="Times New Roman" w:ascii="Times New Roman"/>
          <w:sz w:val="24"/>
          <w:szCs w:val="24"/>
          <w:lang w:eastAsia="hr-HR"/>
        </w:rPr>
        <w:t>izmijenjeni stečajni plan od 23. srpnja 2018</w:t>
      </w:r>
      <w:r w:rsidRPr="00004B33">
        <w:rPr>
          <w:rFonts w:cs="Times New Roman" w:eastAsia="Times New Roman" w:hAnsi="Times New Roman" w:ascii="Times New Roman"/>
          <w:sz w:val="24"/>
          <w:szCs w:val="24"/>
          <w:lang w:eastAsia="hr-HR"/>
        </w:rPr>
        <w:t>.</w:t>
      </w:r>
      <w:r w:rsidRPr="00004B33">
        <w:rPr>
          <w:rFonts w:cs="Times New Roman" w:hAnsi="Times New Roman" w:ascii="Times New Roman"/>
          <w:sz w:val="24"/>
          <w:szCs w:val="24"/>
        </w:rPr>
        <w:t xml:space="preserve"> </w:t>
      </w:r>
      <w:r w:rsidR="00004B33" w:rsidRPr="00004B33">
        <w:rPr>
          <w:rFonts w:cs="Times New Roman" w:hAnsi="Times New Roman" w:ascii="Times New Roman"/>
          <w:sz w:val="24"/>
          <w:szCs w:val="24"/>
        </w:rPr>
        <w:t xml:space="preserve">sa prilozima </w:t>
      </w:r>
      <w:r w:rsidRPr="00004B33">
        <w:rPr>
          <w:rFonts w:cs="Times New Roman" w:eastAsia="Times New Roman" w:hAnsi="Times New Roman" w:ascii="Times New Roman"/>
          <w:sz w:val="24"/>
          <w:szCs w:val="24"/>
          <w:lang w:eastAsia="hr-HR"/>
        </w:rPr>
        <w:t>uz</w:t>
      </w:r>
      <w:r w:rsidR="00004B33">
        <w:rPr>
          <w:rFonts w:cs="Times New Roman" w:eastAsia="Times New Roman" w:hAnsi="Times New Roman" w:ascii="Times New Roman"/>
          <w:sz w:val="24"/>
          <w:szCs w:val="24"/>
          <w:lang w:eastAsia="hr-HR"/>
        </w:rPr>
        <w:t xml:space="preserve">   </w:t>
      </w:r>
    </w:p>
    <w:p w:rsidRDefault="00004B33" w:rsidP="00E87BAC" w:rsidR="00E570C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w:t>
      </w:r>
      <w:r w:rsidR="0036642D" w:rsidRPr="0036642D">
        <w:rPr>
          <w:rFonts w:cs="Times New Roman" w:eastAsia="Times New Roman" w:hAnsi="Times New Roman" w:ascii="Times New Roman"/>
          <w:sz w:val="24"/>
          <w:szCs w:val="24"/>
          <w:lang w:eastAsia="hr-HR"/>
        </w:rPr>
        <w:t>okaz o objavi na mrežnoj stranici e-Oglasna ploča</w:t>
      </w:r>
      <w:r w:rsidR="0036642D">
        <w:rPr>
          <w:rFonts w:cs="Times New Roman" w:eastAsia="Times New Roman" w:hAnsi="Times New Roman" w:ascii="Times New Roman"/>
          <w:sz w:val="24"/>
          <w:szCs w:val="24"/>
          <w:lang w:eastAsia="hr-HR"/>
        </w:rPr>
        <w:t xml:space="preserve"> sudova</w:t>
      </w:r>
    </w:p>
    <w:p w:rsidRDefault="004F497C" w:rsidP="00E87BAC" w:rsidR="00E87BAC">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rješenje o potvrdi stečajnog plana 11.St-9/2015-365 od 21. studenog 2018. sa dokazom o </w:t>
      </w:r>
      <w:r w:rsidR="00E87BAC">
        <w:rPr>
          <w:rFonts w:cs="Times New Roman" w:eastAsia="Times New Roman" w:hAnsi="Times New Roman" w:ascii="Times New Roman"/>
          <w:sz w:val="24"/>
          <w:szCs w:val="24"/>
          <w:lang w:eastAsia="hr-HR"/>
        </w:rPr>
        <w:t xml:space="preserve"> </w:t>
      </w:r>
    </w:p>
    <w:p w:rsidRDefault="00E87BAC" w:rsidP="00E87BAC" w:rsidR="004F497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4F497C">
        <w:rPr>
          <w:rFonts w:cs="Times New Roman" w:eastAsia="Times New Roman" w:hAnsi="Times New Roman" w:ascii="Times New Roman"/>
          <w:sz w:val="24"/>
          <w:szCs w:val="24"/>
          <w:lang w:eastAsia="hr-HR"/>
        </w:rPr>
        <w:t xml:space="preserve">objavi na </w:t>
      </w:r>
      <w:r w:rsidR="004F497C" w:rsidRPr="004F497C">
        <w:rPr>
          <w:rFonts w:cs="Times New Roman" w:eastAsia="Times New Roman" w:hAnsi="Times New Roman" w:ascii="Times New Roman"/>
          <w:sz w:val="24"/>
          <w:szCs w:val="24"/>
          <w:lang w:eastAsia="hr-HR"/>
        </w:rPr>
        <w:t>mrežnoj stranici e-Oglasna ploča sudova.</w:t>
      </w:r>
    </w:p>
    <w:p w:rsidRDefault="004F497C" w:rsidP="00E87BAC" w:rsidR="00E87BAC">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rješenje Visokog trgovačkog suda Republike Hrvatske Pž-7557/2018 od 27. veljače 2019. </w:t>
      </w:r>
    </w:p>
    <w:p w:rsidRDefault="00E87BAC" w:rsidP="00E87BAC" w:rsidR="004F497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4F497C">
        <w:rPr>
          <w:rFonts w:cs="Times New Roman" w:eastAsia="Times New Roman" w:hAnsi="Times New Roman" w:ascii="Times New Roman"/>
          <w:sz w:val="24"/>
          <w:szCs w:val="24"/>
          <w:lang w:eastAsia="hr-HR"/>
        </w:rPr>
        <w:t>kojim se potvrđuje rješenje o potvrdi stečajnog plana</w:t>
      </w:r>
    </w:p>
    <w:p w:rsidRDefault="004F497C" w:rsidP="00E87BAC" w:rsidR="004F497C">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57437F">
        <w:rPr>
          <w:rFonts w:cs="Times New Roman" w:eastAsia="Times New Roman" w:hAnsi="Times New Roman" w:ascii="Times New Roman"/>
          <w:sz w:val="24"/>
          <w:szCs w:val="24"/>
          <w:lang w:eastAsia="hr-HR"/>
        </w:rPr>
        <w:t>prijedlog za određivanje nagrade stečajnoj upraviteljici od 6. svibnja 2019.</w:t>
      </w:r>
    </w:p>
    <w:p w:rsidRDefault="0057437F" w:rsidP="00E87BAC" w:rsidR="0057437F">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926D67">
        <w:rPr>
          <w:rFonts w:cs="Times New Roman" w:eastAsia="Times New Roman" w:hAnsi="Times New Roman" w:ascii="Times New Roman"/>
          <w:sz w:val="24"/>
          <w:szCs w:val="24"/>
          <w:lang w:eastAsia="hr-HR"/>
        </w:rPr>
        <w:t xml:space="preserve"> zapisnik sa 3. sjednice Odbora vjerovnika</w:t>
      </w:r>
      <w:r>
        <w:rPr>
          <w:rFonts w:cs="Times New Roman" w:eastAsia="Times New Roman" w:hAnsi="Times New Roman" w:ascii="Times New Roman"/>
          <w:sz w:val="24"/>
          <w:szCs w:val="24"/>
          <w:lang w:eastAsia="hr-HR"/>
        </w:rPr>
        <w:t xml:space="preserve"> </w:t>
      </w:r>
    </w:p>
    <w:p w:rsidRDefault="004F497C" w:rsidP="00E87BAC" w:rsidR="008036AC">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D7A98">
        <w:rPr>
          <w:rFonts w:cs="Times New Roman" w:eastAsia="Times New Roman" w:hAnsi="Times New Roman" w:ascii="Times New Roman"/>
          <w:sz w:val="24"/>
          <w:szCs w:val="24"/>
          <w:lang w:eastAsia="hr-HR"/>
        </w:rPr>
        <w:t>završno izvješće stečajne upraviteljice od 2. srpnja 2019.</w:t>
      </w:r>
    </w:p>
    <w:p w:rsidRDefault="004F497C" w:rsidP="00E87BAC" w:rsidR="00E87BAC">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primjerak pobijanog rješenja poslovni broj 11.St-9/2015-445 od 10. lipnja 2019. sa dokazom </w:t>
      </w:r>
    </w:p>
    <w:p w:rsidRDefault="00E87BAC" w:rsidP="00E87BAC" w:rsidR="00BD5B3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4F497C">
        <w:rPr>
          <w:rFonts w:cs="Times New Roman" w:eastAsia="Times New Roman" w:hAnsi="Times New Roman" w:ascii="Times New Roman"/>
          <w:sz w:val="24"/>
          <w:szCs w:val="24"/>
          <w:lang w:eastAsia="hr-HR"/>
        </w:rPr>
        <w:t xml:space="preserve">o objavi na </w:t>
      </w:r>
      <w:r w:rsidR="004F497C" w:rsidRPr="004F497C">
        <w:rPr>
          <w:rFonts w:cs="Times New Roman" w:eastAsia="Times New Roman" w:hAnsi="Times New Roman" w:ascii="Times New Roman"/>
          <w:sz w:val="24"/>
          <w:szCs w:val="24"/>
          <w:lang w:eastAsia="hr-HR"/>
        </w:rPr>
        <w:t>mrežnoj stranici e-Oglasna ploča sudova.</w:t>
      </w:r>
    </w:p>
    <w:p w:rsidRDefault="004F497C" w:rsidP="00E87BAC" w:rsidR="004F497C">
      <w:pPr>
        <w:spacing w:lineRule="auto" w:line="240" w:after="0" w:before="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primjerak žalbe stečajne upraviteljice od 27. lipnja 2019.</w:t>
      </w:r>
    </w:p>
    <w:p w:rsidRDefault="004F497C" w:rsidP="00E87BAC" w:rsidR="004F497C">
      <w:pPr>
        <w:spacing w:lineRule="auto" w:line="240" w:after="0"/>
        <w:jc w:val="both"/>
        <w:rPr>
          <w:rFonts w:cs="Times New Roman" w:eastAsia="Times New Roman" w:hAnsi="Times New Roman" w:ascii="Times New Roman"/>
          <w:sz w:val="24"/>
          <w:szCs w:val="24"/>
          <w:lang w:eastAsia="hr-HR"/>
        </w:rPr>
      </w:pPr>
    </w:p>
    <w:p w:rsidRDefault="00CD7A98" w:rsidP="00E87BAC" w:rsidR="00CD7A98">
      <w:pPr>
        <w:spacing w:lineRule="auto" w:line="240" w:after="0"/>
        <w:jc w:val="both"/>
        <w:rPr>
          <w:rFonts w:cs="Times New Roman" w:eastAsia="Times New Roman" w:hAnsi="Times New Roman" w:ascii="Times New Roman"/>
          <w:sz w:val="24"/>
          <w:szCs w:val="24"/>
          <w:lang w:eastAsia="hr-HR"/>
        </w:rPr>
      </w:pPr>
    </w:p>
    <w:p w:rsidRDefault="00CD7A98" w:rsidP="00E87BAC" w:rsidR="00CD7A98">
      <w:pPr>
        <w:spacing w:lineRule="auto" w:line="240" w:after="0"/>
        <w:jc w:val="both"/>
        <w:rPr>
          <w:rFonts w:cs="Times New Roman" w:eastAsia="Times New Roman" w:hAnsi="Times New Roman" w:ascii="Times New Roman"/>
          <w:sz w:val="24"/>
          <w:szCs w:val="24"/>
          <w:lang w:eastAsia="hr-HR"/>
        </w:rPr>
      </w:pPr>
    </w:p>
    <w:p w:rsidRDefault="00CD7A98" w:rsidP="008802CF" w:rsidR="00CD7A98">
      <w:pPr>
        <w:spacing w:lineRule="auto" w:line="240" w:after="0"/>
        <w:jc w:val="both"/>
        <w:rPr>
          <w:rFonts w:cs="Times New Roman" w:eastAsia="Times New Roman" w:hAnsi="Times New Roman" w:ascii="Times New Roman"/>
          <w:sz w:val="24"/>
          <w:szCs w:val="24"/>
          <w:lang w:eastAsia="hr-HR"/>
        </w:rPr>
      </w:pPr>
    </w:p>
    <w:p w:rsidRDefault="004F497C" w:rsidP="00CD7A98" w:rsidR="004F497C">
      <w:pPr>
        <w:pStyle w:val="Bezproreda"/>
        <w:spacing w:before="400"/>
        <w:ind w:firstLine="708"/>
        <w:rPr>
          <w:rFonts w:cs="Times New Roman" w:hAnsi="Times New Roman" w:ascii="Times New Roman"/>
          <w:sz w:val="24"/>
          <w:szCs w:val="24"/>
        </w:rPr>
      </w:pPr>
      <w:r>
        <w:rPr>
          <w:rFonts w:cs="Times New Roman" w:hAnsi="Times New Roman" w:ascii="Times New Roman"/>
          <w:sz w:val="24"/>
          <w:szCs w:val="24"/>
        </w:rPr>
        <w:lastRenderedPageBreak/>
        <w:t xml:space="preserve">Očitovanje o navodima iz žalbe: </w:t>
      </w:r>
    </w:p>
    <w:p w:rsidRDefault="008036AC" w:rsidP="00E87BAC" w:rsidR="008036AC" w:rsidRPr="008036AC">
      <w:pPr>
        <w:keepNext/>
        <w:spacing w:lineRule="auto" w:line="240" w:after="0" w:before="60"/>
        <w:jc w:val="both"/>
        <w:outlineLvl w:val="0"/>
        <w:rPr>
          <w:rFonts w:cs="Times New Roman" w:eastAsia="Arial Unicode MS" w:hAnsi="Times New Roman" w:ascii="Times New Roman"/>
          <w:bCs/>
          <w:sz w:val="24"/>
          <w:szCs w:val="24"/>
        </w:rPr>
      </w:pPr>
      <w:r w:rsidRPr="008036AC">
        <w:rPr>
          <w:rFonts w:cs="Times New Roman" w:eastAsia="Arial Unicode MS" w:hAnsi="Times New Roman" w:ascii="Times New Roman"/>
          <w:bCs/>
          <w:sz w:val="24"/>
          <w:szCs w:val="24"/>
        </w:rPr>
        <w:tab/>
        <w:t xml:space="preserve">U okolnosti kada žaliteljica posve legitimno iznosi suprotne stavove i tumačenja u odnosu na ona koja je u svojoj odluci primijenio ovaj sud, </w:t>
      </w:r>
      <w:r w:rsidR="00E87BAC">
        <w:rPr>
          <w:rFonts w:cs="Times New Roman" w:eastAsia="Arial Unicode MS" w:hAnsi="Times New Roman" w:ascii="Times New Roman"/>
          <w:bCs/>
          <w:sz w:val="24"/>
          <w:szCs w:val="24"/>
        </w:rPr>
        <w:t xml:space="preserve">pri čemu nedopustivo koristi i uvredljivi izričaj (a zbog čega je ovaj sud u smislu odredbi Zakona o parničnom postupku donio tomu adekvatno rješenje poslovni broj 11.St-9/2015-459 od 12. srpnja 2019.), </w:t>
      </w:r>
      <w:r w:rsidRPr="008036AC">
        <w:rPr>
          <w:rFonts w:cs="Times New Roman" w:eastAsia="Arial Unicode MS" w:hAnsi="Times New Roman" w:ascii="Times New Roman"/>
          <w:bCs/>
          <w:sz w:val="24"/>
          <w:szCs w:val="24"/>
        </w:rPr>
        <w:t>ovaj sud dodatno obrazlaže osporavane stavove i tumačenja propisanih zakonskih odredbi.</w:t>
      </w:r>
    </w:p>
    <w:p w:rsidRDefault="008036AC" w:rsidP="00E87BAC" w:rsidR="008036AC" w:rsidRPr="008036AC">
      <w:pPr>
        <w:keepNext/>
        <w:spacing w:lineRule="auto" w:line="240" w:after="0" w:before="60"/>
        <w:jc w:val="both"/>
        <w:outlineLvl w:val="0"/>
        <w:rPr>
          <w:rFonts w:cs="Times New Roman" w:eastAsia="Arial Unicode MS" w:hAnsi="Times New Roman" w:ascii="Times New Roman"/>
          <w:bCs/>
          <w:sz w:val="24"/>
          <w:szCs w:val="24"/>
        </w:rPr>
      </w:pPr>
      <w:r w:rsidRPr="008036AC">
        <w:rPr>
          <w:rFonts w:cs="Times New Roman" w:eastAsia="Arial Unicode MS" w:hAnsi="Times New Roman" w:ascii="Times New Roman"/>
          <w:bCs/>
          <w:sz w:val="24"/>
          <w:szCs w:val="24"/>
        </w:rPr>
        <w:tab/>
        <w:t xml:space="preserve">U svojoj žalbi stečajna upraviteljica nakon poglavlja „Ključne činjenice“ (točka 3.), u poglavlju „Razlozi nezakonitosti Rješenja“ (točke 4. do 8.) po mišljenju ovoga suda uz nedopustiv (uvredljiv) i neprimjeren izričaj, iznosi i niz nepravilnih (ali legitimnih) stavova i tvrdnji. </w:t>
      </w:r>
    </w:p>
    <w:p w:rsidRDefault="008036AC" w:rsidP="00E87BAC" w:rsidR="008036AC" w:rsidRPr="008036AC">
      <w:pPr>
        <w:keepNext/>
        <w:spacing w:lineRule="auto" w:line="240" w:after="0" w:before="60"/>
        <w:jc w:val="both"/>
        <w:outlineLvl w:val="0"/>
        <w:rPr>
          <w:rFonts w:cs="Times New Roman" w:eastAsia="Calibri" w:hAnsi="Times New Roman" w:ascii="Times New Roman"/>
          <w:sz w:val="24"/>
          <w:szCs w:val="24"/>
        </w:rPr>
      </w:pPr>
      <w:r w:rsidRPr="008036AC">
        <w:rPr>
          <w:rFonts w:cs="Times New Roman" w:eastAsia="Arial Unicode MS" w:hAnsi="Times New Roman" w:ascii="Times New Roman"/>
          <w:bCs/>
          <w:sz w:val="24"/>
          <w:szCs w:val="24"/>
        </w:rPr>
        <w:tab/>
        <w:t>U točci 4. poglavlja „Razlozi nezakonitosti</w:t>
      </w:r>
      <w:r w:rsidRPr="008036AC">
        <w:rPr>
          <w:rFonts w:cs="Times New Roman" w:eastAsia="Calibri" w:hAnsi="Times New Roman" w:ascii="Times New Roman"/>
          <w:sz w:val="24"/>
          <w:szCs w:val="24"/>
        </w:rPr>
        <w:t xml:space="preserve"> Rješenja“ žaliteljica jedino pravilno navodi da je člankom 5. stavkom 1. Uredbe o kriterijima i na</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inu obra</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una i pla</w:t>
      </w:r>
      <w:r w:rsidRPr="008036AC">
        <w:rPr>
          <w:rFonts w:cs="Times New Roman" w:eastAsia="Calibri" w:hAnsi="Times New Roman" w:ascii="Times New Roman" w:hint="eastAsia"/>
          <w:sz w:val="24"/>
          <w:szCs w:val="24"/>
        </w:rPr>
        <w:t>ć</w:t>
      </w:r>
      <w:r w:rsidRPr="008036AC">
        <w:rPr>
          <w:rFonts w:cs="Times New Roman" w:eastAsia="Calibri" w:hAnsi="Times New Roman" w:ascii="Times New Roman"/>
          <w:sz w:val="24"/>
          <w:szCs w:val="24"/>
        </w:rPr>
        <w:t>anja nagrade ste</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ajnim upraviteljima („Narodne novine“ br. 105/15, dalje: Uredba) propisano da sud rješenjem utvrđuje visinu nagrade, uzimajući u obzir obujam i složenost poslova, rad stečajnog upravitelja na ispitivanju tražbina te vrijednost unovčene stečajne mase, pri čemu odmah u slijedećoj rečenici pogrešno zaključuje da taj kriterij ovaj sud i nije primijenio pri određivanju njene nagrade.</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 xml:space="preserve">Naime, citiranim člankom Uredbe određuju se da se i kriterij obujma i složenosti poslova, rad stečajnog upravitelja na ispitivanju tražbina, uz druge propisane kriterije (za likvidacijski stečaj, kriterij unovčenja sukladno članku 7. Uredbe, a stečaj zaključen nakon prihvaćanja stečajnog plana kriterij opisan odredbama članka 11. stavaka 1. i 3. Uredbe), kumulativno uzimaju u obzir u postupku određivanja visine (temeljne)  nagrade stečajnim upraviteljima, a sve to imajući u vidu da je člankom 6. Uredbe limitirana visina (temeljne) nagrade na način da je (temeljna) nagrada maksimalizirana na iznos od 630.000,00 kn bruto, te dodatna nagrade najviše na 150.000,00 kn bruto i posebna nagrade na najviše na 15.000,00 kn bruto.  </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Na osnovu činjeničnog stanja u spisu, a primjenom citiranih odredbi stečajnoj upraviteljici rješenjem ovoga suda određena nagrada (temeljna) u najvećem dopuštenom iznosu od 630.000,00 kn bruto.</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Osim određivanja (temeljne) nagrade, Uredbom je predviđena mogućnost i određivanja dodatne i posebne nagrade (za likvidacijski stečaj ona je propisana člancima 8. i 9. Uredbe, a za stečaj zaklju</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en nakon prihva</w:t>
      </w:r>
      <w:r w:rsidRPr="008036AC">
        <w:rPr>
          <w:rFonts w:cs="Times New Roman" w:eastAsia="Calibri" w:hAnsi="Times New Roman" w:ascii="Times New Roman" w:hint="eastAsia"/>
          <w:sz w:val="24"/>
          <w:szCs w:val="24"/>
        </w:rPr>
        <w:t>ć</w:t>
      </w:r>
      <w:r w:rsidRPr="008036AC">
        <w:rPr>
          <w:rFonts w:cs="Times New Roman" w:eastAsia="Calibri" w:hAnsi="Times New Roman" w:ascii="Times New Roman"/>
          <w:sz w:val="24"/>
          <w:szCs w:val="24"/>
        </w:rPr>
        <w:t>anja ste</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ajnog plana (stimulativno) uvećanje nagrade propisano je člankom 11. stavkom 2. Uredbe.</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Da se pri određivanju visine (temeljne) nagrade pored kriterija iz odredbi članaka 7. Uredbe (za likvidacijski stečaj), odnosno pored kriterija iz odredbi članka 11. stavaka 1. i 3. Uredbe (za stečaj prema stečajnom planu) uzima u obzir i obujam i složenost poslova, rad stečajnog upravitelja na ispitivanju tražbina, opravdava se ciljem da veličina određene nagrada stečajnom upravitelju bude što je moguće primjerenija njegovom stvarnom angažmanu (stvarnoj količini i složenosti rada), a ne posljedica, „slučajno“ zatečenog stanja u konkretnom stečaju (na njegovu nepripadnu korist ili štetu).</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Naime, u praksi se ukazuje da u najvećem broju likvidacijskih stečajeva (unovčenje stečajne mase i namirenje vjerovnika), da obujam i složenost svih obavljenih poslova stečajnog upravitelja upravo korespondira (proporcionalno) sa veličinom unovčene stečajne mase (što je stečajna masa veća, to su i pripadni poslovi veći i obratno) iz</w:t>
      </w:r>
      <w:r w:rsidRPr="008036AC">
        <w:rPr>
          <w:rFonts w:cs="Times New Roman" w:eastAsia="Calibri" w:hAnsi="Times New Roman" w:ascii="Times New Roman"/>
          <w:color w:val="C00000"/>
          <w:sz w:val="24"/>
          <w:szCs w:val="24"/>
        </w:rPr>
        <w:t xml:space="preserve"> </w:t>
      </w:r>
      <w:r w:rsidRPr="008036AC">
        <w:rPr>
          <w:rFonts w:cs="Times New Roman" w:eastAsia="Calibri" w:hAnsi="Times New Roman" w:ascii="Times New Roman"/>
          <w:sz w:val="24"/>
          <w:szCs w:val="24"/>
        </w:rPr>
        <w:t>koje se unovčene mase prioritetno namiruju troškovi stečajnog postupka i ostale obveze stečajne mase, a iz preostalog dijela i stečajni vjerovnici (najčešće tek u dijelu) pa se u tim (najčešćim slučajevima) i pripadna (temeljna) nagrada pravilno utvrđuje „samo“ primjenom tablice za izračun nagrade s osnova procjene vrijednosti unovčene stečajne mase (članak 7. Uredbe).</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Jednako tako, i u slučajevima stečajnih postupaka okončanih prihvaćanjem i potvrdom stečajnog plana, u najčešćem broju slučajeva u praksi se ukazuje da (temeljna) nagrada stečajnom upravitelju utvrđena temeljem odredbi članka 11. stavaka 1. i 3. Uredbe upravo u sebi akceptira i stvarni obujam i složenost obavljenih poslova stečajnog upravitelja (izrada i usvajanje stečajnog plana i dr.)</w:t>
      </w:r>
    </w:p>
    <w:p w:rsidRDefault="008036AC" w:rsidP="00E87BAC" w:rsidR="008036AC" w:rsidRPr="008036AC">
      <w:pPr>
        <w:spacing w:lineRule="auto" w:line="240" w:after="0" w:before="60"/>
        <w:ind w:firstLine="709"/>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 xml:space="preserve">Međutim u nekim (istina rjeđim) stečajnim postupcima, kada je unovčena stečajna masa (kao temelj na osnovu kojega se sukladno odredbi čl. 7. Uredbe određuje visina nagrade u likvidacijskim stečajevima) odnosno kada je procijenjena vrijednost imovine stečajnog dužnika (kao temelj na osnovu kojega se sukladno odredbama  članka 11. stavaka 1. i 3. Uredbe, određuje nagrada za stečaj po stečajnom planu), u očitom nesrazmjeru sa stvarnim obujmom i složenosti svih stvarno obavljenih poslova stečajnog upravitelja, tada se ta (temeljna) nagrada dovodi i u svezu sa stvarnim obujmom i složenosti svih obavljenih poslova stečajnog upravitelja. U protivnom bi određivanje nagrade stečajnom upravitelju samo temeljem postotka od vrijednosti unovčene stečajne mase (članak 7. Uredbe), odnosno samo temeljem procijenjene vrijednosti imovine stečajnog dužnika (članak 11. stavci 1. i 3. Uredbe), bilo neprimjereno samoj biti Uredbe, jer bi bez pravilnog sagledavanja i kriterija obujma i složenosti svih stvarno obavljenih poslova stečajnog upravitelja, određena nagrada bila više posljedica datih (slučajnih) okolnosti (nekada nepovoljnih za vjerovnike, a povoljnih za stečajnog upravitelja i obratno). </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Dakle, kako se s jedne strane stečaj ne provodi radi „namirenja“ stečajnog upravitelja, a sa druge strane njegov djelotvorni rad valja pravilno valorizirati i prioritetno namiriti (kao temeljni dio troškova stečajnog postupka), to sud ocjenu utjecaja obujmom i složenosti svih stvarno obavljenih poslova stečajnog upravitelja pri određivanju njegove nagrade mora argumentirano obrazložiti. Pravilna ocjena  kriterija stvarnog obujam i složenost poslova i rad stečajnog upravitelja na ispitivanju tražbina (iz članaka 5. stavka 1. Uredbe), u konačnici može rezultirati određivanjem manje, ali i veće (temeljne) nagrade od one koja bi im inače pripadala bez pravilnog sagledavanja i toga kriterija.</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 xml:space="preserve">Nadalje, pored ranije obrazloženog utjecaja obujma i složenosti svih stvarno obavljenih poslova stečajnog upravitelja na određivanja (temeljne) nagrade, člancima 8. i 9. Uredbe predviđene su dodatne i posebne nagrade (za likvidacijski stečaj), a člankom 11. st. 2. Uredbe propisano je i uvećanje nagrade (za stečaj prema stečajnom planu).  </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Uvjeti za određivanje dodatne i posebne (uvećane) nagrade, jasno su propisani citiranim odredbama, a kojim odredbama se u suštini po propisanim parametrima utvrđuje i stvarno ostvarena učinkovitosti provedenog stečajnog postupka (stupnjem namirenja stečajnih vjerovnika, propisanim rokom unovčenja od godinu dana u odnosu na izvještajno ročište - za likvidacijski stečajni postupak, odnosno prihvaćanjem stečajnog plana u propisanom roku od šest mjeseci od održavanja izvještajnog ročišta - za stečaj okončan prihvaćanjem i potvrdom stečajnog plana). Potpuno je prirodno da će se veći stupnjevi učinkovitosti (prema tako propisanim parametrima) lakše postizavati u stečajnim postupcima manje složenosti (dakle manjeg obujma i složenosti svih stvarno obavljenih poslova stečajnog upravitelja).</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U tom smislu i stečajna praksa jasno ukazuje da se propisani uvjeti za ostvarenje i  dodatne nagrade ostvaruju rijetko (pogotovo u njihovim maksimiranim iznosima), a zbog okolnosti da je u likvidacijskim stečajevima stečajna masa najčešće nedostatna za značajnija namirenje brojnih stečajnih vjerovnika, a da je i vrijeme unovčenja stečajne mase (najčešće raznovrsne po vrstama i opterećene razlučnim pravima) značajno duže od propisane godine dana od održanog izvještajnog ročišta, dok je stečajevima po stečajnom planu najčešće riječ o društvima sa velikom stečajnom masom (opterećenom razlučnim i drugim pravima), uz  veliki broj vjerovnika (različitih poslovnih interesa) pa se i propisani rok za prihvaćanje stečajnog plana (6 mjeseci od održanog izvještajnog ročišta), u tim slučajevima ukazuje kratkim.</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S druge pak strane, povoljna okolnost za ispunjavanje propisanih uvjeta i za dodatne nagrade stečajnim upraviteljima (kako u likvidacijskim tako i u stečajevima zaklju</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en nakon prihva</w:t>
      </w:r>
      <w:r w:rsidRPr="008036AC">
        <w:rPr>
          <w:rFonts w:cs="Times New Roman" w:eastAsia="Calibri" w:hAnsi="Times New Roman" w:ascii="Times New Roman" w:hint="eastAsia"/>
          <w:sz w:val="24"/>
          <w:szCs w:val="24"/>
        </w:rPr>
        <w:t>ć</w:t>
      </w:r>
      <w:r w:rsidRPr="008036AC">
        <w:rPr>
          <w:rFonts w:cs="Times New Roman" w:eastAsia="Calibri" w:hAnsi="Times New Roman" w:ascii="Times New Roman"/>
          <w:sz w:val="24"/>
          <w:szCs w:val="24"/>
        </w:rPr>
        <w:t>anja ste</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ajnog plana), ukazuje se upravo u onim (istina rjeđim) stečajnim predmetima sa velikom stečajnom masom (npr. jedna nekretnina neopterećena razlučnim pravom) i malim brojem vjerovnika, u kojim se slučajevima s druge strane međutim, ukazuje i da bi tada njegovu (temeljnu) nagrada valjalo primjereno umanjiti (upravo zbog takvih „povoljnih“ okolnosti, a primjenom i kriterija obujma i složenosti svih stvarno obavljenih poslova stečajnog upravitelja) u odnosu na onu koja bi im inače pripadala samo temeljem članka 7. Uredbe (likvidacijski stečaj), odnosno samo temeljem procijenjena vrijednost imovine stečajnog dužnika sukladno članku 11. stavcima 1. i 3. Uredbe (stečaj zaklju</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en nakon prihva</w:t>
      </w:r>
      <w:r w:rsidRPr="008036AC">
        <w:rPr>
          <w:rFonts w:cs="Times New Roman" w:eastAsia="Calibri" w:hAnsi="Times New Roman" w:ascii="Times New Roman" w:hint="eastAsia"/>
          <w:sz w:val="24"/>
          <w:szCs w:val="24"/>
        </w:rPr>
        <w:t>ć</w:t>
      </w:r>
      <w:r w:rsidRPr="008036AC">
        <w:rPr>
          <w:rFonts w:cs="Times New Roman" w:eastAsia="Calibri" w:hAnsi="Times New Roman" w:ascii="Times New Roman"/>
          <w:sz w:val="24"/>
          <w:szCs w:val="24"/>
        </w:rPr>
        <w:t>anja ste</w:t>
      </w:r>
      <w:r w:rsidRPr="008036AC">
        <w:rPr>
          <w:rFonts w:cs="Times New Roman" w:eastAsia="Calibri" w:hAnsi="Times New Roman" w:ascii="Times New Roman" w:hint="eastAsia"/>
          <w:sz w:val="24"/>
          <w:szCs w:val="24"/>
        </w:rPr>
        <w:t>č</w:t>
      </w:r>
      <w:r w:rsidRPr="008036AC">
        <w:rPr>
          <w:rFonts w:cs="Times New Roman" w:eastAsia="Calibri" w:hAnsi="Times New Roman" w:ascii="Times New Roman"/>
          <w:sz w:val="24"/>
          <w:szCs w:val="24"/>
        </w:rPr>
        <w:t>ajnog plana), a sve kako je to ranije opisano.</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Osim navedenog, valja primijetiti da su dosadašnja iskustva u provođenju stečajnih postupaka, upućivala na promjenu odredbi koje reguliraju određivanje nagrade stečajnim upraviteljima, pa je tako aktualnom Uredbom propisano da se nagrada temeljem vrijednosti unovčene mase povećava nelinearno (za sve veće iznose u manjem postotku) te da sva unovčenja preko iznosa od 9.166.666,66 kn nisu od značenja za povećanje visine pripadne (temeljne) nagrade, jer je ona Uredbom maksimalizirana na iznos od 630.000,00 kn bruto pa bi se i takav propis (nelinerano povećanje nagrade u odnosu na visinu unovčenja i uz maksimaliziranje najvišeg iznosa nagrade) tek naizgled mogao smatrati nepravednim.</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U odnosu na dugotrajnost provođenja stečajnih postupaka, a koja dugotrajnost je  posljedica najšireg spektra okolnosti (kako onih općedruštvenih, zakonodavnih tako i konkretnog stanja stečajnog dužnika u trenutku otvaranja stečaja te i o kvalitetu rada svih tijela stečajnog postupka, kako to implicitno primjećuje i sama žaliteljica kada u točci 3. d. iskazuje mišljenje da potrebno vrijeme za uspješno obavljanje predviđenih poslova „vrlo malo“ ovisi o stečajnom upravitelju - !?), to u odnosu na određenu visinu pripadne nagrade, valja primijetiti  da  u istom tom razdoblju stečajni upravitelji obavljaju poslove i u više drugih stečajnih predmeta (po nasumičnom elektroničkom odabiru, ovisno o veličini radnog opterećenja u tom trenutku).</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Iz ranije navedenog razvidno je da bi u postupku određivanje nagrade stečajnim upraviteljima, sve propisane odredbe Uredbe valjalo tumačiti na način koji upućuje na  najpravičniji odnos između stvarnog i djelotvornog obavljenog posla i pripadne nagrada.</w:t>
      </w:r>
    </w:p>
    <w:p w:rsidRDefault="008036AC" w:rsidP="00E87BAC" w:rsidR="008036AC" w:rsidRPr="008036AC">
      <w:pPr>
        <w:spacing w:lineRule="auto" w:line="240" w:after="0" w:before="60"/>
        <w:ind w:firstLine="708"/>
        <w:jc w:val="both"/>
        <w:rPr>
          <w:rFonts w:cs="Times New Roman" w:eastAsia="Calibri" w:hAnsi="Times New Roman" w:ascii="Times New Roman"/>
          <w:sz w:val="24"/>
          <w:szCs w:val="24"/>
        </w:rPr>
      </w:pPr>
      <w:r w:rsidRPr="008036AC">
        <w:rPr>
          <w:rFonts w:cs="Times New Roman" w:eastAsia="Calibri" w:hAnsi="Times New Roman" w:ascii="Times New Roman"/>
          <w:sz w:val="24"/>
          <w:szCs w:val="24"/>
        </w:rPr>
        <w:t>Nekritičko tumačenje (i primjena) Uredbe rezultirala bi (od slučaja do slučaja) neprimjereno neujednačenom nagrađivanju na štetu samih stečajnih upravitelja, stečajnih vjerovnika pa i društva u cjelini.</w:t>
      </w:r>
    </w:p>
    <w:p w:rsidRDefault="008036AC" w:rsidP="00E87BAC" w:rsidR="004F497C">
      <w:pPr>
        <w:spacing w:lineRule="auto" w:line="240" w:after="0" w:before="60"/>
        <w:ind w:firstLine="709"/>
        <w:jc w:val="both"/>
        <w:rPr>
          <w:rFonts w:cs="Times New Roman" w:hAnsi="Times New Roman" w:ascii="Times New Roman"/>
          <w:sz w:val="24"/>
          <w:szCs w:val="24"/>
        </w:rPr>
      </w:pPr>
      <w:r w:rsidRPr="008036AC">
        <w:rPr>
          <w:rFonts w:cs="Times New Roman" w:eastAsia="Calibri" w:hAnsi="Times New Roman" w:ascii="Times New Roman"/>
          <w:sz w:val="24"/>
          <w:szCs w:val="24"/>
        </w:rPr>
        <w:t>Kako svaki stečajni postupak ima svoje jedinstvene i neponovljive specifičnosti, potpuno je razumno da se i uz najbolju primjenu postojeće Uredbe (ili bilo koje nove- poboljšane) nagrada stečajnim upraviteljima ne može nikada idealno objektivizirati, ali i tako nesavršenu Uredbu (koju na osnovu konkretne prakse treba na zakonito propisani način normativno poboljšavati ili meritornim pravnim stavovima jasnije tumačiti) valja na ujednačen način tumačiti i provoditi.</w:t>
      </w:r>
    </w:p>
    <w:p w:rsidRDefault="00890066" w:rsidP="00BC2746" w:rsidR="00890066" w:rsidRPr="00D01770">
      <w:pPr>
        <w:pStyle w:val="Bezproreda"/>
        <w:spacing w:before="30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E87BAC">
        <w:rPr>
          <w:rFonts w:cs="Times New Roman" w:hAnsi="Times New Roman" w:ascii="Times New Roman"/>
          <w:sz w:val="24"/>
          <w:szCs w:val="24"/>
        </w:rPr>
        <w:t>12. srpnja 2019</w:t>
      </w:r>
      <w:r>
        <w:rPr>
          <w:rFonts w:cs="Times New Roman" w:hAnsi="Times New Roman" w:ascii="Times New Roman"/>
          <w:sz w:val="24"/>
          <w:szCs w:val="24"/>
        </w:rPr>
        <w:t>.</w:t>
      </w:r>
    </w:p>
    <w:p w:rsidRDefault="00890066" w:rsidP="00BC2746" w:rsidR="00890066">
      <w:pPr>
        <w:pStyle w:val="Bezproreda"/>
        <w:spacing w:before="120"/>
        <w:ind w:left="6373"/>
        <w:jc w:val="center"/>
        <w:rPr>
          <w:rFonts w:cs="Times New Roman" w:hAnsi="Times New Roman" w:ascii="Times New Roman"/>
          <w:sz w:val="24"/>
          <w:szCs w:val="24"/>
        </w:rPr>
      </w:pPr>
      <w:r>
        <w:rPr>
          <w:rFonts w:cs="Times New Roman" w:hAnsi="Times New Roman" w:ascii="Times New Roman"/>
          <w:sz w:val="24"/>
          <w:szCs w:val="24"/>
        </w:rPr>
        <w:t>Sutkinja</w:t>
      </w:r>
    </w:p>
    <w:p w:rsidRDefault="00890066" w:rsidP="00BC2746" w:rsidR="001E15EF" w:rsidRPr="00614EE6">
      <w:pPr>
        <w:pStyle w:val="Bezproreda"/>
        <w:spacing w:before="40"/>
        <w:ind w:left="6373"/>
        <w:jc w:val="center"/>
      </w:pPr>
      <w:r>
        <w:rPr>
          <w:rFonts w:cs="Times New Roman" w:hAnsi="Times New Roman" w:ascii="Times New Roman"/>
          <w:sz w:val="24"/>
          <w:szCs w:val="24"/>
        </w:rPr>
        <w:t>Ana Golub Gruić</w:t>
      </w:r>
    </w:p>
    <w:sectPr w:rsidSect="003169B5" w:rsidR="001E15EF" w:rsidRPr="00614EE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2221" w:rsidP="00B02221" w:rsidR="00B02221">
      <w:pPr>
        <w:spacing w:lineRule="auto" w:line="240" w:after="0"/>
      </w:pPr>
      <w:r>
        <w:separator/>
      </w:r>
    </w:p>
  </w:endnote>
  <w:endnote w:id="0" w:type="continuationSeparator">
    <w:p w:rsidRDefault="00B02221" w:rsidP="00B02221" w:rsidR="00B0222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2221" w:rsidP="00B02221" w:rsidR="00B02221">
      <w:pPr>
        <w:spacing w:lineRule="auto" w:line="240" w:after="0"/>
      </w:pPr>
      <w:r>
        <w:separator/>
      </w:r>
    </w:p>
  </w:footnote>
  <w:footnote w:id="0" w:type="continuationSeparator">
    <w:p w:rsidRDefault="00B02221" w:rsidP="00B02221" w:rsidR="00B0222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5684369"/>
      <w:docPartObj>
        <w:docPartGallery w:val="Page Numbers (Top of Page)"/>
        <w:docPartUnique/>
      </w:docPartObj>
    </w:sdtPr>
    <w:sdtEndPr>
      <w:rPr>
        <w:rFonts w:cs="Times New Roman" w:hAnsi="Times New Roman" w:ascii="Times New Roman"/>
        <w:sz w:val="24"/>
        <w:szCs w:val="24"/>
      </w:rPr>
    </w:sdtEndPr>
    <w:sdtContent>
      <w:p w:rsidRDefault="003169B5" w:rsidP="003169B5" w:rsidR="003169B5" w:rsidRPr="003169B5">
        <w:pPr>
          <w:pStyle w:val="Zaglavlje"/>
          <w:ind w:firstLine="1416"/>
          <w:jc w:val="right"/>
          <w:rPr>
            <w:rFonts w:cs="Times New Roman" w:hAnsi="Times New Roman" w:ascii="Times New Roman"/>
            <w:sz w:val="24"/>
            <w:szCs w:val="24"/>
          </w:rPr>
        </w:pPr>
        <w:r w:rsidRPr="003169B5">
          <w:rPr>
            <w:rFonts w:cs="Times New Roman" w:hAnsi="Times New Roman" w:ascii="Times New Roman"/>
            <w:sz w:val="24"/>
            <w:szCs w:val="24"/>
          </w:rPr>
          <w:fldChar w:fldCharType="begin"/>
        </w:r>
        <w:r w:rsidRPr="003169B5">
          <w:rPr>
            <w:rFonts w:cs="Times New Roman" w:hAnsi="Times New Roman" w:ascii="Times New Roman"/>
            <w:sz w:val="24"/>
            <w:szCs w:val="24"/>
          </w:rPr>
          <w:instrText>PAGE   \* MERGEFORMAT</w:instrText>
        </w:r>
        <w:r w:rsidRPr="003169B5">
          <w:rPr>
            <w:rFonts w:cs="Times New Roman" w:hAnsi="Times New Roman" w:ascii="Times New Roman"/>
            <w:sz w:val="24"/>
            <w:szCs w:val="24"/>
          </w:rPr>
          <w:fldChar w:fldCharType="separate"/>
        </w:r>
        <w:r w:rsidR="0065176D">
          <w:rPr>
            <w:rFonts w:cs="Times New Roman" w:hAnsi="Times New Roman" w:ascii="Times New Roman"/>
            <w:noProof/>
            <w:sz w:val="24"/>
            <w:szCs w:val="24"/>
          </w:rPr>
          <w:t>4</w:t>
        </w:r>
        <w:r w:rsidRPr="003169B5">
          <w:rPr>
            <w:rFonts w:cs="Times New Roman" w:hAnsi="Times New Roman" w:ascii="Times New Roman"/>
            <w:sz w:val="24"/>
            <w:szCs w:val="24"/>
          </w:rPr>
          <w:fldChar w:fldCharType="end"/>
        </w:r>
        <w:r>
          <w:rPr>
            <w:rFonts w:cs="Times New Roman" w:hAnsi="Times New Roman" w:ascii="Times New Roman"/>
            <w:sz w:val="24"/>
            <w:szCs w:val="24"/>
          </w:rPr>
          <w:tab/>
        </w:r>
        <w:r w:rsidR="00E87BAC">
          <w:rPr>
            <w:rFonts w:cs="Times New Roman" w:hAnsi="Times New Roman" w:ascii="Times New Roman"/>
            <w:sz w:val="24"/>
            <w:szCs w:val="24"/>
          </w:rPr>
          <w:t>Poslovni broj: 11.St-9/2015-460</w:t>
        </w:r>
      </w:p>
    </w:sdtContent>
  </w:sdt>
  <w:p w:rsidRDefault="003169B5" w:rsidR="003169B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64EB8"/>
    <w:multiLevelType w:val="hybridMultilevel"/>
    <w:tmpl w:val="838032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41108B8"/>
    <w:multiLevelType w:val="hybridMultilevel"/>
    <w:tmpl w:val="70725172"/>
    <w:lvl w:tplc="0B503BF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15EF"/>
    <w:rsid w:val="000034B0"/>
    <w:rsid w:val="00004B33"/>
    <w:rsid w:val="000A5E6E"/>
    <w:rsid w:val="000E4F5C"/>
    <w:rsid w:val="00132D7B"/>
    <w:rsid w:val="001B5C44"/>
    <w:rsid w:val="001E15EF"/>
    <w:rsid w:val="00202EB5"/>
    <w:rsid w:val="002129AF"/>
    <w:rsid w:val="00265B2E"/>
    <w:rsid w:val="00281824"/>
    <w:rsid w:val="003169B5"/>
    <w:rsid w:val="00361EAE"/>
    <w:rsid w:val="0036642D"/>
    <w:rsid w:val="00440B6A"/>
    <w:rsid w:val="0045057D"/>
    <w:rsid w:val="004B29CF"/>
    <w:rsid w:val="004F497C"/>
    <w:rsid w:val="005012AE"/>
    <w:rsid w:val="0057437F"/>
    <w:rsid w:val="00585AC7"/>
    <w:rsid w:val="00614EE6"/>
    <w:rsid w:val="0065176D"/>
    <w:rsid w:val="0066169A"/>
    <w:rsid w:val="00670A2D"/>
    <w:rsid w:val="006762D5"/>
    <w:rsid w:val="006A6671"/>
    <w:rsid w:val="00714EC1"/>
    <w:rsid w:val="00774BAA"/>
    <w:rsid w:val="00792E3C"/>
    <w:rsid w:val="007F2BC7"/>
    <w:rsid w:val="008022BF"/>
    <w:rsid w:val="008036AC"/>
    <w:rsid w:val="00873E4F"/>
    <w:rsid w:val="00874513"/>
    <w:rsid w:val="008802CF"/>
    <w:rsid w:val="00890066"/>
    <w:rsid w:val="008D3540"/>
    <w:rsid w:val="00907872"/>
    <w:rsid w:val="00926D67"/>
    <w:rsid w:val="009B05E7"/>
    <w:rsid w:val="00A24E87"/>
    <w:rsid w:val="00A948C9"/>
    <w:rsid w:val="00AB4015"/>
    <w:rsid w:val="00B02221"/>
    <w:rsid w:val="00B0723B"/>
    <w:rsid w:val="00B211C5"/>
    <w:rsid w:val="00B56ED1"/>
    <w:rsid w:val="00BA72BB"/>
    <w:rsid w:val="00BC2746"/>
    <w:rsid w:val="00BC46DC"/>
    <w:rsid w:val="00BD5B32"/>
    <w:rsid w:val="00C02C13"/>
    <w:rsid w:val="00CA2DFD"/>
    <w:rsid w:val="00CD2BEB"/>
    <w:rsid w:val="00CD7A98"/>
    <w:rsid w:val="00CF0D35"/>
    <w:rsid w:val="00CF79FD"/>
    <w:rsid w:val="00D01770"/>
    <w:rsid w:val="00D03021"/>
    <w:rsid w:val="00D67EBD"/>
    <w:rsid w:val="00E1093A"/>
    <w:rsid w:val="00E12459"/>
    <w:rsid w:val="00E37B8B"/>
    <w:rsid w:val="00E570CC"/>
    <w:rsid w:val="00E87BAC"/>
    <w:rsid w:val="00EA6AC8"/>
    <w:rsid w:val="00EE2F64"/>
    <w:rsid w:val="00EF2ECF"/>
    <w:rsid w:val="00F831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2C1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E15EF"/>
    <w:pPr>
      <w:spacing w:lineRule="auto" w:line="240" w:after="0"/>
    </w:pPr>
  </w:style>
  <w:style w:styleId="Zaglavlje" w:type="paragraph">
    <w:name w:val="header"/>
    <w:basedOn w:val="Normal"/>
    <w:link w:val="ZaglavljeChar"/>
    <w:uiPriority w:val="99"/>
    <w:unhideWhenUsed/>
    <w:rsid w:val="00B022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02221"/>
  </w:style>
  <w:style w:styleId="Podnoje" w:type="paragraph">
    <w:name w:val="footer"/>
    <w:basedOn w:val="Normal"/>
    <w:link w:val="PodnojeChar"/>
    <w:uiPriority w:val="99"/>
    <w:unhideWhenUsed/>
    <w:rsid w:val="00B022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02221"/>
  </w:style>
  <w:style w:styleId="Odlomakpopisa" w:type="paragraph">
    <w:name w:val="List Paragraph"/>
    <w:basedOn w:val="Normal"/>
    <w:uiPriority w:val="34"/>
    <w:qFormat/>
    <w:rsid w:val="00C02C13"/>
    <w:pPr>
      <w:ind w:left="720"/>
      <w:contextualSpacing/>
    </w:pPr>
  </w:style>
  <w:style w:styleId="Tekstbalonia" w:type="paragraph">
    <w:name w:val="Balloon Text"/>
    <w:basedOn w:val="Normal"/>
    <w:link w:val="TekstbaloniaChar"/>
    <w:uiPriority w:val="99"/>
    <w:semiHidden/>
    <w:unhideWhenUsed/>
    <w:rsid w:val="00C02C1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2C13"/>
    <w:rPr>
      <w:rFonts w:cs="Tahoma" w:hAnsi="Tahoma" w:ascii="Tahoma"/>
      <w:sz w:val="16"/>
      <w:szCs w:val="16"/>
    </w:rPr>
  </w:style>
  <w:style w:styleId="Reetkatablice" w:type="table">
    <w:name w:val="Table Grid"/>
    <w:basedOn w:val="Obinatablica"/>
    <w:rsid w:val="0089006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5176D"/>
    <w:rPr>
      <w:color w:val="808080"/>
      <w:bdr w:space="0" w:sz="0" w:color="auto" w:val="none"/>
      <w:shd w:fill="auto" w:color="auto" w:val="clear"/>
    </w:rPr>
  </w:style>
  <w:style w:customStyle="true" w:styleId="eSPISCCParagraphDefaultFont" w:type="character">
    <w:name w:val="eSPIS_CC_Paragraph Default Font"/>
    <w:basedOn w:val="Zadanifontodlomka"/>
    <w:rsid w:val="0065176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5176D"/>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5176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5176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2C1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E15EF"/>
    <w:pPr>
      <w:spacing w:after="0" w:line="240" w:lineRule="auto"/>
    </w:pPr>
  </w:style>
  <w:style w:styleId="Zaglavlje" w:type="paragraph">
    <w:name w:val="header"/>
    <w:basedOn w:val="Normal"/>
    <w:link w:val="ZaglavljeChar"/>
    <w:uiPriority w:val="99"/>
    <w:unhideWhenUsed/>
    <w:rsid w:val="00B022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02221"/>
  </w:style>
  <w:style w:styleId="Podnoje" w:type="paragraph">
    <w:name w:val="footer"/>
    <w:basedOn w:val="Normal"/>
    <w:link w:val="PodnojeChar"/>
    <w:uiPriority w:val="99"/>
    <w:unhideWhenUsed/>
    <w:rsid w:val="00B022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02221"/>
  </w:style>
  <w:style w:styleId="Odlomakpopisa" w:type="paragraph">
    <w:name w:val="List Paragraph"/>
    <w:basedOn w:val="Normal"/>
    <w:uiPriority w:val="34"/>
    <w:qFormat/>
    <w:rsid w:val="00C02C13"/>
    <w:pPr>
      <w:ind w:left="720"/>
      <w:contextualSpacing/>
    </w:pPr>
  </w:style>
  <w:style w:styleId="Tekstbalonia" w:type="paragraph">
    <w:name w:val="Balloon Text"/>
    <w:basedOn w:val="Normal"/>
    <w:link w:val="TekstbaloniaChar"/>
    <w:uiPriority w:val="99"/>
    <w:semiHidden/>
    <w:unhideWhenUsed/>
    <w:rsid w:val="00C02C1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02C13"/>
    <w:rPr>
      <w:rFonts w:ascii="Tahoma" w:cs="Tahoma" w:hAnsi="Tahoma"/>
      <w:sz w:val="16"/>
      <w:szCs w:val="16"/>
    </w:rPr>
  </w:style>
  <w:style w:styleId="Reetkatablice" w:type="table">
    <w:name w:val="Table Grid"/>
    <w:basedOn w:val="Obinatablica"/>
    <w:rsid w:val="0089006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5176D"/>
    <w:rPr>
      <w:color w:val="808080"/>
      <w:bdr w:color="auto" w:space="0" w:sz="0" w:val="none"/>
      <w:shd w:color="auto" w:fill="auto" w:val="clear"/>
    </w:rPr>
  </w:style>
  <w:style w:customStyle="1" w:styleId="eSPISCCParagraphDefaultFont" w:type="character">
    <w:name w:val="eSPIS_CC_Paragraph Default Font"/>
    <w:basedOn w:val="Zadanifontodlomka"/>
    <w:rsid w:val="0065176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5176D"/>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5176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5176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814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HELIOS FAROS, dioničko društvo za ugostiteljstvo u stečaju</izvorni_sadrzaj>
    <derivirana_varijabla naziv="DomainObject.Predmet.ProtustrankaFormated_1">  HELIOS FAROS, dioničko društvo za ugostiteljstvo u stečaju</derivirana_varijabla>
  </DomainObject.Predmet.ProtustrankaFormated>
  <DomainObject.Predmet.ProtustrankaFormatedOIB>
    <izvorni_sadrzaj>  HELIOS FAROS, dioničko društvo za ugostiteljstvo u stečaju, OIB 48594515409</izvorni_sadrzaj>
    <derivirana_varijabla naziv="DomainObject.Predmet.ProtustrankaFormatedOIB_1">  HELIOS FAROS, dioničko društvo za ugostiteljstvo u stečaju, OIB 48594515409</derivirana_varijabla>
  </DomainObject.Predmet.ProtustrankaFormatedOIB>
  <DomainObject.Predmet.ProtustrankaFormatedWithAdress>
    <izvorni_sadrzaj> HELIOS FAROS, dioničko društvo za ugostiteljstvo u stečaju, Priko/bb, 21460 Stari Grad</izvorni_sadrzaj>
    <derivirana_varijabla naziv="DomainObject.Predmet.ProtustrankaFormatedWithAdress_1"> HELIOS FAROS, dioničko društvo za ugostiteljstvo u stečaju, Priko/bb, 21460 Stari Grad</derivirana_varijabla>
  </DomainObject.Predmet.ProtustrankaFormatedWithAdress>
  <DomainObject.Predmet.ProtustrankaFormatedWithAdressOIB>
    <izvorni_sadrzaj> HELIOS FAROS, dioničko društvo za ugostiteljstvo u stečaju, OIB 48594515409, Priko/bb, 21460 Stari Grad</izvorni_sadrzaj>
    <derivirana_varijabla naziv="DomainObject.Predmet.ProtustrankaFormatedWithAdressOIB_1"> HELIOS FAROS, dioničko društvo za ugostiteljstvo u stečaju, OIB 48594515409, Priko/bb, 21460 Stari Grad</derivirana_varijabla>
  </DomainObject.Predmet.ProtustrankaFormatedWithAdressOIB>
  <DomainObject.Predmet.ProtustrankaWithAdress>
    <izvorni_sadrzaj>HELIOS FAROS, dioničko društvo za ugostiteljstvo u stečaju Priko/bb, 21460 Stari Grad</izvorni_sadrzaj>
    <derivirana_varijabla naziv="DomainObject.Predmet.ProtustrankaWithAdress_1">HELIOS FAROS, dioničko društvo za ugostiteljstvo u stečaju Priko/bb, 21460 Stari Grad</derivirana_varijabla>
  </DomainObject.Predmet.ProtustrankaWithAdress>
  <DomainObject.Predmet.ProtustrankaWithAdressOIB>
    <izvorni_sadrzaj>HELIOS FAROS, dioničko društvo za ugostiteljstvo u stečaju, OIB 48594515409, Priko/bb, 21460 Stari Grad</izvorni_sadrzaj>
    <derivirana_varijabla naziv="DomainObject.Predmet.ProtustrankaWithAdressOIB_1">HELIOS FAROS, dioničko društvo za ugostiteljstvo u stečaju, OIB 48594515409, Priko/bb, 21460 Stari Grad</derivirana_varijabla>
  </DomainObject.Predmet.ProtustrankaWithAdressOIB>
  <DomainObject.Predmet.ProtustrankaNazivFormated>
    <izvorni_sadrzaj>HELIOS FAROS, dioničko društvo za ugostiteljstvo u stečaju</izvorni_sadrzaj>
    <derivirana_varijabla naziv="DomainObject.Predmet.ProtustrankaNazivFormated_1">HELIOS FAROS, dioničko društvo za ugostiteljstvo u stečaju</derivirana_varijabla>
  </DomainObject.Predmet.ProtustrankaNazivFormated>
  <DomainObject.Predmet.ProtustrankaNazivFormatedOIB>
    <izvorni_sadrzaj>HELIOS FAROS, dioničko društvo za ugostiteljstvo u stečaju, OIB 48594515409</izvorni_sadrzaj>
    <derivirana_varijabla naziv="DomainObject.Predmet.ProtustrankaNazivFormatedOIB_1">HELIOS FAROS, dioničko društvo za ugostiteljstvo u stečaju,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HELIOS FAROS, dioničko društvo za ugostiteljstvo u stečaju</item>
    </izvorni_sadrzaj>
    <derivirana_varijabla naziv="DomainObject.Predmet.ProtuStrankaListFormated_1">
      <item>HELIOS FAROS, dioničko društvo za ugostiteljstvo u stečaju</item>
    </derivirana_varijabla>
  </DomainObject.Predmet.ProtuStrankaListFormated>
  <DomainObject.Predmet.ProtuStrankaListFormatedOIB>
    <izvorni_sadrzaj>
      <item>HELIOS FAROS, dioničko društvo za ugostiteljstvo u stečaju, OIB 48594515409</item>
    </izvorni_sadrzaj>
    <derivirana_varijabla naziv="DomainObject.Predmet.ProtuStrankaListFormatedOIB_1">
      <item>HELIOS FAROS, dioničko društvo za ugostiteljstvo u stečaju, OIB 48594515409</item>
    </derivirana_varijabla>
  </DomainObject.Predmet.ProtuStrankaListFormatedOIB>
  <DomainObject.Predmet.ProtuStrankaListFormatedWithAdress>
    <izvorni_sadrzaj>
      <item>HELIOS FAROS, dioničko društvo za ugostiteljstvo u stečaju, Priko/bb, 21460 Stari Grad</item>
    </izvorni_sadrzaj>
    <derivirana_varijabla naziv="DomainObject.Predmet.ProtuStrankaListFormatedWithAdress_1">
      <item>HELIOS FAROS, dioničko društvo za ugostiteljstvo u stečaju, Priko/bb, 21460 Stari Grad</item>
    </derivirana_varijabla>
  </DomainObject.Predmet.ProtuStrankaListFormatedWithAdress>
  <DomainObject.Predmet.ProtuStrankaListFormatedWithAdressOIB>
    <izvorni_sadrzaj>
      <item>HELIOS FAROS, dioničko društvo za ugostiteljstvo u stečaju, OIB 48594515409, Priko/bb, 21460 Stari Grad</item>
    </izvorni_sadrzaj>
    <derivirana_varijabla naziv="DomainObject.Predmet.ProtuStrankaListFormatedWithAdressOIB_1">
      <item>HELIOS FAROS, dioničko društvo za ugostiteljstvo u stečaju, OIB 48594515409, Priko/bb, 21460 Stari Grad</item>
    </derivirana_varijabla>
  </DomainObject.Predmet.ProtuStrankaListFormatedWithAdressOIB>
  <DomainObject.Predmet.ProtuStrankaListNazivFormated>
    <izvorni_sadrzaj>
      <item>HELIOS FAROS, dioničko društvo za ugostiteljstvo u stečaju</item>
    </izvorni_sadrzaj>
    <derivirana_varijabla naziv="DomainObject.Predmet.ProtuStrankaListNazivFormated_1">
      <item>HELIOS FAROS, dioničko društvo za ugostiteljstvo u stečaju</item>
    </derivirana_varijabla>
  </DomainObject.Predmet.ProtuStrankaListNazivFormated>
  <DomainObject.Predmet.ProtuStrankaListNazivFormatedOIB>
    <izvorni_sadrzaj>
      <item>HELIOS FAROS, dioničko društvo za ugostiteljstvo u stečaju, OIB 48594515409</item>
    </izvorni_sadrzaj>
    <derivirana_varijabla naziv="DomainObject.Predmet.ProtuStrankaListNazivFormatedOIB_1">
      <item>HELIOS FAROS, dioničko društvo za ugostiteljstvo u stečaju, OIB 48594515409</item>
    </derivirana_varijabla>
  </DomainObject.Predmet.ProtuStrankaListNazivFormatedOIB>
  <DomainObject.Predmet.OstaliList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izvorni_sadrzaj>
    <derivirana_varijabla naziv="DomainObject.Predmet.OstaliList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derivirana_varijabla>
  </DomainObject.Predmet.OstaliListFormated>
  <DomainObject.Predmet.OstaliList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izvorni_sadrzaj>
    <derivirana_varijabla naziv="DomainObject.Predmet.OstaliList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derivirana_varijabla>
  </DomainObject.Predmet.OstaliListFormatedOIB>
  <DomainObject.Predmet.OstaliListFormatedWithAdress>
    <izvorni_sadrzaj>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item>Branka Grabovac, Graščica 6a, 10000 Zagreb</item>
      <item>Antonio Škarpa, Ulica Eugena Kvaternika 14, 21460 Stari Grad</item>
      <item>Vlatka Klišanin, VII. Ravnice 17, 10000 Zagreb</item>
      <item>Siniša Petrić, Ulica Petra Scutteri 6, 21460 Stari Grad</item>
      <item>Dane Pavičić, Andrije Mohorovičića 25, 43000 Bjelovar</item>
      <item>Ana Petrić, Kolodvorska 13, 42000 Varaždin</item>
      <item>Maja Smrké</item>
    </izvorni_sadrzaj>
    <derivirana_varijabla naziv="DomainObject.Predmet.OstaliListFormatedWithAdress_1">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item>Branka Grabovac, Graščica 6a, 10000 Zagreb</item>
      <item>Antonio Škarpa, Ulica Eugena Kvaternika 14, 21460 Stari Grad</item>
      <item>Vlatka Klišanin, VII. Ravnice 17, 10000 Zagreb</item>
      <item>Siniša Petrić, Ulica Petra Scutteri 6, 21460 Stari Grad</item>
      <item>Dane Pavičić, Andrije Mohorovičića 25, 43000 Bjelovar</item>
      <item>Ana Petrić, Kolodvorska 13, 42000 Varaždin</item>
      <item>Maja Smrké</item>
    </derivirana_varijabla>
  </DomainObject.Predmet.OstaliListFormatedWithAdress>
  <DomainObject.Predmet.OstaliListFormatedWithAdressOIB>
    <izvorni_sadrzaj>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item>Branka Grabovac, OIB 57930518010, Graščica 6a, 10000 Zagreb</item>
      <item>Antonio Škarpa, OIB 79295150323, Ulica Eugena Kvaternika 14, 21460 Stari Grad</item>
      <item>Vlatka Klišanin, OIB 41045358920, VII. Ravnice 17, 10000 Zagreb</item>
      <item>Siniša Petrić, OIB 59516009847, Ulica Petra Scutteri 6, 21460 Stari Grad</item>
      <item>Dane Pavičić, OIB 20305861469, Andrije Mohorovičića 25, 43000 Bjelovar</item>
      <item>Ana Petrić, OIB 56191156047, Kolodvorska 13, 42000 Varaždin</item>
      <item>Maja Smrké, OIB 83419853526</item>
    </izvorni_sadrzaj>
    <derivirana_varijabla naziv="DomainObject.Predmet.OstaliListFormatedWithAdressOIB_1">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item>Branka Grabovac, OIB 57930518010, Graščica 6a, 10000 Zagreb</item>
      <item>Antonio Škarpa, OIB 79295150323, Ulica Eugena Kvaternika 14, 21460 Stari Grad</item>
      <item>Vlatka Klišanin, OIB 41045358920, VII. Ravnice 17, 10000 Zagreb</item>
      <item>Siniša Petrić, OIB 59516009847, Ulica Petra Scutteri 6, 21460 Stari Grad</item>
      <item>Dane Pavičić, OIB 20305861469, Andrije Mohorovičića 25, 43000 Bjelovar</item>
      <item>Ana Petrić, OIB 56191156047, Kolodvorska 13, 42000 Varaždin</item>
      <item>Maja Smrké, OIB 83419853526</item>
    </derivirana_varijabla>
  </DomainObject.Predmet.OstaliListFormatedWithAdressOIB>
  <DomainObject.Predmet.OstaliListNaziv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izvorni_sadrzaj>
    <derivirana_varijabla naziv="DomainObject.Predmet.OstaliListNaziv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derivirana_varijabla>
  </DomainObject.Predmet.OstaliListNazivFormated>
  <DomainObject.Predmet.OstaliListNaziv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izvorni_sadrzaj>
    <derivirana_varijabla naziv="DomainObject.Predmet.OstaliListNaziv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HELIOS FAROS, dioničko društvo za ugostiteljstvo u stečaju</izvorni_sadrzaj>
    <derivirana_varijabla naziv="DomainObject.Predmet.ProtustrankaIDrugi_1">HELIOS FAROS, dioničko društvo za ugostiteljstvo u stečaju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HELIOS FAROS, dioničko društvo za ugostiteljstvo u stečaju, OIB 48594515409, Priko/bb, 21460 Stari Grad</izvorni_sadrzaj>
    <derivirana_varijabla naziv="DomainObject.Predmet.ProtustrankaIDrugiAdressOIB_1">HELIOS FAROS, dioničko društvo za ugostiteljstvo u stečaju,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HELIOS FAROS, dioničko društvo za ugostiteljstvo u stečaju</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izvorni_sadrzaj>
    <derivirana_varijabla naziv="DomainObject.Predmet.SudioniciListNaziv_1">
      <item>FINA ZAGREB</item>
      <item>HELIOS FAROS, dioničko društvo za ugostiteljstvo u stečaju</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derivirana_varijabla>
  </DomainObject.Predmet.SudioniciListNaziv>
  <DomainObject.Predmet.SudioniciListAdressOIB>
    <izvorni_sadrzaj>
      <item>FINA ZAGREB, OIB 85821130368, Koturaška 43,10000 Zagreb</item>
      <item>HELIOS FAROS, dioničko društvo za ugostiteljstvo u stečaju, OIB 48594515409, Priko/bb,21460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item>Branka Grabovac, OIB 57930518010, Graščica 6a,10000 Zagreb</item>
      <item>Antonio Škarpa, OIB 79295150323, Ulica Eugena Kvaternika 14,21460 Stari Grad</item>
      <item>Vlatka Klišanin, OIB 41045358920, VII. Ravnice 17,10000 Zagreb</item>
      <item>Siniša Petrić, OIB 59516009847, Ulica Petra Scutteri 6,21460 Stari Grad</item>
      <item>Dane Pavičić, OIB 20305861469, Andrije Mohorovičića 25,43000 Bjelovar</item>
      <item>Ana Petrić, OIB 56191156047, Kolodvorska 13,42000 Varaždin</item>
      <item>Maja Smrké, OIB 83419853526</item>
    </izvorni_sadrzaj>
    <derivirana_varijabla naziv="DomainObject.Predmet.SudioniciListAdressOIB_1">
      <item>FINA ZAGREB, OIB 85821130368, Koturaška 43,10000 Zagreb</item>
      <item>HELIOS FAROS, dioničko društvo za ugostiteljstvo u stečaju, OIB 48594515409, Priko/bb,21460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item>Branka Grabovac, OIB 57930518010, Graščica 6a,10000 Zagreb</item>
      <item>Antonio Škarpa, OIB 79295150323, Ulica Eugena Kvaternika 14,21460 Stari Grad</item>
      <item>Vlatka Klišanin, OIB 41045358920, VII. Ravnice 17,10000 Zagreb</item>
      <item>Siniša Petrić, OIB 59516009847, Ulica Petra Scutteri 6,21460 Stari Grad</item>
      <item>Dane Pavičić, OIB 20305861469, Andrije Mohorovičića 25,43000 Bjelovar</item>
      <item>Ana Petrić, OIB 56191156047, Kolodvorska 13,42000 Varaždin</item>
      <item>Maja Smrké, OIB 83419853526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item>, OIB 57930518010</item>
      <item>, OIB 79295150323</item>
      <item>, OIB 41045358920</item>
      <item>, OIB 59516009847</item>
      <item>, OIB 20305861469</item>
      <item>, OIB 56191156047</item>
      <item>, OIB 83419853526</item>
    </izvorni_sadrzaj>
    <derivirana_varijabla naziv="DomainObject.Predmet.SudioniciListNazivOIB_1">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item>, OIB 57930518010</item>
      <item>, OIB 79295150323</item>
      <item>, OIB 41045358920</item>
      <item>, OIB 59516009847</item>
      <item>, OIB 20305861469</item>
      <item>, OIB 56191156047</item>
      <item>, OIB 83419853526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8. srpnja 2019.</izvorni_sadrzaj>
    <derivirana_varijabla naziv="DomainObject.PredzadnjaOdlukaIzPredmeta.DatumDonosenjaOdluke_1">8. srpnja 2019.</derivirana_varijabla>
  </DomainObject.PredzadnjaOdlukaIzPredmeta.DatumDonosenjaOdluke>
  <DomainObject.PredzadnjaOdlukaIzPredmeta.Oznaka>
    <izvorni_sadrzaj>St-9/2015-455</izvorni_sadrzaj>
    <derivirana_varijabla naziv="DomainObject.PredzadnjaOdlukaIzPredmeta.Oznaka_1">St-9/2015-455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A10AE-C9CF-4376-AE82-7FD0732FED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1871</properties:Words>
  <properties:Characters>11325</properties:Characters>
  <properties:Lines>186</properties:Lines>
  <properties:Paragraphs>52</properties:Paragraphs>
  <properties:TotalTime>246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2015-04-29T05:50:00Z</dcterms:created>
  <dc:creator>Vesna Perišić</dc:creator>
  <cp:lastModifiedBy>Ana Golub Gruić</cp:lastModifiedBy>
  <cp:lastPrinted>2019-07-12T12:44:00Z</cp:lastPrinted>
  <dcterms:modified xmlns:xsi="http://www.w3.org/2001/XMLSchema-instance" xsi:type="dcterms:W3CDTF">2019-07-12T12:47:00Z</dcterms:modified>
  <cp:revision>46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Popratno izvješće za viši sud (St-9-2015 popratno izvješće za viši sud.docx)</vt:lpwstr>
  </prop:property>
  <prop:property name="CC_coloring" pid="4" fmtid="{D5CDD505-2E9C-101B-9397-08002B2CF9AE}">
    <vt:bool>false</vt:bool>
  </prop:property>
  <prop:property name="BrojStranica" pid="5" fmtid="{D5CDD505-2E9C-101B-9397-08002B2CF9AE}">
    <vt:i4>4</vt:i4>
  </prop:property>
</prop:Properties>
</file>