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bf26" w14:paraId="7c1bf26" w:rsidRDefault="00D569D1" w:rsidP="005122DB" w:rsidR="00D569D1" w:rsidRPr="00D02B11">
      <w:pPr>
        <w:spacing w:after="0"/>
        <w:jc w:val="center"/>
        <w15:collapsed w:val="false"/>
        <w:rPr>
          <w:rFonts w:hAnsi="Times New Roman" w:ascii="Times New Roman"/>
          <w:b/>
          <w:sz w:val="24"/>
          <w:szCs w:val="24"/>
        </w:rPr>
      </w:pPr>
      <w:bookmarkStart w:name="_GoBack" w:id="0"/>
      <w:bookmarkEnd w:id="0"/>
      <w:r w:rsidRPr="00D02B11">
        <w:rPr>
          <w:rFonts w:hAnsi="Times New Roman" w:ascii="Times New Roman"/>
          <w:b/>
          <w:sz w:val="24"/>
          <w:szCs w:val="24"/>
        </w:rPr>
        <w:t>Obrazac 20.</w:t>
      </w:r>
    </w:p>
    <w:p w:rsidRDefault="00D569D1" w:rsidP="005122DB" w:rsidR="00D569D1" w:rsidRPr="00D02B11">
      <w:pPr>
        <w:spacing w:after="0"/>
        <w:jc w:val="center"/>
        <w:rPr>
          <w:rFonts w:hAnsi="Times New Roman" w:ascii="Times New Roman"/>
          <w:b/>
          <w:sz w:val="24"/>
          <w:szCs w:val="24"/>
        </w:rPr>
      </w:pPr>
      <w:r w:rsidRPr="00D02B11">
        <w:rPr>
          <w:rFonts w:hAnsi="Times New Roman" w:ascii="Times New Roman"/>
          <w:b/>
          <w:sz w:val="24"/>
          <w:szCs w:val="24"/>
        </w:rPr>
        <w:t>IZVJEŠĆE STEČAJNOGA UPRAVITELJA O TIJEKU STEČAJNOGA POSTUPKA I STANJU STEČAJNE MASE</w:t>
      </w: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both"/>
        <w:rPr>
          <w:rFonts w:hAnsi="Times New Roman" w:ascii="Times New Roman"/>
          <w:sz w:val="24"/>
          <w:szCs w:val="24"/>
        </w:rPr>
      </w:pPr>
      <w:r w:rsidRPr="00D02B11">
        <w:rPr>
          <w:rFonts w:hAnsi="Times New Roman" w:ascii="Times New Roman"/>
          <w:sz w:val="24"/>
          <w:szCs w:val="24"/>
        </w:rPr>
        <w:t>Nadležni trgovački sud:</w:t>
      </w:r>
      <w:r w:rsidRPr="00D02B11">
        <w:rPr>
          <w:rFonts w:hAnsi="Times New Roman" w:ascii="Times New Roman"/>
          <w:sz w:val="24"/>
          <w:szCs w:val="24"/>
        </w:rPr>
        <w:tab/>
      </w:r>
      <w:r w:rsidRPr="00D02B11">
        <w:rPr>
          <w:rFonts w:hAnsi="Times New Roman" w:ascii="Times New Roman"/>
          <w:b/>
          <w:sz w:val="24"/>
          <w:szCs w:val="24"/>
          <w:u w:val="single"/>
        </w:rPr>
        <w:t>Trgovački sud u Zagrebu</w:t>
      </w:r>
    </w:p>
    <w:p w:rsidRDefault="00D569D1" w:rsidP="005122DB" w:rsidR="00D569D1" w:rsidRPr="00D02B11">
      <w:pPr>
        <w:spacing w:after="0"/>
        <w:jc w:val="both"/>
        <w:rPr>
          <w:rFonts w:hAnsi="Times New Roman" w:ascii="Times New Roman"/>
          <w:sz w:val="24"/>
          <w:szCs w:val="24"/>
        </w:rPr>
      </w:pPr>
      <w:r w:rsidRPr="00D02B11">
        <w:rPr>
          <w:rFonts w:hAnsi="Times New Roman" w:ascii="Times New Roman"/>
          <w:sz w:val="24"/>
          <w:szCs w:val="24"/>
        </w:rPr>
        <w:t>Poslovni broj spisa:</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b/>
          <w:sz w:val="24"/>
          <w:szCs w:val="24"/>
          <w:u w:val="single"/>
        </w:rPr>
        <w:t>7 St-47/04</w:t>
      </w:r>
    </w:p>
    <w:p w:rsidRDefault="00D569D1" w:rsidP="005122DB" w:rsidR="00D569D1" w:rsidRPr="00D02B11">
      <w:pPr>
        <w:spacing w:after="0"/>
        <w:ind w:hanging="2832" w:left="2832"/>
        <w:rPr>
          <w:rFonts w:hAnsi="Times New Roman" w:ascii="Times New Roman"/>
          <w:b/>
          <w:sz w:val="24"/>
          <w:szCs w:val="24"/>
        </w:rPr>
      </w:pPr>
      <w:r w:rsidRPr="00D02B11">
        <w:rPr>
          <w:rFonts w:hAnsi="Times New Roman" w:ascii="Times New Roman"/>
          <w:sz w:val="24"/>
          <w:szCs w:val="24"/>
        </w:rPr>
        <w:t>Dužnik:</w:t>
      </w:r>
      <w:r w:rsidRPr="00D02B11">
        <w:rPr>
          <w:rFonts w:hAnsi="Times New Roman" w:ascii="Times New Roman"/>
          <w:sz w:val="24"/>
          <w:szCs w:val="24"/>
        </w:rPr>
        <w:tab/>
      </w:r>
      <w:r w:rsidRPr="00D02B11">
        <w:rPr>
          <w:rFonts w:hAnsi="Times New Roman" w:ascii="Times New Roman"/>
          <w:b/>
          <w:sz w:val="24"/>
          <w:szCs w:val="24"/>
          <w:u w:val="single"/>
        </w:rPr>
        <w:t>NOVI SALONIT d.o.o. u stečaju, Zagreb, Radnička c.27 OIB 74737876059</w:t>
      </w: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jc w:val="center"/>
        <w:rPr>
          <w:rFonts w:hAnsi="Times New Roman" w:ascii="Times New Roman"/>
          <w:sz w:val="24"/>
          <w:szCs w:val="24"/>
        </w:rPr>
      </w:pPr>
    </w:p>
    <w:p w:rsidRDefault="00D569D1" w:rsidP="005122DB" w:rsidR="00D569D1" w:rsidRPr="00D02B11">
      <w:pPr>
        <w:spacing w:after="0"/>
        <w:ind w:hanging="705" w:left="705"/>
        <w:rPr>
          <w:rFonts w:hAnsi="Times New Roman" w:ascii="Times New Roman"/>
          <w:sz w:val="24"/>
          <w:szCs w:val="24"/>
        </w:rPr>
      </w:pPr>
      <w:r w:rsidRPr="00D02B11">
        <w:rPr>
          <w:rFonts w:hAnsi="Times New Roman" w:ascii="Times New Roman"/>
          <w:sz w:val="24"/>
          <w:szCs w:val="24"/>
        </w:rPr>
        <w:t>I. TIJEK STEČAJNOGA POSTUPKA</w:t>
      </w:r>
      <w:r>
        <w:rPr>
          <w:rFonts w:hAnsi="Times New Roman" w:ascii="Times New Roman"/>
          <w:sz w:val="24"/>
          <w:szCs w:val="24"/>
        </w:rPr>
        <w:t xml:space="preserve"> U RAZDOBLJU OD 18.05.2017. DO 30.06.2017.</w:t>
      </w:r>
    </w:p>
    <w:p w:rsidRDefault="00D569D1" w:rsidP="005122DB" w:rsidR="00D569D1" w:rsidRPr="00D02B11">
      <w:pPr>
        <w:spacing w:after="0"/>
        <w:jc w:val="both"/>
        <w:rPr>
          <w:rFonts w:hAnsi="Times New Roman" w:ascii="Times New Roman"/>
          <w:sz w:val="24"/>
          <w:szCs w:val="24"/>
        </w:rPr>
      </w:pPr>
    </w:p>
    <w:p w:rsidRDefault="00D569D1" w:rsidP="00F51451" w:rsidR="00D569D1" w:rsidRPr="00D02B11">
      <w:pPr>
        <w:spacing w:after="0"/>
        <w:jc w:val="both"/>
        <w:rPr>
          <w:rFonts w:hAnsi="Times New Roman" w:ascii="Times New Roman"/>
          <w:sz w:val="24"/>
          <w:szCs w:val="24"/>
        </w:rPr>
      </w:pPr>
      <w:r w:rsidRPr="00D02B11">
        <w:rPr>
          <w:rFonts w:hAnsi="Times New Roman" w:ascii="Times New Roman"/>
          <w:sz w:val="24"/>
          <w:szCs w:val="24"/>
        </w:rPr>
        <w:t>U stečajnom postupku nad dužnikom NOVI SALONIT d.o.o. u stečaju, OIB 74737876059</w:t>
      </w:r>
      <w:r>
        <w:rPr>
          <w:rFonts w:hAnsi="Times New Roman" w:ascii="Times New Roman"/>
          <w:sz w:val="24"/>
          <w:szCs w:val="24"/>
        </w:rPr>
        <w:t>,</w:t>
      </w:r>
      <w:r w:rsidRPr="00D02B11">
        <w:rPr>
          <w:rFonts w:hAnsi="Times New Roman" w:ascii="Times New Roman"/>
          <w:sz w:val="24"/>
          <w:szCs w:val="24"/>
        </w:rPr>
        <w:t xml:space="preserve"> stečajni upravitelj podnosi Izvješće o tijeku stečajnog </w:t>
      </w:r>
      <w:r>
        <w:rPr>
          <w:rFonts w:hAnsi="Times New Roman" w:ascii="Times New Roman"/>
          <w:sz w:val="24"/>
          <w:szCs w:val="24"/>
        </w:rPr>
        <w:t>postupka i stanju stečajne mase za izvještajno razdoblje.</w:t>
      </w:r>
    </w:p>
    <w:p w:rsidRDefault="00D569D1" w:rsidP="005122DB" w:rsidR="00D569D1" w:rsidRPr="00D02B11">
      <w:pPr>
        <w:spacing w:after="0"/>
        <w:jc w:val="both"/>
        <w:rPr>
          <w:rFonts w:hAnsi="Times New Roman" w:ascii="Times New Roman"/>
          <w:sz w:val="24"/>
          <w:szCs w:val="24"/>
        </w:rPr>
      </w:pPr>
    </w:p>
    <w:p w:rsidRDefault="00D569D1" w:rsidP="00CD796C" w:rsidR="00D569D1">
      <w:pPr>
        <w:spacing w:after="0"/>
        <w:jc w:val="both"/>
        <w:rPr>
          <w:rFonts w:hAnsi="Times New Roman" w:ascii="Times New Roman"/>
          <w:sz w:val="24"/>
          <w:szCs w:val="24"/>
        </w:rPr>
      </w:pPr>
      <w:r w:rsidRPr="00D02B11">
        <w:rPr>
          <w:rFonts w:hAnsi="Times New Roman" w:ascii="Times New Roman"/>
          <w:sz w:val="24"/>
          <w:szCs w:val="24"/>
        </w:rPr>
        <w:t>U pravnoj stvari pri Trgovačkom sudu u Splitu, poslovni broj P-704/2015, v.p.s. 101.000,00 kn, tužitelja SALONIT d.d. u stečaju, Vranje, Krešimirova ulica bb, OIB 14755697651 i umješača: stečajnog dužnika NOVI SALONIT d.o.o. u stečaju, OIB 74737876059 i BASCON d.o.o., Zagreb, Radnička c. 27, OIB 28992793633, protiv tuženika REPUBLIKA HRVATSKA, OIB 52634238587, zastupane po Županijskom državnom odvjetništvu u Splitu i GRADA SOLINA, Solin, Stjepana Radića 42, OIB 40642464411, radi stvarnopravnih zahtjeva, na ročištu održanom dana 30. ožujka 2017.g. Sud je donio rješenje kojim se nalaže strankama da se očituju pisanim putem na podnesak</w:t>
      </w:r>
      <w:r w:rsidRPr="002761E1">
        <w:rPr>
          <w:rFonts w:hAnsi="Times New Roman" w:ascii="Times New Roman"/>
          <w:sz w:val="24"/>
          <w:szCs w:val="24"/>
        </w:rPr>
        <w:t xml:space="preserve"> </w:t>
      </w:r>
      <w:r w:rsidRPr="00D02B11">
        <w:rPr>
          <w:rFonts w:hAnsi="Times New Roman" w:ascii="Times New Roman"/>
          <w:sz w:val="24"/>
          <w:szCs w:val="24"/>
        </w:rPr>
        <w:t>od 29.03.2017.g. um</w:t>
      </w:r>
      <w:r>
        <w:rPr>
          <w:rFonts w:hAnsi="Times New Roman" w:ascii="Times New Roman"/>
          <w:sz w:val="24"/>
          <w:szCs w:val="24"/>
        </w:rPr>
        <w:t>i</w:t>
      </w:r>
      <w:r w:rsidRPr="00D02B11">
        <w:rPr>
          <w:rFonts w:hAnsi="Times New Roman" w:ascii="Times New Roman"/>
          <w:sz w:val="24"/>
          <w:szCs w:val="24"/>
        </w:rPr>
        <w:t>ješača-</w:t>
      </w:r>
      <w:r>
        <w:rPr>
          <w:rFonts w:hAnsi="Times New Roman" w:ascii="Times New Roman"/>
          <w:sz w:val="24"/>
          <w:szCs w:val="24"/>
        </w:rPr>
        <w:t>Novog salonita d.o.o. u stečaju.</w:t>
      </w:r>
      <w:r w:rsidRPr="00D02B11">
        <w:rPr>
          <w:rFonts w:hAnsi="Times New Roman" w:ascii="Times New Roman"/>
          <w:sz w:val="24"/>
          <w:szCs w:val="24"/>
        </w:rPr>
        <w:t xml:space="preserve"> Radi navedenog rasprava je odgođena, a slijedeća je zakazana za 4. svibnja 2017.g.</w:t>
      </w:r>
      <w:r>
        <w:rPr>
          <w:rFonts w:hAnsi="Times New Roman" w:ascii="Times New Roman"/>
          <w:sz w:val="24"/>
          <w:szCs w:val="24"/>
        </w:rPr>
        <w:t>, na kojoj su stranke predložile izvođenje dokaza. Sud će nakon pregleda dostavljene dokumentacije odlučiti o prijedlozima stranaka, raspravu je odgodio, a slijedeća je zakazana za 08.06.2017.g.</w:t>
      </w:r>
    </w:p>
    <w:p w:rsidRDefault="00D569D1" w:rsidP="00CD796C" w:rsidR="00D569D1">
      <w:pPr>
        <w:spacing w:after="0"/>
        <w:jc w:val="both"/>
        <w:rPr>
          <w:rFonts w:hAnsi="Times New Roman" w:ascii="Times New Roman"/>
          <w:sz w:val="24"/>
          <w:szCs w:val="24"/>
        </w:rPr>
      </w:pPr>
      <w:r>
        <w:rPr>
          <w:rFonts w:hAnsi="Times New Roman" w:ascii="Times New Roman"/>
          <w:sz w:val="24"/>
          <w:szCs w:val="24"/>
        </w:rPr>
        <w:t>Na ročištu održanom dana 8. lipnja 2017.g. Sud je donio rješenje kojim je:</w:t>
      </w:r>
    </w:p>
    <w:p w:rsidRDefault="00D569D1" w:rsidP="00BE3F16" w:rsidR="00D569D1">
      <w:pPr>
        <w:numPr>
          <w:ilvl w:val="0"/>
          <w:numId w:val="19"/>
        </w:numPr>
        <w:spacing w:after="0"/>
        <w:jc w:val="both"/>
        <w:rPr>
          <w:rFonts w:hAnsi="Times New Roman" w:ascii="Times New Roman"/>
          <w:sz w:val="24"/>
          <w:szCs w:val="24"/>
        </w:rPr>
      </w:pPr>
      <w:r>
        <w:rPr>
          <w:rFonts w:hAnsi="Times New Roman" w:ascii="Times New Roman"/>
          <w:sz w:val="24"/>
          <w:szCs w:val="24"/>
        </w:rPr>
        <w:t>naloženo tužitelju očitovanje na navode tuženika kojim se traži da se tužitelj odredi prema tuženoj RH na način: ustraje li i dalje da RH bude tuženik ili će povući tužbu protiv RH</w:t>
      </w:r>
    </w:p>
    <w:p w:rsidRDefault="00D569D1" w:rsidP="00BE3F16" w:rsidR="00D569D1">
      <w:pPr>
        <w:numPr>
          <w:ilvl w:val="0"/>
          <w:numId w:val="19"/>
        </w:numPr>
        <w:spacing w:after="0"/>
        <w:jc w:val="both"/>
        <w:rPr>
          <w:rFonts w:hAnsi="Times New Roman" w:ascii="Times New Roman"/>
          <w:sz w:val="24"/>
          <w:szCs w:val="24"/>
        </w:rPr>
      </w:pPr>
      <w:r>
        <w:rPr>
          <w:rFonts w:hAnsi="Times New Roman" w:ascii="Times New Roman"/>
          <w:sz w:val="24"/>
          <w:szCs w:val="24"/>
        </w:rPr>
        <w:t>odlučeno da se službenim putem pribavi dokumentacija u izvorniku, a koju je umiješač priložio uz svoj podnesak u preslici</w:t>
      </w:r>
    </w:p>
    <w:p w:rsidRDefault="00D569D1" w:rsidP="00BE3F16" w:rsidR="00D569D1">
      <w:pPr>
        <w:numPr>
          <w:ilvl w:val="0"/>
          <w:numId w:val="19"/>
        </w:numPr>
        <w:spacing w:after="0"/>
        <w:jc w:val="both"/>
        <w:rPr>
          <w:rFonts w:hAnsi="Times New Roman" w:ascii="Times New Roman"/>
          <w:sz w:val="24"/>
          <w:szCs w:val="24"/>
        </w:rPr>
      </w:pPr>
      <w:r>
        <w:rPr>
          <w:rFonts w:hAnsi="Times New Roman" w:ascii="Times New Roman"/>
          <w:sz w:val="24"/>
          <w:szCs w:val="24"/>
        </w:rPr>
        <w:t>rasprava odgođena za 30.06.2017.g.</w:t>
      </w:r>
    </w:p>
    <w:p w:rsidRDefault="00D569D1" w:rsidP="00CD796C" w:rsidR="00D569D1" w:rsidRPr="00D02B11">
      <w:pPr>
        <w:spacing w:after="0"/>
        <w:jc w:val="both"/>
        <w:rPr>
          <w:rFonts w:hAnsi="Times New Roman" w:ascii="Times New Roman"/>
          <w:sz w:val="24"/>
          <w:szCs w:val="24"/>
        </w:rPr>
      </w:pPr>
    </w:p>
    <w:p w:rsidRDefault="00D569D1" w:rsidP="002761E1" w:rsidR="00D569D1" w:rsidRPr="00D02B11">
      <w:pPr>
        <w:spacing w:after="0"/>
        <w:jc w:val="both"/>
        <w:rPr>
          <w:rFonts w:hAnsi="Times New Roman" w:ascii="Times New Roman"/>
          <w:sz w:val="24"/>
          <w:szCs w:val="24"/>
        </w:rPr>
      </w:pPr>
      <w:r w:rsidRPr="00D02B11">
        <w:rPr>
          <w:rFonts w:hAnsi="Times New Roman" w:ascii="Times New Roman"/>
          <w:sz w:val="24"/>
          <w:szCs w:val="24"/>
        </w:rPr>
        <w:t>U pravnoj stvari broj P-632/2009 pri Trgovačkom sudu u Zagrebu, tužitelja-protutuženika NOVI SALONIT d.o.o. u stečaju, protiv tužene-protutužiteljice DANIJELA DASOVIĆ odvjetnica iz Zagreba, OIB 27480509626, umješača na strani tužitelja-protutuženika SUPER MONITOR d.o.o. iz Zagreba, OIB 15574872867, radi plaćanja-povrata sredstava.</w:t>
      </w:r>
    </w:p>
    <w:p w:rsidRDefault="00D569D1" w:rsidP="002761E1" w:rsidR="00D569D1" w:rsidRPr="00D02B11">
      <w:pPr>
        <w:spacing w:after="0"/>
        <w:jc w:val="both"/>
        <w:rPr>
          <w:rFonts w:hAnsi="Times New Roman" w:ascii="Times New Roman"/>
          <w:sz w:val="24"/>
          <w:szCs w:val="24"/>
        </w:rPr>
      </w:pPr>
      <w:r w:rsidRPr="00D02B11">
        <w:rPr>
          <w:rFonts w:hAnsi="Times New Roman" w:ascii="Times New Roman"/>
          <w:sz w:val="24"/>
          <w:szCs w:val="24"/>
        </w:rPr>
        <w:t>Tužena je, kao punomoćnica tužitelja NOVI SALONIT d.o.o. prije otvaranja stečajnog postupka nad tužiteljem, pokrenula ovršni postupak temeljem pravomoćne presude u predmetu broj P-80/03 Trgovačkog suda u Slavonskom Brodu protiv trgovačkog društva Vacom d.o.o. iz Slavonskog Broda. U tom ovršnom postupku je na svoj žiro račun naplatila u vremenskom period</w:t>
      </w:r>
      <w:r>
        <w:rPr>
          <w:rFonts w:hAnsi="Times New Roman" w:ascii="Times New Roman"/>
          <w:sz w:val="24"/>
          <w:szCs w:val="24"/>
        </w:rPr>
        <w:t>u od 11.08.2004. do 28.10.2004.</w:t>
      </w:r>
      <w:r w:rsidRPr="00D02B11">
        <w:rPr>
          <w:rFonts w:hAnsi="Times New Roman" w:ascii="Times New Roman"/>
          <w:sz w:val="24"/>
          <w:szCs w:val="24"/>
        </w:rPr>
        <w:t xml:space="preserve">g. (nakon otvaranja stečajnog postupka nad tužiteljem, </w:t>
      </w:r>
      <w:r w:rsidRPr="00D02B11">
        <w:rPr>
          <w:rFonts w:hAnsi="Times New Roman" w:ascii="Times New Roman"/>
          <w:sz w:val="24"/>
          <w:szCs w:val="24"/>
          <w:lang w:eastAsia="hr-HR"/>
        </w:rPr>
        <w:t>18.06.2004.g.</w:t>
      </w:r>
      <w:r w:rsidRPr="00D02B11">
        <w:rPr>
          <w:rFonts w:hAnsi="Times New Roman" w:ascii="Times New Roman"/>
          <w:sz w:val="24"/>
          <w:szCs w:val="24"/>
        </w:rPr>
        <w:t xml:space="preserve">) iznos od 358.119,57 kn koji nije uplatila na račun tužitelja već je isti zadržala. Tužiteljev prijedlog izreke presude je naložiti tuženoj da plati tužitelju iznos </w:t>
      </w:r>
      <w:r w:rsidRPr="00D02B11">
        <w:rPr>
          <w:rFonts w:hAnsi="Times New Roman" w:ascii="Times New Roman"/>
          <w:sz w:val="24"/>
          <w:szCs w:val="24"/>
        </w:rPr>
        <w:lastRenderedPageBreak/>
        <w:t>od 358.119,57 kn s pripadajućim zakonskim zateznim kamatama koje teku od 29. listopada 2004.g. do plaćanja, te naknaditi troškove parničnog postupka.</w:t>
      </w:r>
    </w:p>
    <w:p w:rsidRDefault="00D569D1" w:rsidP="002761E1" w:rsidR="00D569D1" w:rsidRPr="00D02B11">
      <w:pPr>
        <w:spacing w:after="0"/>
        <w:jc w:val="both"/>
        <w:rPr>
          <w:rFonts w:hAnsi="Times New Roman" w:ascii="Times New Roman"/>
          <w:sz w:val="24"/>
          <w:szCs w:val="24"/>
          <w:lang w:eastAsia="hr-HR"/>
        </w:rPr>
      </w:pPr>
      <w:r w:rsidRPr="00D02B11">
        <w:rPr>
          <w:rFonts w:hAnsi="Times New Roman" w:ascii="Times New Roman"/>
          <w:sz w:val="24"/>
          <w:szCs w:val="24"/>
        </w:rPr>
        <w:t xml:space="preserve">U studenom 2016.g. tužena je podnijela protutužbu, v.p.s. naznačen u iznosu od 939.705,00 kn po </w:t>
      </w:r>
      <w:r w:rsidRPr="00D02B11">
        <w:rPr>
          <w:rFonts w:hAnsi="Times New Roman" w:ascii="Times New Roman"/>
          <w:sz w:val="24"/>
          <w:szCs w:val="24"/>
          <w:lang w:eastAsia="hr-HR"/>
        </w:rPr>
        <w:t>računu broj 101/09</w:t>
      </w:r>
      <w:r w:rsidRPr="00D02B11">
        <w:rPr>
          <w:rFonts w:hAnsi="Times New Roman" w:ascii="Times New Roman"/>
          <w:sz w:val="24"/>
          <w:szCs w:val="24"/>
        </w:rPr>
        <w:t xml:space="preserve">, za troškove zastupanja stečajnog dužnika Novi salonit d.o.o. u stečaju u </w:t>
      </w:r>
      <w:r w:rsidRPr="00D02B11">
        <w:rPr>
          <w:rFonts w:hAnsi="Times New Roman" w:ascii="Times New Roman"/>
          <w:sz w:val="24"/>
          <w:szCs w:val="24"/>
          <w:lang w:eastAsia="hr-HR"/>
        </w:rPr>
        <w:t>predmetu broj P-3831/04 protiv Societe Generali Splitska Banka d.d. i umješača Robinson Holdings d.o.o.</w:t>
      </w:r>
    </w:p>
    <w:p w:rsidRDefault="00D569D1" w:rsidP="002761E1" w:rsidR="00D569D1" w:rsidRPr="00D02B11">
      <w:pPr>
        <w:spacing w:after="0"/>
        <w:jc w:val="both"/>
        <w:rPr>
          <w:rFonts w:hAnsi="Times New Roman" w:ascii="Times New Roman"/>
          <w:sz w:val="24"/>
          <w:szCs w:val="24"/>
          <w:lang w:eastAsia="hr-HR"/>
        </w:rPr>
      </w:pPr>
      <w:r w:rsidRPr="00D02B11">
        <w:rPr>
          <w:rFonts w:hAnsi="Times New Roman" w:ascii="Times New Roman"/>
          <w:sz w:val="24"/>
          <w:szCs w:val="24"/>
          <w:lang w:eastAsia="hr-HR"/>
        </w:rPr>
        <w:t>Na ročištu 12.12.2016.g. saslušana je tužena Danijela Dasović. Sud je rješenjem naložio tuženoj u roku od 8 dana dostaviti ugovor o zastupanju sklopljen između nje kao odvjetnice i društva NOVI SALONIT d.o.o., Zagreb.</w:t>
      </w:r>
    </w:p>
    <w:p w:rsidRDefault="00D569D1" w:rsidP="002761E1" w:rsidR="00D569D1" w:rsidRPr="00D02B11">
      <w:pPr>
        <w:spacing w:after="0"/>
        <w:jc w:val="both"/>
        <w:rPr>
          <w:rFonts w:hAnsi="Times New Roman" w:ascii="Times New Roman"/>
          <w:sz w:val="24"/>
          <w:szCs w:val="24"/>
          <w:lang w:eastAsia="hr-HR"/>
        </w:rPr>
      </w:pPr>
      <w:r w:rsidRPr="00D02B11">
        <w:rPr>
          <w:rFonts w:hAnsi="Times New Roman" w:ascii="Times New Roman"/>
          <w:sz w:val="24"/>
          <w:szCs w:val="24"/>
          <w:lang w:eastAsia="hr-HR"/>
        </w:rPr>
        <w:t>Ročište određeno za 17.01.2017. g. odgođeno je radi bolesti suca.</w:t>
      </w:r>
    </w:p>
    <w:p w:rsidRDefault="00D569D1" w:rsidP="002761E1" w:rsidR="00D569D1" w:rsidRPr="00D02B11">
      <w:pPr>
        <w:spacing w:after="0"/>
        <w:jc w:val="both"/>
        <w:rPr>
          <w:rFonts w:hAnsi="Times New Roman" w:ascii="Times New Roman"/>
          <w:sz w:val="24"/>
          <w:szCs w:val="24"/>
          <w:lang w:eastAsia="hr-HR"/>
        </w:rPr>
      </w:pPr>
      <w:r w:rsidRPr="00D02B11">
        <w:rPr>
          <w:rFonts w:hAnsi="Times New Roman" w:ascii="Times New Roman"/>
          <w:sz w:val="24"/>
          <w:szCs w:val="24"/>
          <w:lang w:eastAsia="hr-HR"/>
        </w:rPr>
        <w:t>Čeka se određivanje ročišta za glavnu raspravu.</w:t>
      </w:r>
    </w:p>
    <w:p w:rsidRDefault="00D569D1" w:rsidP="002761E1" w:rsidR="00D569D1" w:rsidRPr="00D02B11">
      <w:pPr>
        <w:spacing w:after="0"/>
        <w:jc w:val="both"/>
        <w:rPr>
          <w:rFonts w:hAnsi="Times New Roman" w:ascii="Times New Roman"/>
          <w:sz w:val="24"/>
          <w:szCs w:val="24"/>
          <w:lang w:eastAsia="hr-HR"/>
        </w:rPr>
      </w:pPr>
      <w:r w:rsidRPr="00D02B11">
        <w:rPr>
          <w:rFonts w:hAnsi="Times New Roman" w:ascii="Times New Roman"/>
          <w:sz w:val="24"/>
          <w:szCs w:val="24"/>
          <w:lang w:eastAsia="hr-HR"/>
        </w:rPr>
        <w:t>U međuvremenu, nije zaprimljena daljnja dokumentacija od strane tužene-protutužiteljice.</w:t>
      </w:r>
    </w:p>
    <w:p w:rsidRDefault="00D569D1" w:rsidP="002761E1" w:rsidR="00D569D1">
      <w:pPr>
        <w:spacing w:after="0"/>
        <w:jc w:val="both"/>
        <w:rPr>
          <w:rFonts w:hAnsi="Times New Roman" w:ascii="Times New Roman"/>
          <w:sz w:val="24"/>
          <w:szCs w:val="24"/>
          <w:lang w:eastAsia="hr-HR"/>
        </w:rPr>
      </w:pPr>
      <w:r w:rsidRPr="00D02B11">
        <w:rPr>
          <w:rFonts w:hAnsi="Times New Roman" w:ascii="Times New Roman"/>
          <w:sz w:val="24"/>
          <w:szCs w:val="24"/>
          <w:lang w:eastAsia="hr-HR"/>
        </w:rPr>
        <w:t>U predmetnoj pravnoj stvari održano je u periodu od veljače 2009.g. pa do 12.12.2016.g. ukupno 8 ročišta. Tijekom ovog sudskog postupka stečajni je upravitelj udovoljio svim nalozima suda dostavom podnesaka, odgovora kao i tražene dokumentacije.</w:t>
      </w:r>
    </w:p>
    <w:p w:rsidRDefault="00D569D1" w:rsidP="00F51451" w:rsidR="00D569D1">
      <w:pPr>
        <w:spacing w:after="0"/>
        <w:jc w:val="both"/>
        <w:rPr>
          <w:rFonts w:hAnsi="Times New Roman" w:ascii="Times New Roman"/>
          <w:sz w:val="24"/>
          <w:szCs w:val="24"/>
          <w:lang w:eastAsia="hr-HR"/>
        </w:rPr>
      </w:pPr>
      <w:r>
        <w:rPr>
          <w:rFonts w:hAnsi="Times New Roman" w:ascii="Times New Roman"/>
          <w:sz w:val="24"/>
          <w:szCs w:val="24"/>
          <w:lang w:eastAsia="hr-HR"/>
        </w:rPr>
        <w:t>Dana 13.lipnja 2017.g. stečajni je upravitelj zaprimio Presudu Trgovačkog suda u Zagrebu, broj P-632/2009 od 16. svibnja 2017.g., objavljenu na ročištu dana 13. lipnja 2017.g. kojom:</w:t>
      </w:r>
    </w:p>
    <w:p w:rsidRDefault="00D569D1" w:rsidP="00E237EB" w:rsidR="00D569D1">
      <w:pPr>
        <w:numPr>
          <w:ilvl w:val="0"/>
          <w:numId w:val="19"/>
        </w:numPr>
        <w:spacing w:after="0"/>
        <w:jc w:val="both"/>
        <w:rPr>
          <w:rFonts w:hAnsi="Times New Roman" w:ascii="Times New Roman"/>
          <w:sz w:val="24"/>
          <w:szCs w:val="24"/>
          <w:lang w:eastAsia="hr-HR"/>
        </w:rPr>
      </w:pPr>
      <w:r>
        <w:rPr>
          <w:rFonts w:hAnsi="Times New Roman" w:ascii="Times New Roman"/>
          <w:sz w:val="24"/>
          <w:szCs w:val="24"/>
          <w:lang w:eastAsia="hr-HR"/>
        </w:rPr>
        <w:t>se nalaže tuženici-protutužiteljici Danijeli Dasović da isplati tužitelju-protutuženiku Novom salonitu d.o.o. iznos od 358.119,57 kn, zajedno s zakonskom zateznom kamatom tekućom od 29.10.2004.g.</w:t>
      </w:r>
    </w:p>
    <w:p w:rsidRDefault="00D569D1" w:rsidP="00E237EB" w:rsidR="00D569D1">
      <w:pPr>
        <w:numPr>
          <w:ilvl w:val="0"/>
          <w:numId w:val="19"/>
        </w:numPr>
        <w:spacing w:after="0"/>
        <w:jc w:val="both"/>
        <w:rPr>
          <w:rFonts w:hAnsi="Times New Roman" w:ascii="Times New Roman"/>
          <w:sz w:val="24"/>
          <w:szCs w:val="24"/>
          <w:lang w:eastAsia="hr-HR"/>
        </w:rPr>
      </w:pPr>
      <w:r>
        <w:rPr>
          <w:rFonts w:hAnsi="Times New Roman" w:ascii="Times New Roman"/>
          <w:sz w:val="24"/>
          <w:szCs w:val="24"/>
          <w:lang w:eastAsia="hr-HR"/>
        </w:rPr>
        <w:t>odbija se protutužbeni zahtjev za isplatu iznosa od 937.798,75 kn protutužiteljici Danijeli Dasović</w:t>
      </w:r>
    </w:p>
    <w:p w:rsidRDefault="00D569D1" w:rsidP="00E237EB" w:rsidR="00D569D1">
      <w:pPr>
        <w:numPr>
          <w:ilvl w:val="0"/>
          <w:numId w:val="19"/>
        </w:numPr>
        <w:spacing w:after="0"/>
        <w:jc w:val="both"/>
        <w:rPr>
          <w:rFonts w:hAnsi="Times New Roman" w:ascii="Times New Roman"/>
          <w:sz w:val="24"/>
          <w:szCs w:val="24"/>
          <w:lang w:eastAsia="hr-HR"/>
        </w:rPr>
      </w:pPr>
      <w:r>
        <w:rPr>
          <w:rFonts w:hAnsi="Times New Roman" w:ascii="Times New Roman"/>
          <w:sz w:val="24"/>
          <w:szCs w:val="24"/>
          <w:lang w:eastAsia="hr-HR"/>
        </w:rPr>
        <w:t>odbija se umiješač na strani tužitelja, Super Monitor d.o.o., s zahtjevom za naknadu parničnog troška</w:t>
      </w:r>
    </w:p>
    <w:p w:rsidRDefault="00D569D1" w:rsidP="00F51451" w:rsidR="00D569D1" w:rsidRPr="00E237EB">
      <w:pPr>
        <w:spacing w:after="0"/>
        <w:jc w:val="both"/>
        <w:rPr>
          <w:rFonts w:hAnsi="Times New Roman" w:ascii="Times New Roman"/>
          <w:sz w:val="24"/>
          <w:szCs w:val="24"/>
          <w:lang w:eastAsia="hr-HR"/>
        </w:rPr>
      </w:pPr>
      <w:r w:rsidRPr="00E237EB">
        <w:rPr>
          <w:rFonts w:hAnsi="Times New Roman" w:ascii="Times New Roman"/>
          <w:sz w:val="24"/>
          <w:szCs w:val="24"/>
          <w:lang w:eastAsia="hr-HR"/>
        </w:rPr>
        <w:t>Presliku Presude od 13.06.2017.g. stečajni upravitelj dostavlja na</w:t>
      </w:r>
      <w:r>
        <w:rPr>
          <w:rFonts w:hAnsi="Times New Roman" w:ascii="Times New Roman"/>
          <w:sz w:val="24"/>
          <w:szCs w:val="24"/>
          <w:lang w:eastAsia="hr-HR"/>
        </w:rPr>
        <w:t xml:space="preserve"> stečajni</w:t>
      </w:r>
      <w:r w:rsidRPr="00E237EB">
        <w:rPr>
          <w:rFonts w:hAnsi="Times New Roman" w:ascii="Times New Roman"/>
          <w:sz w:val="24"/>
          <w:szCs w:val="24"/>
          <w:lang w:eastAsia="hr-HR"/>
        </w:rPr>
        <w:t xml:space="preserve"> spis kao sastavni dio ovog</w:t>
      </w:r>
      <w:r>
        <w:rPr>
          <w:rFonts w:hAnsi="Times New Roman" w:ascii="Times New Roman"/>
          <w:sz w:val="24"/>
          <w:szCs w:val="24"/>
          <w:lang w:eastAsia="hr-HR"/>
        </w:rPr>
        <w:t xml:space="preserve"> I</w:t>
      </w:r>
      <w:r w:rsidRPr="00E237EB">
        <w:rPr>
          <w:rFonts w:hAnsi="Times New Roman" w:ascii="Times New Roman"/>
          <w:sz w:val="24"/>
          <w:szCs w:val="24"/>
          <w:lang w:eastAsia="hr-HR"/>
        </w:rPr>
        <w:t>zvješća.</w:t>
      </w:r>
    </w:p>
    <w:p w:rsidRDefault="00D569D1" w:rsidP="00F51451" w:rsidR="00D569D1">
      <w:pPr>
        <w:spacing w:after="0"/>
        <w:jc w:val="both"/>
        <w:rPr>
          <w:rFonts w:hAnsi="Times New Roman" w:ascii="Times New Roman"/>
          <w:sz w:val="24"/>
          <w:szCs w:val="24"/>
        </w:rPr>
      </w:pPr>
    </w:p>
    <w:p w:rsidRDefault="00D569D1" w:rsidP="00F51451" w:rsidR="00D569D1">
      <w:pPr>
        <w:spacing w:after="0"/>
        <w:jc w:val="both"/>
        <w:rPr>
          <w:rFonts w:hAnsi="Times New Roman" w:ascii="Times New Roman"/>
          <w:sz w:val="24"/>
          <w:szCs w:val="24"/>
        </w:rPr>
      </w:pPr>
      <w:r>
        <w:rPr>
          <w:rFonts w:hAnsi="Times New Roman" w:ascii="Times New Roman"/>
          <w:sz w:val="24"/>
          <w:szCs w:val="24"/>
        </w:rPr>
        <w:t>Rješenjem Trgovačkog suda u Zagrebu posl.broj P-632/2009-46 od dana 13.06.2017.g. naloženo je stečajnom dužniku plaćanje sudske pristojbe za Prvostupanjsku presudu u tom predmetu. Stečajni upravitelj je postupio po nalogu i potvrdu o uplati-doznaci, dostavio je na predmetni spis.</w:t>
      </w:r>
    </w:p>
    <w:p w:rsidRDefault="00D569D1" w:rsidP="00F51451" w:rsidR="00D569D1">
      <w:pPr>
        <w:spacing w:after="0"/>
        <w:jc w:val="both"/>
        <w:rPr>
          <w:rFonts w:hAnsi="Times New Roman" w:ascii="Times New Roman"/>
          <w:sz w:val="24"/>
          <w:szCs w:val="24"/>
        </w:rPr>
      </w:pPr>
    </w:p>
    <w:p w:rsidRDefault="00D569D1" w:rsidP="00F51451" w:rsidR="00D569D1" w:rsidRPr="00D02B11">
      <w:pPr>
        <w:spacing w:after="0"/>
        <w:jc w:val="both"/>
        <w:rPr>
          <w:rFonts w:hAnsi="Times New Roman" w:ascii="Times New Roman"/>
          <w:sz w:val="24"/>
          <w:szCs w:val="24"/>
        </w:rPr>
      </w:pPr>
    </w:p>
    <w:p w:rsidRDefault="00D569D1" w:rsidP="005122DB" w:rsidR="00D569D1" w:rsidRPr="00D02B11">
      <w:pPr>
        <w:spacing w:after="0"/>
        <w:rPr>
          <w:rFonts w:hAnsi="Times New Roman" w:ascii="Times New Roman"/>
          <w:sz w:val="24"/>
          <w:szCs w:val="24"/>
        </w:rPr>
      </w:pPr>
      <w:r w:rsidRPr="00D02B11">
        <w:rPr>
          <w:rFonts w:hAnsi="Times New Roman" w:ascii="Times New Roman"/>
          <w:sz w:val="24"/>
          <w:szCs w:val="24"/>
        </w:rPr>
        <w:t>II. STANJE STEČAJNE MASE</w:t>
      </w:r>
    </w:p>
    <w:p w:rsidRDefault="00D569D1" w:rsidP="005122DB" w:rsidR="00D569D1" w:rsidRPr="00D02B11">
      <w:pPr>
        <w:spacing w:after="0"/>
        <w:rPr>
          <w:rFonts w:hAnsi="Times New Roman" w:ascii="Times New Roman"/>
          <w:sz w:val="24"/>
          <w:szCs w:val="24"/>
        </w:rPr>
      </w:pPr>
    </w:p>
    <w:p w:rsidRDefault="00D569D1" w:rsidP="005122DB" w:rsidR="00D569D1" w:rsidRPr="00D02B11">
      <w:pPr>
        <w:spacing w:after="0"/>
        <w:jc w:val="both"/>
        <w:rPr>
          <w:rFonts w:hAnsi="Times New Roman" w:ascii="Times New Roman"/>
          <w:sz w:val="24"/>
          <w:szCs w:val="24"/>
        </w:rPr>
      </w:pPr>
      <w:r w:rsidRPr="00D02B11">
        <w:rPr>
          <w:rFonts w:hAnsi="Times New Roman" w:ascii="Times New Roman"/>
          <w:sz w:val="24"/>
          <w:szCs w:val="24"/>
        </w:rPr>
        <w:t>Neunovčena imovina nad kojom se vode parnice pobijanja pravnih radnji:</w:t>
      </w:r>
    </w:p>
    <w:p w:rsidRDefault="00D569D1" w:rsidP="00336787" w:rsidR="00D569D1" w:rsidRPr="00D02B11">
      <w:pPr>
        <w:numPr>
          <w:ilvl w:val="0"/>
          <w:numId w:val="15"/>
        </w:numPr>
        <w:spacing w:after="0"/>
        <w:jc w:val="both"/>
        <w:rPr>
          <w:rFonts w:hAnsi="Times New Roman" w:ascii="Times New Roman"/>
          <w:sz w:val="24"/>
          <w:szCs w:val="24"/>
        </w:rPr>
      </w:pPr>
      <w:r w:rsidRPr="00D02B11">
        <w:rPr>
          <w:rFonts w:hAnsi="Times New Roman" w:ascii="Times New Roman"/>
          <w:sz w:val="24"/>
          <w:szCs w:val="24"/>
        </w:rPr>
        <w:t>nekretnine upisane u zemljišnim knjigama Općinskog suda u Splitu, Zemljišnoknjižni odjel Solin, z.k.ul 1824, k.o. Solin, k.č.br. 4652/5, z.k.ul 4311, k.o. Solin, k.č.br. 4562/6, z.k.ul 3676, k.o. Solin, k.č.br. 4562/14, z.k.ul 3676, k.o. Solin, k.č.br. 4562/7, z.k.ul 3676, k.o. Solin, k.č.br. 4683/1, z.k.ul 2636, k.o. Solin, k.č.br. 4684/3, z.k.ul 2636, k.o. Solin, k.č.br. 4684/4, z.k.ul 2636, k.o. Solin, k.č.br. 4684/5, z.k.ul 3227, k.o. Solin, k.č.br. 4682/2, z.k.ul 5102, k.o. Solin, k.č.br. 4656/2, z.k.ul 5102, k.o. Solin, k.č.br. 4661/5, z.k.ul 4311, k.o. Solin, k.č.br. 4657/15, z.k.ul 4305, k.o. Solin, k.č.br. 4657/17, z.k.ul 4096, k.o. Solin, k.č.br. 4476/8, z.k.ul 1636, k.o. Solin, k.č.br. 4473/6, z.k.ul 3676, k.o. Solin, k.č.br. 4406/3, z.k.ul 3207, k.o. Solin, k.č.br. 4652/8, z.k.ul 732, k.o. Solin, k.č.br. 6689/2, z.k.ul 2636, k.o. Solin, k.č.br. 4684/8, z.k.ul 3824, k.o. Solin, k.č.br. 4679/4, z.k.ul 732, k.o. Solin, k.č.br. 6690/6, z.k.ul 731, k.o. Solin, k.č.br. 4653/1, z.k.ul 732, k.o. Solin, k.č.br. 6687/6, z.k.ul 5254, k.o. Solin, k.č.br. 6953, procijenjene vrijednosti u iznosu od 74.533.708,90 kn.</w:t>
      </w:r>
    </w:p>
    <w:p w:rsidRDefault="00D569D1" w:rsidP="00336787" w:rsidR="00D569D1" w:rsidRPr="00D02B11">
      <w:pPr>
        <w:spacing w:after="0"/>
        <w:ind w:left="708"/>
        <w:jc w:val="both"/>
        <w:rPr>
          <w:rFonts w:hAnsi="Times New Roman" w:ascii="Times New Roman"/>
          <w:sz w:val="24"/>
          <w:szCs w:val="24"/>
        </w:rPr>
      </w:pPr>
      <w:r w:rsidRPr="00D02B11">
        <w:rPr>
          <w:rFonts w:hAnsi="Times New Roman" w:ascii="Times New Roman"/>
          <w:sz w:val="24"/>
          <w:szCs w:val="24"/>
        </w:rPr>
        <w:t>Opterećene založnim pravom:</w:t>
      </w:r>
    </w:p>
    <w:p w:rsidRDefault="00D569D1" w:rsidP="00336787" w:rsidR="00D569D1" w:rsidRPr="00D02B11">
      <w:pPr>
        <w:numPr>
          <w:ilvl w:val="1"/>
          <w:numId w:val="15"/>
        </w:numPr>
        <w:spacing w:after="0"/>
        <w:jc w:val="both"/>
        <w:rPr>
          <w:rFonts w:hAnsi="Times New Roman" w:ascii="Times New Roman"/>
          <w:sz w:val="24"/>
          <w:szCs w:val="24"/>
        </w:rPr>
      </w:pPr>
      <w:r w:rsidRPr="00D02B11">
        <w:rPr>
          <w:rFonts w:hAnsi="Times New Roman" w:ascii="Times New Roman"/>
          <w:sz w:val="24"/>
          <w:szCs w:val="24"/>
        </w:rPr>
        <w:lastRenderedPageBreak/>
        <w:t>u iznosu od 10.883.272,30 kn z</w:t>
      </w:r>
      <w:r>
        <w:rPr>
          <w:rFonts w:hAnsi="Times New Roman" w:ascii="Times New Roman"/>
          <w:sz w:val="24"/>
          <w:szCs w:val="24"/>
        </w:rPr>
        <w:t>a korist ROBSON HOLDINGS d.o.o.</w:t>
      </w:r>
      <w:r w:rsidRPr="00D02B11">
        <w:rPr>
          <w:rFonts w:hAnsi="Times New Roman" w:ascii="Times New Roman"/>
          <w:sz w:val="24"/>
          <w:szCs w:val="24"/>
        </w:rPr>
        <w:t>, Zagreb, Radnička cesta 27, temeljem Ugovora o izdavanju garancije za uredno vraćanje kredita, Ugovor broj G-073-29/98 od 27.11.1998.g., zaprimljeno 21.09.2005.g. pod brojem Z-1251/05 (Z-5376/99)</w:t>
      </w:r>
    </w:p>
    <w:p w:rsidRDefault="00D569D1" w:rsidP="00336787" w:rsidR="00D569D1">
      <w:pPr>
        <w:numPr>
          <w:ilvl w:val="1"/>
          <w:numId w:val="15"/>
        </w:numPr>
        <w:spacing w:after="0"/>
        <w:jc w:val="both"/>
        <w:rPr>
          <w:rFonts w:hAnsi="Times New Roman" w:ascii="Times New Roman"/>
          <w:sz w:val="24"/>
          <w:szCs w:val="24"/>
        </w:rPr>
      </w:pPr>
      <w:r w:rsidRPr="00D02B11">
        <w:rPr>
          <w:rFonts w:hAnsi="Times New Roman" w:ascii="Times New Roman"/>
          <w:sz w:val="24"/>
          <w:szCs w:val="24"/>
        </w:rPr>
        <w:t xml:space="preserve">u iznosu od 346.000,00 USD za korist Zagrebačka banka – Pomorska banka d.d. Split, temeljem Ugovora o kreditu br. 278/99 i </w:t>
      </w:r>
      <w:r>
        <w:rPr>
          <w:rFonts w:hAnsi="Times New Roman" w:ascii="Times New Roman"/>
          <w:sz w:val="24"/>
          <w:szCs w:val="24"/>
        </w:rPr>
        <w:t>S</w:t>
      </w:r>
      <w:r w:rsidRPr="00D02B11">
        <w:rPr>
          <w:rFonts w:hAnsi="Times New Roman" w:ascii="Times New Roman"/>
          <w:sz w:val="24"/>
          <w:szCs w:val="24"/>
        </w:rPr>
        <w:t>porazuma radi osiguranja novčane tražbine zasnivanjem založnog prava od 21.06.1999.g., zaprimljeno 21.09.2005.g. pod brojem Z-1272/05 (Z-5657/99)</w:t>
      </w:r>
    </w:p>
    <w:p w:rsidRDefault="00D569D1" w:rsidP="00336787" w:rsidR="00D569D1" w:rsidRPr="00D02B11">
      <w:pPr>
        <w:numPr>
          <w:ilvl w:val="1"/>
          <w:numId w:val="15"/>
        </w:numPr>
        <w:spacing w:after="0"/>
        <w:jc w:val="both"/>
        <w:rPr>
          <w:rFonts w:hAnsi="Times New Roman" w:ascii="Times New Roman"/>
          <w:sz w:val="24"/>
          <w:szCs w:val="24"/>
        </w:rPr>
      </w:pPr>
      <w:r w:rsidRPr="00D02B11">
        <w:rPr>
          <w:rFonts w:hAnsi="Times New Roman" w:ascii="Times New Roman"/>
          <w:sz w:val="24"/>
          <w:szCs w:val="24"/>
        </w:rPr>
        <w:t>Dana 23.06.2014.g. pod brojem Z-1703/2014 zaprimljena Z</w:t>
      </w:r>
      <w:r>
        <w:rPr>
          <w:rFonts w:hAnsi="Times New Roman" w:ascii="Times New Roman"/>
          <w:sz w:val="24"/>
          <w:szCs w:val="24"/>
        </w:rPr>
        <w:t>abilježba</w:t>
      </w:r>
      <w:r w:rsidRPr="00D02B11">
        <w:rPr>
          <w:rFonts w:hAnsi="Times New Roman" w:ascii="Times New Roman"/>
          <w:sz w:val="24"/>
          <w:szCs w:val="24"/>
        </w:rPr>
        <w:t>, O</w:t>
      </w:r>
      <w:r>
        <w:rPr>
          <w:rFonts w:hAnsi="Times New Roman" w:ascii="Times New Roman"/>
          <w:sz w:val="24"/>
          <w:szCs w:val="24"/>
        </w:rPr>
        <w:t>vrha</w:t>
      </w:r>
      <w:r w:rsidRPr="00D02B11">
        <w:rPr>
          <w:rFonts w:hAnsi="Times New Roman" w:ascii="Times New Roman"/>
          <w:sz w:val="24"/>
          <w:szCs w:val="24"/>
        </w:rPr>
        <w:t>, R</w:t>
      </w:r>
      <w:r>
        <w:rPr>
          <w:rFonts w:hAnsi="Times New Roman" w:ascii="Times New Roman"/>
          <w:sz w:val="24"/>
          <w:szCs w:val="24"/>
        </w:rPr>
        <w:t>ješenje o ovrsi broj</w:t>
      </w:r>
      <w:r w:rsidRPr="00D02B11">
        <w:rPr>
          <w:rFonts w:hAnsi="Times New Roman" w:ascii="Times New Roman"/>
          <w:sz w:val="24"/>
          <w:szCs w:val="24"/>
        </w:rPr>
        <w:t xml:space="preserve"> OVR- 3637/14, zabilježba ovrhe ovrhovoditelja ROBSON HOLDING d.o.o., Radnička cesta 27, Zagreb na č.zem.: 4652/15, 4652/16, 4652/17, 4652/18, 4652/19, 4652/20, 4652/21, 4652/22, 4652/23, 4652/24, 4652/25, 4652/26, 4652/27, 4652/28, 4652/29, 4652/30, 4652/31, 4652/32, zk. ul. 1824; protiv ovršenika SALONIT d.d. u stečaju, Vranjic, Krešimirova ulica b.b., OIB: 14755697651, utvrđivanjem vrijednosti navedene nekretnine prodajom i namirenjem ovrhovoditelja ROBSON HOLDING d.o.o. iz iznosa dobivenog prodajom.</w:t>
      </w:r>
    </w:p>
    <w:p w:rsidRDefault="00D569D1" w:rsidP="005122DB" w:rsidR="00D569D1" w:rsidRPr="00D02B11">
      <w:pPr>
        <w:spacing w:after="0"/>
        <w:jc w:val="both"/>
        <w:rPr>
          <w:rFonts w:hAnsi="Times New Roman" w:ascii="Times New Roman"/>
          <w:sz w:val="24"/>
          <w:szCs w:val="24"/>
        </w:rPr>
      </w:pPr>
    </w:p>
    <w:p w:rsidRDefault="00D569D1" w:rsidP="005122DB" w:rsidR="00D569D1" w:rsidRPr="00D02B11">
      <w:pPr>
        <w:spacing w:after="0"/>
        <w:jc w:val="both"/>
        <w:rPr>
          <w:rFonts w:hAnsi="Times New Roman" w:ascii="Times New Roman"/>
          <w:sz w:val="24"/>
          <w:szCs w:val="24"/>
        </w:rPr>
      </w:pPr>
      <w:r w:rsidRPr="00D02B11">
        <w:rPr>
          <w:rFonts w:hAnsi="Times New Roman" w:ascii="Times New Roman"/>
          <w:sz w:val="24"/>
          <w:szCs w:val="24"/>
        </w:rPr>
        <w:t xml:space="preserve">Stanje žiro računa stečajnog dužnika na dan </w:t>
      </w:r>
      <w:r>
        <w:rPr>
          <w:rFonts w:hAnsi="Times New Roman" w:ascii="Times New Roman"/>
          <w:sz w:val="24"/>
          <w:szCs w:val="24"/>
        </w:rPr>
        <w:t>30</w:t>
      </w:r>
      <w:r w:rsidRPr="00D02B11">
        <w:rPr>
          <w:rFonts w:hAnsi="Times New Roman" w:ascii="Times New Roman"/>
          <w:sz w:val="24"/>
          <w:szCs w:val="24"/>
        </w:rPr>
        <w:t>.0</w:t>
      </w:r>
      <w:r>
        <w:rPr>
          <w:rFonts w:hAnsi="Times New Roman" w:ascii="Times New Roman"/>
          <w:sz w:val="24"/>
          <w:szCs w:val="24"/>
        </w:rPr>
        <w:t>6</w:t>
      </w:r>
      <w:r w:rsidRPr="00D02B11">
        <w:rPr>
          <w:rFonts w:hAnsi="Times New Roman" w:ascii="Times New Roman"/>
          <w:sz w:val="24"/>
          <w:szCs w:val="24"/>
        </w:rPr>
        <w:t>.2017.g. iznosi 1.5</w:t>
      </w:r>
      <w:r>
        <w:rPr>
          <w:rFonts w:hAnsi="Times New Roman" w:ascii="Times New Roman"/>
          <w:sz w:val="24"/>
          <w:szCs w:val="24"/>
        </w:rPr>
        <w:t>88</w:t>
      </w:r>
      <w:r w:rsidRPr="00D02B11">
        <w:rPr>
          <w:rFonts w:hAnsi="Times New Roman" w:ascii="Times New Roman"/>
          <w:sz w:val="24"/>
          <w:szCs w:val="24"/>
        </w:rPr>
        <w:t>.</w:t>
      </w:r>
      <w:r>
        <w:rPr>
          <w:rFonts w:hAnsi="Times New Roman" w:ascii="Times New Roman"/>
          <w:sz w:val="24"/>
          <w:szCs w:val="24"/>
        </w:rPr>
        <w:t>224</w:t>
      </w:r>
      <w:r w:rsidRPr="00D02B11">
        <w:rPr>
          <w:rFonts w:hAnsi="Times New Roman" w:ascii="Times New Roman"/>
          <w:sz w:val="24"/>
          <w:szCs w:val="24"/>
        </w:rPr>
        <w:t>,</w:t>
      </w:r>
      <w:r>
        <w:rPr>
          <w:rFonts w:hAnsi="Times New Roman" w:ascii="Times New Roman"/>
          <w:sz w:val="24"/>
          <w:szCs w:val="24"/>
        </w:rPr>
        <w:t>37</w:t>
      </w:r>
      <w:r w:rsidRPr="00D02B11">
        <w:rPr>
          <w:rFonts w:hAnsi="Times New Roman" w:ascii="Times New Roman"/>
          <w:sz w:val="24"/>
          <w:szCs w:val="24"/>
        </w:rPr>
        <w:t xml:space="preserve"> kn.</w:t>
      </w:r>
    </w:p>
    <w:p w:rsidRDefault="00D569D1" w:rsidP="005122DB" w:rsidR="00D569D1" w:rsidRPr="00D02B11">
      <w:pPr>
        <w:spacing w:after="0"/>
        <w:jc w:val="both"/>
        <w:rPr>
          <w:rFonts w:hAnsi="Times New Roman" w:ascii="Times New Roman"/>
          <w:sz w:val="24"/>
          <w:szCs w:val="24"/>
        </w:rPr>
      </w:pPr>
    </w:p>
    <w:p w:rsidRDefault="00D569D1" w:rsidP="005122DB" w:rsidR="00D569D1" w:rsidRPr="00D02B11">
      <w:pPr>
        <w:spacing w:after="0"/>
        <w:jc w:val="both"/>
        <w:rPr>
          <w:rFonts w:hAnsi="Times New Roman" w:ascii="Times New Roman"/>
          <w:sz w:val="24"/>
          <w:szCs w:val="24"/>
        </w:rPr>
      </w:pPr>
    </w:p>
    <w:p w:rsidRDefault="00D569D1" w:rsidP="005122DB" w:rsidR="00D569D1" w:rsidRPr="00D02B11">
      <w:pPr>
        <w:spacing w:after="0"/>
        <w:rPr>
          <w:rFonts w:hAnsi="Times New Roman" w:ascii="Times New Roman"/>
          <w:sz w:val="24"/>
          <w:szCs w:val="24"/>
        </w:rPr>
      </w:pPr>
      <w:r w:rsidRPr="00D02B11">
        <w:rPr>
          <w:rFonts w:hAnsi="Times New Roman" w:ascii="Times New Roman"/>
          <w:sz w:val="24"/>
          <w:szCs w:val="24"/>
        </w:rPr>
        <w:t>III. RADNJE KOJE ĆE SE PODUZETI U NAREDNOM RAZDOBLJU</w:t>
      </w:r>
    </w:p>
    <w:p w:rsidRDefault="00D569D1" w:rsidP="005122DB" w:rsidR="00D569D1">
      <w:pPr>
        <w:spacing w:after="0"/>
        <w:jc w:val="both"/>
        <w:rPr>
          <w:rFonts w:hAnsi="Times New Roman" w:ascii="Times New Roman"/>
          <w:sz w:val="24"/>
          <w:szCs w:val="24"/>
        </w:rPr>
      </w:pPr>
    </w:p>
    <w:p w:rsidRDefault="00D569D1" w:rsidP="005122DB" w:rsidR="00D569D1">
      <w:pPr>
        <w:spacing w:after="0"/>
        <w:jc w:val="both"/>
        <w:rPr>
          <w:rFonts w:hAnsi="Times New Roman" w:ascii="Times New Roman"/>
          <w:sz w:val="24"/>
          <w:szCs w:val="24"/>
        </w:rPr>
      </w:pPr>
      <w:r>
        <w:rPr>
          <w:rFonts w:hAnsi="Times New Roman" w:ascii="Times New Roman"/>
          <w:sz w:val="24"/>
          <w:szCs w:val="24"/>
        </w:rPr>
        <w:t>Radi izjavljene revizije</w:t>
      </w:r>
      <w:r w:rsidRPr="00593BB0">
        <w:rPr>
          <w:rFonts w:hAnsi="Times New Roman" w:ascii="Times New Roman"/>
          <w:sz w:val="24"/>
          <w:szCs w:val="24"/>
        </w:rPr>
        <w:t xml:space="preserve"> </w:t>
      </w:r>
      <w:r>
        <w:rPr>
          <w:rFonts w:hAnsi="Times New Roman" w:ascii="Times New Roman"/>
          <w:sz w:val="24"/>
          <w:szCs w:val="24"/>
        </w:rPr>
        <w:t>t</w:t>
      </w:r>
      <w:r w:rsidRPr="00D02B11">
        <w:rPr>
          <w:rFonts w:hAnsi="Times New Roman" w:ascii="Times New Roman"/>
          <w:sz w:val="24"/>
          <w:szCs w:val="24"/>
        </w:rPr>
        <w:t>uženik</w:t>
      </w:r>
      <w:r>
        <w:rPr>
          <w:rFonts w:hAnsi="Times New Roman" w:ascii="Times New Roman"/>
          <w:sz w:val="24"/>
          <w:szCs w:val="24"/>
        </w:rPr>
        <w:t>a</w:t>
      </w:r>
      <w:r w:rsidRPr="00D02B11">
        <w:rPr>
          <w:rFonts w:hAnsi="Times New Roman" w:ascii="Times New Roman"/>
          <w:sz w:val="24"/>
          <w:szCs w:val="24"/>
        </w:rPr>
        <w:t xml:space="preserve"> AD PLASTIK d.d.</w:t>
      </w:r>
      <w:r>
        <w:rPr>
          <w:rFonts w:hAnsi="Times New Roman" w:ascii="Times New Roman"/>
          <w:sz w:val="24"/>
          <w:szCs w:val="24"/>
        </w:rPr>
        <w:t xml:space="preserve">, u pravnoj stvari </w:t>
      </w:r>
      <w:r w:rsidRPr="00D02B11">
        <w:rPr>
          <w:rFonts w:hAnsi="Times New Roman" w:ascii="Times New Roman"/>
          <w:sz w:val="24"/>
          <w:szCs w:val="24"/>
        </w:rPr>
        <w:t>posl.broj P-3603/2012</w:t>
      </w:r>
      <w:r>
        <w:rPr>
          <w:rFonts w:hAnsi="Times New Roman" w:ascii="Times New Roman"/>
          <w:sz w:val="24"/>
          <w:szCs w:val="24"/>
        </w:rPr>
        <w:t xml:space="preserve">, pri </w:t>
      </w:r>
      <w:r w:rsidRPr="00D02B11">
        <w:rPr>
          <w:rFonts w:hAnsi="Times New Roman" w:ascii="Times New Roman"/>
          <w:sz w:val="24"/>
          <w:szCs w:val="24"/>
        </w:rPr>
        <w:t>Trgovačko</w:t>
      </w:r>
      <w:r>
        <w:rPr>
          <w:rFonts w:hAnsi="Times New Roman" w:ascii="Times New Roman"/>
          <w:sz w:val="24"/>
          <w:szCs w:val="24"/>
        </w:rPr>
        <w:t>m</w:t>
      </w:r>
      <w:r w:rsidRPr="00D02B11">
        <w:rPr>
          <w:rFonts w:hAnsi="Times New Roman" w:ascii="Times New Roman"/>
          <w:sz w:val="24"/>
          <w:szCs w:val="24"/>
        </w:rPr>
        <w:t xml:space="preserve"> sud</w:t>
      </w:r>
      <w:r>
        <w:rPr>
          <w:rFonts w:hAnsi="Times New Roman" w:ascii="Times New Roman"/>
          <w:sz w:val="24"/>
          <w:szCs w:val="24"/>
        </w:rPr>
        <w:t>u</w:t>
      </w:r>
      <w:r w:rsidRPr="00D02B11">
        <w:rPr>
          <w:rFonts w:hAnsi="Times New Roman" w:ascii="Times New Roman"/>
          <w:sz w:val="24"/>
          <w:szCs w:val="24"/>
        </w:rPr>
        <w:t xml:space="preserve"> u Zagrebu,</w:t>
      </w:r>
      <w:r>
        <w:rPr>
          <w:rFonts w:hAnsi="Times New Roman" w:ascii="Times New Roman"/>
          <w:sz w:val="24"/>
          <w:szCs w:val="24"/>
        </w:rPr>
        <w:t xml:space="preserve"> stečajni upravitelj neće, za sada, predložiti djelomičnu diobu prikupljenih sredstava radi djelomičnog namirenja vjerovnika.</w:t>
      </w:r>
    </w:p>
    <w:p w:rsidRDefault="00D569D1" w:rsidP="005122DB" w:rsidR="00D569D1" w:rsidRPr="00D02B11">
      <w:pPr>
        <w:spacing w:after="0"/>
        <w:jc w:val="both"/>
        <w:rPr>
          <w:rFonts w:hAnsi="Times New Roman" w:ascii="Times New Roman"/>
          <w:sz w:val="24"/>
          <w:szCs w:val="24"/>
        </w:rPr>
      </w:pPr>
    </w:p>
    <w:p w:rsidRDefault="00D569D1" w:rsidP="00F20B0C" w:rsidR="00D569D1" w:rsidRPr="00D02B11">
      <w:pPr>
        <w:jc w:val="both"/>
        <w:rPr>
          <w:rFonts w:hAnsi="Times New Roman" w:ascii="Times New Roman"/>
          <w:sz w:val="24"/>
          <w:szCs w:val="24"/>
        </w:rPr>
      </w:pPr>
      <w:r w:rsidRPr="00D02B11">
        <w:rPr>
          <w:rFonts w:hAnsi="Times New Roman" w:ascii="Times New Roman"/>
          <w:sz w:val="24"/>
          <w:szCs w:val="24"/>
        </w:rPr>
        <w:t>Nastaviti</w:t>
      </w:r>
      <w:r>
        <w:rPr>
          <w:rFonts w:hAnsi="Times New Roman" w:ascii="Times New Roman"/>
          <w:sz w:val="24"/>
          <w:szCs w:val="24"/>
        </w:rPr>
        <w:t xml:space="preserve"> će</w:t>
      </w:r>
      <w:r w:rsidRPr="00D02B11">
        <w:rPr>
          <w:rFonts w:hAnsi="Times New Roman" w:ascii="Times New Roman"/>
          <w:sz w:val="24"/>
          <w:szCs w:val="24"/>
        </w:rPr>
        <w:t xml:space="preserve"> </w:t>
      </w:r>
      <w:r>
        <w:rPr>
          <w:rFonts w:hAnsi="Times New Roman" w:ascii="Times New Roman"/>
          <w:sz w:val="24"/>
          <w:szCs w:val="24"/>
        </w:rPr>
        <w:t>sa</w:t>
      </w:r>
      <w:r w:rsidRPr="00D02B11">
        <w:rPr>
          <w:rFonts w:hAnsi="Times New Roman" w:ascii="Times New Roman"/>
          <w:sz w:val="24"/>
          <w:szCs w:val="24"/>
        </w:rPr>
        <w:t xml:space="preserve"> sudjelovanjem u sudskim postupcima koji su u tijeku, kao i s urednim vođenjem knjigovodstva stečajnog dužnika i predavanjem svih zakonom propisanih izvješća i obrazaca nadležnim institucijama.</w:t>
      </w:r>
    </w:p>
    <w:p w:rsidRDefault="00D569D1" w:rsidP="005122DB" w:rsidR="00D569D1" w:rsidRPr="00D02B11">
      <w:pPr>
        <w:spacing w:after="0"/>
        <w:jc w:val="both"/>
        <w:rPr>
          <w:rFonts w:hAnsi="Times New Roman" w:ascii="Times New Roman"/>
          <w:sz w:val="24"/>
          <w:szCs w:val="24"/>
        </w:rPr>
      </w:pPr>
    </w:p>
    <w:p w:rsidRDefault="00D569D1" w:rsidP="005122DB" w:rsidR="00D569D1" w:rsidRPr="00D02B11">
      <w:pPr>
        <w:spacing w:after="0"/>
        <w:jc w:val="both"/>
        <w:rPr>
          <w:rFonts w:hAnsi="Times New Roman" w:ascii="Times New Roman"/>
          <w:sz w:val="24"/>
          <w:szCs w:val="24"/>
        </w:rPr>
      </w:pPr>
    </w:p>
    <w:p w:rsidRDefault="00D569D1" w:rsidP="005122DB" w:rsidR="00D569D1" w:rsidRPr="00D02B11">
      <w:pPr>
        <w:spacing w:after="0"/>
        <w:rPr>
          <w:rFonts w:hAnsi="Times New Roman" w:ascii="Times New Roman"/>
          <w:sz w:val="24"/>
          <w:szCs w:val="24"/>
        </w:rPr>
      </w:pPr>
      <w:r w:rsidRPr="00D02B11">
        <w:rPr>
          <w:rFonts w:hAnsi="Times New Roman" w:ascii="Times New Roman"/>
          <w:sz w:val="24"/>
          <w:szCs w:val="24"/>
        </w:rPr>
        <w:t>Mjesto i datum:</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t>Stečajni upravitelj:</w:t>
      </w:r>
    </w:p>
    <w:p w:rsidRDefault="00D569D1" w:rsidP="005122DB" w:rsidR="00D569D1" w:rsidRPr="00D02B11">
      <w:pPr>
        <w:spacing w:after="0"/>
        <w:rPr>
          <w:rFonts w:hAnsi="Times New Roman" w:ascii="Times New Roman"/>
          <w:sz w:val="24"/>
          <w:szCs w:val="24"/>
        </w:rPr>
      </w:pPr>
      <w:r w:rsidRPr="00D02B11">
        <w:rPr>
          <w:rFonts w:hAnsi="Times New Roman" w:ascii="Times New Roman"/>
          <w:sz w:val="24"/>
          <w:szCs w:val="24"/>
        </w:rPr>
        <w:t xml:space="preserve">Zagreb, </w:t>
      </w:r>
      <w:r>
        <w:rPr>
          <w:rFonts w:hAnsi="Times New Roman" w:ascii="Times New Roman"/>
          <w:sz w:val="24"/>
          <w:szCs w:val="24"/>
        </w:rPr>
        <w:t>10</w:t>
      </w:r>
      <w:r w:rsidRPr="00D02B11">
        <w:rPr>
          <w:rFonts w:hAnsi="Times New Roman" w:ascii="Times New Roman"/>
          <w:sz w:val="24"/>
          <w:szCs w:val="24"/>
        </w:rPr>
        <w:t>.0</w:t>
      </w:r>
      <w:r>
        <w:rPr>
          <w:rFonts w:hAnsi="Times New Roman" w:ascii="Times New Roman"/>
          <w:sz w:val="24"/>
          <w:szCs w:val="24"/>
        </w:rPr>
        <w:t>7</w:t>
      </w:r>
      <w:r w:rsidRPr="00D02B11">
        <w:rPr>
          <w:rFonts w:hAnsi="Times New Roman" w:ascii="Times New Roman"/>
          <w:sz w:val="24"/>
          <w:szCs w:val="24"/>
        </w:rPr>
        <w:t>.2017.</w:t>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r>
      <w:r w:rsidRPr="00D02B11">
        <w:rPr>
          <w:rFonts w:hAnsi="Times New Roman" w:ascii="Times New Roman"/>
          <w:sz w:val="24"/>
          <w:szCs w:val="24"/>
        </w:rPr>
        <w:tab/>
        <w:t>Pero Hrkać, dipl.oec.</w:t>
      </w:r>
    </w:p>
    <w:sectPr w:rsidSect="003209B5" w:rsidR="00D569D1" w:rsidRPr="00D02B11">
      <w:footerReference w:type="even" r:id="rId9"/>
      <w:footerReference w:type="default" r:id="rId10"/>
      <w:pgSz w:h="16838" w:w="11906"/>
      <w:pgMar w:gutter="0" w:footer="709" w:header="709" w:left="1418"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9D1" w:rsidR="00D569D1">
      <w:r>
        <w:separator/>
      </w:r>
    </w:p>
  </w:endnote>
  <w:endnote w:id="0" w:type="continuationSeparator">
    <w:p w:rsidRDefault="00D569D1" w:rsidR="00D569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9D1" w:rsidP="00413F06" w:rsidR="00D569D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69D1" w:rsidP="00C414D3" w:rsidR="00D569D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9D1" w:rsidP="00413F06" w:rsidR="00D569D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518A">
      <w:rPr>
        <w:rStyle w:val="Brojstranice"/>
        <w:noProof/>
      </w:rPr>
      <w:t>3</w:t>
    </w:r>
    <w:r>
      <w:rPr>
        <w:rStyle w:val="Brojstranice"/>
      </w:rPr>
      <w:fldChar w:fldCharType="end"/>
    </w:r>
  </w:p>
  <w:p w:rsidRDefault="00D569D1" w:rsidP="00C414D3" w:rsidR="00D569D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9D1" w:rsidR="00D569D1">
      <w:r>
        <w:separator/>
      </w:r>
    </w:p>
  </w:footnote>
  <w:footnote w:id="0" w:type="continuationSeparator">
    <w:p w:rsidRDefault="00D569D1" w:rsidR="00D569D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D783A"/>
    <w:multiLevelType w:val="hybridMultilevel"/>
    <w:tmpl w:val="9AE01F2C"/>
    <w:lvl w:tplc="041A000F" w:ilvl="0">
      <w:start w:val="1"/>
      <w:numFmt w:val="decimal"/>
      <w:lvlText w:val="%1."/>
      <w:lvlJc w:val="left"/>
      <w:pPr>
        <w:tabs>
          <w:tab w:pos="720" w:val="num"/>
        </w:tabs>
        <w:ind w:hanging="360" w:left="720"/>
      </w:pPr>
      <w:rPr>
        <w:rFonts w:cs="Times New Roman" w:hint="default"/>
      </w:rPr>
    </w:lvl>
    <w:lvl w:tplc="A140AC4A" w:ilvl="1">
      <w:start w:val="1"/>
      <w:numFmt w:val="lowerLetter"/>
      <w:lvlText w:val="%2)"/>
      <w:lvlJc w:val="left"/>
      <w:pPr>
        <w:tabs>
          <w:tab w:pos="1440" w:val="num"/>
        </w:tabs>
        <w:ind w:hanging="360" w:left="1440"/>
      </w:pPr>
      <w:rPr>
        <w:rFonts w:cs="Times New Roman" w:hint="default"/>
        <w:b w:val="false"/>
      </w:rPr>
    </w:lvl>
    <w:lvl w:tplc="041A0001" w:ilvl="2">
      <w:start w:val="1"/>
      <w:numFmt w:val="bullet"/>
      <w:lvlText w:val=""/>
      <w:lvlJc w:val="left"/>
      <w:pPr>
        <w:tabs>
          <w:tab w:pos="2340" w:val="num"/>
        </w:tabs>
        <w:ind w:hanging="360" w:left="2340"/>
      </w:pPr>
      <w:rPr>
        <w:rFonts w:hAnsi="Symbol" w:ascii="Symbol" w:hint="default"/>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A8A7689"/>
    <w:multiLevelType w:val="hybridMultilevel"/>
    <w:tmpl w:val="72246BF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0B6C4CBC"/>
    <w:multiLevelType w:val="hybridMultilevel"/>
    <w:tmpl w:val="38AA2D3C"/>
    <w:lvl w:tplc="C5D4011E" w:ilvl="0">
      <w:start w:val="1"/>
      <w:numFmt w:val="bullet"/>
      <w:lvlText w:val="-"/>
      <w:lvlJc w:val="left"/>
      <w:pPr>
        <w:tabs>
          <w:tab w:pos="1065" w:val="num"/>
        </w:tabs>
        <w:ind w:hanging="360" w:left="1065"/>
      </w:pPr>
      <w:rPr>
        <w:rFonts w:eastAsia="SimSu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193C5377"/>
    <w:multiLevelType w:val="hybridMultilevel"/>
    <w:tmpl w:val="8CDC4F94"/>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26C4794D"/>
    <w:multiLevelType w:val="hybridMultilevel"/>
    <w:tmpl w:val="45C285A2"/>
    <w:lvl w:tplc="1346B312" w:ilvl="0">
      <w:start w:val="29"/>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FBE35C6"/>
    <w:multiLevelType w:val="hybridMultilevel"/>
    <w:tmpl w:val="FBFEC1EE"/>
    <w:lvl w:tplc="850A3DAC" w:ilvl="0">
      <w:numFmt w:val="bullet"/>
      <w:lvlText w:val="-"/>
      <w:lvlJc w:val="left"/>
      <w:pPr>
        <w:tabs>
          <w:tab w:pos="1080" w:val="num"/>
        </w:tabs>
        <w:ind w:hanging="360" w:left="1080"/>
      </w:pPr>
      <w:rPr>
        <w:rFonts w:eastAsia="Times New Roman" w:hAnsi="Verdana" w:ascii="Verdana" w:hint="default"/>
      </w:rPr>
    </w:lvl>
    <w:lvl w:tplc="041A000F" w:ilvl="1">
      <w:start w:val="1"/>
      <w:numFmt w:val="decimal"/>
      <w:lvlText w:val="%2."/>
      <w:lvlJc w:val="left"/>
      <w:pPr>
        <w:tabs>
          <w:tab w:pos="1785" w:val="num"/>
        </w:tabs>
        <w:ind w:hanging="360" w:left="1785"/>
      </w:pPr>
      <w:rPr>
        <w:rFonts w:cs="Times New Roman"/>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6">
    <w:nsid w:val="327312D6"/>
    <w:multiLevelType w:val="hybridMultilevel"/>
    <w:tmpl w:val="52306C58"/>
    <w:lvl w:tplc="041A000F"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339A58DD"/>
    <w:multiLevelType w:val="hybridMultilevel"/>
    <w:tmpl w:val="9B907ACE"/>
    <w:lvl w:tplc="8DF808B0" w:ilvl="0">
      <w:numFmt w:val="bullet"/>
      <w:lvlText w:val="-"/>
      <w:lvlJc w:val="left"/>
      <w:pPr>
        <w:tabs>
          <w:tab w:pos="720" w:val="num"/>
        </w:tabs>
        <w:ind w:hanging="360" w:left="720"/>
      </w:pPr>
      <w:rPr>
        <w:rFonts w:eastAsia="SimSu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79D3430"/>
    <w:multiLevelType w:val="hybridMultilevel"/>
    <w:tmpl w:val="DD627D74"/>
    <w:lvl w:tplc="FDEAC882" w:ilvl="0">
      <w:start w:val="1"/>
      <w:numFmt w:val="bullet"/>
      <w:lvlText w:val="-"/>
      <w:lvlJc w:val="left"/>
      <w:pPr>
        <w:tabs>
          <w:tab w:pos="720" w:val="num"/>
        </w:tabs>
        <w:ind w:hanging="360" w:left="720"/>
      </w:pPr>
      <w:rPr>
        <w:rFonts w:eastAsia="SimSu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2E75886"/>
    <w:multiLevelType w:val="hybridMultilevel"/>
    <w:tmpl w:val="AF2A78DA"/>
    <w:lvl w:tplc="D9F07826" w:ilvl="0">
      <w:start w:val="1"/>
      <w:numFmt w:val="decimal"/>
      <w:lvlText w:val="%1."/>
      <w:lvlJc w:val="left"/>
      <w:pPr>
        <w:tabs>
          <w:tab w:pos="1065" w:val="num"/>
        </w:tabs>
        <w:ind w:hanging="705" w:left="1065"/>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46ED3820"/>
    <w:multiLevelType w:val="hybridMultilevel"/>
    <w:tmpl w:val="84CE7872"/>
    <w:lvl w:tplc="17E64FDE" w:ilvl="0">
      <w:start w:val="1"/>
      <w:numFmt w:val="upperRoman"/>
      <w:lvlText w:val="%1."/>
      <w:lvlJc w:val="left"/>
      <w:pPr>
        <w:tabs>
          <w:tab w:pos="2130" w:val="num"/>
        </w:tabs>
        <w:ind w:hanging="720" w:left="2130"/>
      </w:pPr>
      <w:rPr>
        <w:rFonts w:cs="Times New Roman" w:eastAsia="Times New Roman" w:hAnsi="Times New Roman" w:ascii="Times New Roman"/>
      </w:rPr>
    </w:lvl>
    <w:lvl w:tentative="true" w:tplc="041A0019" w:ilvl="1">
      <w:start w:val="1"/>
      <w:numFmt w:val="lowerLetter"/>
      <w:lvlText w:val="%2."/>
      <w:lvlJc w:val="left"/>
      <w:pPr>
        <w:tabs>
          <w:tab w:pos="2490" w:val="num"/>
        </w:tabs>
        <w:ind w:hanging="360" w:left="2490"/>
      </w:pPr>
      <w:rPr>
        <w:rFonts w:cs="Times New Roman"/>
      </w:rPr>
    </w:lvl>
    <w:lvl w:tentative="true" w:tplc="041A001B" w:ilvl="2">
      <w:start w:val="1"/>
      <w:numFmt w:val="lowerRoman"/>
      <w:lvlText w:val="%3."/>
      <w:lvlJc w:val="right"/>
      <w:pPr>
        <w:tabs>
          <w:tab w:pos="3210" w:val="num"/>
        </w:tabs>
        <w:ind w:hanging="180" w:left="3210"/>
      </w:pPr>
      <w:rPr>
        <w:rFonts w:cs="Times New Roman"/>
      </w:rPr>
    </w:lvl>
    <w:lvl w:tentative="true" w:tplc="041A000F" w:ilvl="3">
      <w:start w:val="1"/>
      <w:numFmt w:val="decimal"/>
      <w:lvlText w:val="%4."/>
      <w:lvlJc w:val="left"/>
      <w:pPr>
        <w:tabs>
          <w:tab w:pos="3930" w:val="num"/>
        </w:tabs>
        <w:ind w:hanging="360" w:left="3930"/>
      </w:pPr>
      <w:rPr>
        <w:rFonts w:cs="Times New Roman"/>
      </w:rPr>
    </w:lvl>
    <w:lvl w:tentative="true" w:tplc="041A0019" w:ilvl="4">
      <w:start w:val="1"/>
      <w:numFmt w:val="lowerLetter"/>
      <w:lvlText w:val="%5."/>
      <w:lvlJc w:val="left"/>
      <w:pPr>
        <w:tabs>
          <w:tab w:pos="4650" w:val="num"/>
        </w:tabs>
        <w:ind w:hanging="360" w:left="4650"/>
      </w:pPr>
      <w:rPr>
        <w:rFonts w:cs="Times New Roman"/>
      </w:rPr>
    </w:lvl>
    <w:lvl w:tentative="true" w:tplc="041A001B" w:ilvl="5">
      <w:start w:val="1"/>
      <w:numFmt w:val="lowerRoman"/>
      <w:lvlText w:val="%6."/>
      <w:lvlJc w:val="right"/>
      <w:pPr>
        <w:tabs>
          <w:tab w:pos="5370" w:val="num"/>
        </w:tabs>
        <w:ind w:hanging="180" w:left="5370"/>
      </w:pPr>
      <w:rPr>
        <w:rFonts w:cs="Times New Roman"/>
      </w:rPr>
    </w:lvl>
    <w:lvl w:tentative="true" w:tplc="041A000F" w:ilvl="6">
      <w:start w:val="1"/>
      <w:numFmt w:val="decimal"/>
      <w:lvlText w:val="%7."/>
      <w:lvlJc w:val="left"/>
      <w:pPr>
        <w:tabs>
          <w:tab w:pos="6090" w:val="num"/>
        </w:tabs>
        <w:ind w:hanging="360" w:left="6090"/>
      </w:pPr>
      <w:rPr>
        <w:rFonts w:cs="Times New Roman"/>
      </w:rPr>
    </w:lvl>
    <w:lvl w:tentative="true" w:tplc="041A0019" w:ilvl="7">
      <w:start w:val="1"/>
      <w:numFmt w:val="lowerLetter"/>
      <w:lvlText w:val="%8."/>
      <w:lvlJc w:val="left"/>
      <w:pPr>
        <w:tabs>
          <w:tab w:pos="6810" w:val="num"/>
        </w:tabs>
        <w:ind w:hanging="360" w:left="6810"/>
      </w:pPr>
      <w:rPr>
        <w:rFonts w:cs="Times New Roman"/>
      </w:rPr>
    </w:lvl>
    <w:lvl w:tentative="true" w:tplc="041A001B" w:ilvl="8">
      <w:start w:val="1"/>
      <w:numFmt w:val="lowerRoman"/>
      <w:lvlText w:val="%9."/>
      <w:lvlJc w:val="right"/>
      <w:pPr>
        <w:tabs>
          <w:tab w:pos="7530" w:val="num"/>
        </w:tabs>
        <w:ind w:hanging="180" w:left="7530"/>
      </w:pPr>
      <w:rPr>
        <w:rFonts w:cs="Times New Roman"/>
      </w:rPr>
    </w:lvl>
  </w:abstractNum>
  <w:abstractNum w:abstractNumId="11">
    <w:nsid w:val="50117188"/>
    <w:multiLevelType w:val="hybridMultilevel"/>
    <w:tmpl w:val="A5B6DE5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1462A7B"/>
    <w:multiLevelType w:val="hybridMultilevel"/>
    <w:tmpl w:val="FDF080A0"/>
    <w:lvl w:tplc="041A000F" w:ilvl="0">
      <w:start w:val="1"/>
      <w:numFmt w:val="decimal"/>
      <w:lvlText w:val="%1."/>
      <w:lvlJc w:val="left"/>
      <w:pPr>
        <w:ind w:hanging="360" w:left="720"/>
      </w:pPr>
      <w:rPr>
        <w:rFonts w:cs="Times New Roman"/>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66ED6AD4"/>
    <w:multiLevelType w:val="hybridMultilevel"/>
    <w:tmpl w:val="26447D7C"/>
    <w:lvl w:tplc="1F4C1544" w:ilvl="0">
      <w:numFmt w:val="bullet"/>
      <w:lvlText w:val="-"/>
      <w:lvlJc w:val="left"/>
      <w:pPr>
        <w:tabs>
          <w:tab w:pos="720" w:val="num"/>
        </w:tabs>
        <w:ind w:hanging="360" w:left="720"/>
      </w:pPr>
      <w:rPr>
        <w:rFonts w:eastAsia="SimSu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BD64F1F"/>
    <w:multiLevelType w:val="hybridMultilevel"/>
    <w:tmpl w:val="06E2581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6">
    <w:nsid w:val="704C6758"/>
    <w:multiLevelType w:val="hybridMultilevel"/>
    <w:tmpl w:val="C980E00C"/>
    <w:lvl w:tplc="35045F4E" w:ilvl="0">
      <w:start w:val="1"/>
      <w:numFmt w:val="bullet"/>
      <w:lvlText w:val="-"/>
      <w:lvlJc w:val="left"/>
      <w:pPr>
        <w:tabs>
          <w:tab w:pos="720" w:val="num"/>
        </w:tabs>
        <w:ind w:hanging="360" w:left="720"/>
      </w:pPr>
      <w:rPr>
        <w:rFonts w:eastAsia="SimSu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3CB0D45"/>
    <w:multiLevelType w:val="hybridMultilevel"/>
    <w:tmpl w:val="66403F76"/>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3"/>
  </w:num>
  <w:num w:numId="2">
    <w:abstractNumId w:val="1"/>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12"/>
  </w:num>
  <w:num w:numId="8">
    <w:abstractNumId w:val="9"/>
  </w:num>
  <w:num w:numId="9">
    <w:abstractNumId w:val="6"/>
  </w:num>
  <w:num w:numId="10">
    <w:abstractNumId w:val="5"/>
  </w:num>
  <w:num w:numId="11">
    <w:abstractNumId w:val="17"/>
  </w:num>
  <w:num w:numId="12">
    <w:abstractNumId w:val="4"/>
  </w:num>
  <w:num w:numId="13">
    <w:abstractNumId w:val="11"/>
  </w:num>
  <w:num w:numId="14">
    <w:abstractNumId w:val="14"/>
  </w:num>
  <w:num w:numId="15">
    <w:abstractNumId w:val="16"/>
  </w:num>
  <w:num w:numId="16">
    <w:abstractNumId w:val="8"/>
  </w:num>
  <w:num w:numId="17">
    <w:abstractNumId w:val="7"/>
  </w:num>
  <w:num w:numId="18">
    <w:abstractNumId w:val="0"/>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0478"/>
    <w:rsid w:val="00012C9E"/>
    <w:rsid w:val="00014FE9"/>
    <w:rsid w:val="000159A1"/>
    <w:rsid w:val="00020BF5"/>
    <w:rsid w:val="00021302"/>
    <w:rsid w:val="0003434B"/>
    <w:rsid w:val="00062351"/>
    <w:rsid w:val="000645B9"/>
    <w:rsid w:val="000749BB"/>
    <w:rsid w:val="0008155B"/>
    <w:rsid w:val="00083ECD"/>
    <w:rsid w:val="00097894"/>
    <w:rsid w:val="000B75B5"/>
    <w:rsid w:val="000C67C8"/>
    <w:rsid w:val="000D1015"/>
    <w:rsid w:val="000E1F39"/>
    <w:rsid w:val="000F1C59"/>
    <w:rsid w:val="0010697D"/>
    <w:rsid w:val="00114354"/>
    <w:rsid w:val="001143F5"/>
    <w:rsid w:val="00123B8F"/>
    <w:rsid w:val="00126931"/>
    <w:rsid w:val="0012778D"/>
    <w:rsid w:val="0014039F"/>
    <w:rsid w:val="00156D7C"/>
    <w:rsid w:val="001730BF"/>
    <w:rsid w:val="00173327"/>
    <w:rsid w:val="001911ED"/>
    <w:rsid w:val="001921F1"/>
    <w:rsid w:val="001B4892"/>
    <w:rsid w:val="001B518A"/>
    <w:rsid w:val="001D546A"/>
    <w:rsid w:val="001E400A"/>
    <w:rsid w:val="001E73B0"/>
    <w:rsid w:val="001E761C"/>
    <w:rsid w:val="001F4A30"/>
    <w:rsid w:val="001F5EA0"/>
    <w:rsid w:val="001F6FBD"/>
    <w:rsid w:val="00204F7B"/>
    <w:rsid w:val="00233148"/>
    <w:rsid w:val="00242F09"/>
    <w:rsid w:val="00250F90"/>
    <w:rsid w:val="00253116"/>
    <w:rsid w:val="00253F0D"/>
    <w:rsid w:val="00255170"/>
    <w:rsid w:val="0026790F"/>
    <w:rsid w:val="00272BB2"/>
    <w:rsid w:val="00273CB4"/>
    <w:rsid w:val="002761E1"/>
    <w:rsid w:val="002763B3"/>
    <w:rsid w:val="00281AA6"/>
    <w:rsid w:val="00281FBF"/>
    <w:rsid w:val="002903A7"/>
    <w:rsid w:val="00291D18"/>
    <w:rsid w:val="002A5F0D"/>
    <w:rsid w:val="002B2EB3"/>
    <w:rsid w:val="002B5E93"/>
    <w:rsid w:val="002C1F19"/>
    <w:rsid w:val="002D1C5F"/>
    <w:rsid w:val="002D521C"/>
    <w:rsid w:val="002D7062"/>
    <w:rsid w:val="002E2383"/>
    <w:rsid w:val="002E4FE5"/>
    <w:rsid w:val="002E7A7E"/>
    <w:rsid w:val="0030736A"/>
    <w:rsid w:val="003110C7"/>
    <w:rsid w:val="003200E3"/>
    <w:rsid w:val="003209B5"/>
    <w:rsid w:val="00320A13"/>
    <w:rsid w:val="00321F9B"/>
    <w:rsid w:val="00326C6F"/>
    <w:rsid w:val="00336787"/>
    <w:rsid w:val="00343A3D"/>
    <w:rsid w:val="00353136"/>
    <w:rsid w:val="00353941"/>
    <w:rsid w:val="00363AEC"/>
    <w:rsid w:val="003726DD"/>
    <w:rsid w:val="00372964"/>
    <w:rsid w:val="00374780"/>
    <w:rsid w:val="00376164"/>
    <w:rsid w:val="0038009E"/>
    <w:rsid w:val="003852FB"/>
    <w:rsid w:val="00390415"/>
    <w:rsid w:val="003955E7"/>
    <w:rsid w:val="003A06EA"/>
    <w:rsid w:val="003A0803"/>
    <w:rsid w:val="003A60E8"/>
    <w:rsid w:val="003A717A"/>
    <w:rsid w:val="003B695F"/>
    <w:rsid w:val="003C555E"/>
    <w:rsid w:val="003C784C"/>
    <w:rsid w:val="003E0142"/>
    <w:rsid w:val="003E6133"/>
    <w:rsid w:val="003F246D"/>
    <w:rsid w:val="003F5B77"/>
    <w:rsid w:val="004112A5"/>
    <w:rsid w:val="00413249"/>
    <w:rsid w:val="00413F06"/>
    <w:rsid w:val="004144DD"/>
    <w:rsid w:val="0042685E"/>
    <w:rsid w:val="00433513"/>
    <w:rsid w:val="00435CDC"/>
    <w:rsid w:val="00443E25"/>
    <w:rsid w:val="004502DA"/>
    <w:rsid w:val="004538AC"/>
    <w:rsid w:val="004575D4"/>
    <w:rsid w:val="00460E5A"/>
    <w:rsid w:val="004645AC"/>
    <w:rsid w:val="004656BA"/>
    <w:rsid w:val="00467005"/>
    <w:rsid w:val="004673DE"/>
    <w:rsid w:val="0047647A"/>
    <w:rsid w:val="00476B21"/>
    <w:rsid w:val="00476FD8"/>
    <w:rsid w:val="0047732E"/>
    <w:rsid w:val="004826C6"/>
    <w:rsid w:val="004869A1"/>
    <w:rsid w:val="0049087D"/>
    <w:rsid w:val="00493429"/>
    <w:rsid w:val="004953CA"/>
    <w:rsid w:val="004C04FC"/>
    <w:rsid w:val="004C5A0D"/>
    <w:rsid w:val="004C5A7F"/>
    <w:rsid w:val="004D676C"/>
    <w:rsid w:val="004D758C"/>
    <w:rsid w:val="004F2ECE"/>
    <w:rsid w:val="00500C3E"/>
    <w:rsid w:val="00502195"/>
    <w:rsid w:val="005056C1"/>
    <w:rsid w:val="00506C03"/>
    <w:rsid w:val="005122DB"/>
    <w:rsid w:val="005261BC"/>
    <w:rsid w:val="005306F4"/>
    <w:rsid w:val="00547B20"/>
    <w:rsid w:val="0055310C"/>
    <w:rsid w:val="005646FF"/>
    <w:rsid w:val="005658DC"/>
    <w:rsid w:val="00575D04"/>
    <w:rsid w:val="00576358"/>
    <w:rsid w:val="00583FC7"/>
    <w:rsid w:val="005856DC"/>
    <w:rsid w:val="00593B9D"/>
    <w:rsid w:val="00593BB0"/>
    <w:rsid w:val="005A0544"/>
    <w:rsid w:val="005B4990"/>
    <w:rsid w:val="005B6AFB"/>
    <w:rsid w:val="005C1A35"/>
    <w:rsid w:val="005D56F5"/>
    <w:rsid w:val="005E162E"/>
    <w:rsid w:val="005E5485"/>
    <w:rsid w:val="005F3B26"/>
    <w:rsid w:val="00602C3D"/>
    <w:rsid w:val="00604116"/>
    <w:rsid w:val="00613202"/>
    <w:rsid w:val="00621D52"/>
    <w:rsid w:val="00632F77"/>
    <w:rsid w:val="00645675"/>
    <w:rsid w:val="00647B3E"/>
    <w:rsid w:val="0065052E"/>
    <w:rsid w:val="00655B39"/>
    <w:rsid w:val="00660979"/>
    <w:rsid w:val="00661ABB"/>
    <w:rsid w:val="0068562A"/>
    <w:rsid w:val="006A12BE"/>
    <w:rsid w:val="006B1010"/>
    <w:rsid w:val="006B7CC3"/>
    <w:rsid w:val="006C359A"/>
    <w:rsid w:val="006C5778"/>
    <w:rsid w:val="006C6819"/>
    <w:rsid w:val="006D4106"/>
    <w:rsid w:val="006D5022"/>
    <w:rsid w:val="006E4469"/>
    <w:rsid w:val="006E474E"/>
    <w:rsid w:val="006F1022"/>
    <w:rsid w:val="00701146"/>
    <w:rsid w:val="00701850"/>
    <w:rsid w:val="007022E3"/>
    <w:rsid w:val="007063E0"/>
    <w:rsid w:val="00707F14"/>
    <w:rsid w:val="00725769"/>
    <w:rsid w:val="00726406"/>
    <w:rsid w:val="00734E85"/>
    <w:rsid w:val="00761851"/>
    <w:rsid w:val="00763400"/>
    <w:rsid w:val="00766A05"/>
    <w:rsid w:val="00782073"/>
    <w:rsid w:val="007949FA"/>
    <w:rsid w:val="007A34AE"/>
    <w:rsid w:val="007A43D9"/>
    <w:rsid w:val="00802F21"/>
    <w:rsid w:val="00803249"/>
    <w:rsid w:val="00812C90"/>
    <w:rsid w:val="00821A4F"/>
    <w:rsid w:val="00823052"/>
    <w:rsid w:val="00824266"/>
    <w:rsid w:val="00834AB5"/>
    <w:rsid w:val="008370CE"/>
    <w:rsid w:val="00837600"/>
    <w:rsid w:val="0083776C"/>
    <w:rsid w:val="00842453"/>
    <w:rsid w:val="008512FB"/>
    <w:rsid w:val="00876908"/>
    <w:rsid w:val="00877BBF"/>
    <w:rsid w:val="008A033B"/>
    <w:rsid w:val="008B11BB"/>
    <w:rsid w:val="008B301C"/>
    <w:rsid w:val="008B59AC"/>
    <w:rsid w:val="008F093B"/>
    <w:rsid w:val="008F275C"/>
    <w:rsid w:val="008F61D4"/>
    <w:rsid w:val="008F7A3B"/>
    <w:rsid w:val="0090377A"/>
    <w:rsid w:val="00930D70"/>
    <w:rsid w:val="00934A73"/>
    <w:rsid w:val="00937D4E"/>
    <w:rsid w:val="00940786"/>
    <w:rsid w:val="009462F5"/>
    <w:rsid w:val="0095086D"/>
    <w:rsid w:val="009532AA"/>
    <w:rsid w:val="00953C80"/>
    <w:rsid w:val="009545ED"/>
    <w:rsid w:val="0097027F"/>
    <w:rsid w:val="00975C1C"/>
    <w:rsid w:val="00976307"/>
    <w:rsid w:val="00976ADF"/>
    <w:rsid w:val="00985366"/>
    <w:rsid w:val="009922C1"/>
    <w:rsid w:val="009A0C6D"/>
    <w:rsid w:val="009A416E"/>
    <w:rsid w:val="009A5EAA"/>
    <w:rsid w:val="009B6C64"/>
    <w:rsid w:val="009C289B"/>
    <w:rsid w:val="009C7921"/>
    <w:rsid w:val="009D4630"/>
    <w:rsid w:val="009D7AB8"/>
    <w:rsid w:val="00A02633"/>
    <w:rsid w:val="00A104A0"/>
    <w:rsid w:val="00A17CD8"/>
    <w:rsid w:val="00A20B21"/>
    <w:rsid w:val="00A32D1C"/>
    <w:rsid w:val="00A41725"/>
    <w:rsid w:val="00A454C5"/>
    <w:rsid w:val="00A46205"/>
    <w:rsid w:val="00A53775"/>
    <w:rsid w:val="00A614CE"/>
    <w:rsid w:val="00A74460"/>
    <w:rsid w:val="00A8020B"/>
    <w:rsid w:val="00A92781"/>
    <w:rsid w:val="00AA688A"/>
    <w:rsid w:val="00AA73E4"/>
    <w:rsid w:val="00AF4978"/>
    <w:rsid w:val="00AF5AD2"/>
    <w:rsid w:val="00B01032"/>
    <w:rsid w:val="00B118A2"/>
    <w:rsid w:val="00B159F7"/>
    <w:rsid w:val="00B242BF"/>
    <w:rsid w:val="00B40BEB"/>
    <w:rsid w:val="00B454B6"/>
    <w:rsid w:val="00B505C8"/>
    <w:rsid w:val="00B54333"/>
    <w:rsid w:val="00B60E2A"/>
    <w:rsid w:val="00B7168E"/>
    <w:rsid w:val="00B73C17"/>
    <w:rsid w:val="00B76F91"/>
    <w:rsid w:val="00B80062"/>
    <w:rsid w:val="00B80C12"/>
    <w:rsid w:val="00B82B83"/>
    <w:rsid w:val="00B837C0"/>
    <w:rsid w:val="00BA2584"/>
    <w:rsid w:val="00BA4539"/>
    <w:rsid w:val="00BB3CFF"/>
    <w:rsid w:val="00BD65A1"/>
    <w:rsid w:val="00BE3F16"/>
    <w:rsid w:val="00BE41EB"/>
    <w:rsid w:val="00BE4DB4"/>
    <w:rsid w:val="00C07A3D"/>
    <w:rsid w:val="00C13516"/>
    <w:rsid w:val="00C14A45"/>
    <w:rsid w:val="00C14F38"/>
    <w:rsid w:val="00C21FD5"/>
    <w:rsid w:val="00C2236D"/>
    <w:rsid w:val="00C27CD7"/>
    <w:rsid w:val="00C34B9C"/>
    <w:rsid w:val="00C414D3"/>
    <w:rsid w:val="00C53C58"/>
    <w:rsid w:val="00C61F72"/>
    <w:rsid w:val="00C631DC"/>
    <w:rsid w:val="00C73935"/>
    <w:rsid w:val="00C74063"/>
    <w:rsid w:val="00C77EDE"/>
    <w:rsid w:val="00C819B6"/>
    <w:rsid w:val="00C91F82"/>
    <w:rsid w:val="00C9478E"/>
    <w:rsid w:val="00CA5985"/>
    <w:rsid w:val="00CC10E0"/>
    <w:rsid w:val="00CC4E43"/>
    <w:rsid w:val="00CD01AB"/>
    <w:rsid w:val="00CD554E"/>
    <w:rsid w:val="00CD62C0"/>
    <w:rsid w:val="00CD796C"/>
    <w:rsid w:val="00CF6682"/>
    <w:rsid w:val="00CF72B7"/>
    <w:rsid w:val="00D02B11"/>
    <w:rsid w:val="00D23AF9"/>
    <w:rsid w:val="00D23FB9"/>
    <w:rsid w:val="00D43AAA"/>
    <w:rsid w:val="00D51CE8"/>
    <w:rsid w:val="00D51EF1"/>
    <w:rsid w:val="00D569D1"/>
    <w:rsid w:val="00D57051"/>
    <w:rsid w:val="00D57B25"/>
    <w:rsid w:val="00D9173E"/>
    <w:rsid w:val="00D92515"/>
    <w:rsid w:val="00D931BC"/>
    <w:rsid w:val="00DB4664"/>
    <w:rsid w:val="00DB6D37"/>
    <w:rsid w:val="00DC14FA"/>
    <w:rsid w:val="00DC2871"/>
    <w:rsid w:val="00DD21F1"/>
    <w:rsid w:val="00DD5EF2"/>
    <w:rsid w:val="00DD6B54"/>
    <w:rsid w:val="00DE0D17"/>
    <w:rsid w:val="00DE41B2"/>
    <w:rsid w:val="00E237EB"/>
    <w:rsid w:val="00E3173B"/>
    <w:rsid w:val="00E45646"/>
    <w:rsid w:val="00E503C1"/>
    <w:rsid w:val="00E52C1A"/>
    <w:rsid w:val="00E53BD0"/>
    <w:rsid w:val="00E614F5"/>
    <w:rsid w:val="00E6522D"/>
    <w:rsid w:val="00E75701"/>
    <w:rsid w:val="00E76B36"/>
    <w:rsid w:val="00E80F06"/>
    <w:rsid w:val="00E8388A"/>
    <w:rsid w:val="00E92281"/>
    <w:rsid w:val="00E94E53"/>
    <w:rsid w:val="00E96EED"/>
    <w:rsid w:val="00E975AB"/>
    <w:rsid w:val="00EA1F0B"/>
    <w:rsid w:val="00EA75CF"/>
    <w:rsid w:val="00EB349A"/>
    <w:rsid w:val="00EC0D8F"/>
    <w:rsid w:val="00ED1B5C"/>
    <w:rsid w:val="00ED200A"/>
    <w:rsid w:val="00ED4468"/>
    <w:rsid w:val="00ED687D"/>
    <w:rsid w:val="00F03C74"/>
    <w:rsid w:val="00F05165"/>
    <w:rsid w:val="00F05532"/>
    <w:rsid w:val="00F13F02"/>
    <w:rsid w:val="00F14664"/>
    <w:rsid w:val="00F14B32"/>
    <w:rsid w:val="00F14B35"/>
    <w:rsid w:val="00F208EF"/>
    <w:rsid w:val="00F20B0C"/>
    <w:rsid w:val="00F30B0F"/>
    <w:rsid w:val="00F42581"/>
    <w:rsid w:val="00F51451"/>
    <w:rsid w:val="00F52883"/>
    <w:rsid w:val="00F72892"/>
    <w:rsid w:val="00F825B9"/>
    <w:rsid w:val="00F83242"/>
    <w:rsid w:val="00F868EA"/>
    <w:rsid w:val="00F935C0"/>
    <w:rsid w:val="00F9565A"/>
    <w:rsid w:val="00FA7D4B"/>
    <w:rsid w:val="00FB0837"/>
    <w:rsid w:val="00FE0382"/>
    <w:rsid w:val="00FE412D"/>
    <w:rsid w:val="00FF3E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353136"/>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0697D"/>
    <w:rPr>
      <w:rFonts w:cs="Times New Roman" w:hAnsi="Times New Roman" w:ascii="Times New Roman"/>
      <w:sz w:val="2"/>
      <w:lang w:eastAsia="en-US"/>
    </w:rPr>
  </w:style>
  <w:style w:styleId="Podnoje" w:type="paragraph">
    <w:name w:val="footer"/>
    <w:basedOn w:val="Normal"/>
    <w:link w:val="PodnojeChar"/>
    <w:uiPriority w:val="99"/>
    <w:rsid w:val="00C414D3"/>
    <w:pPr>
      <w:tabs>
        <w:tab w:pos="4536" w:val="center"/>
        <w:tab w:pos="9072" w:val="right"/>
      </w:tabs>
    </w:pPr>
  </w:style>
  <w:style w:customStyle="true" w:styleId="PodnojeChar" w:type="character">
    <w:name w:val="Podnožje Char"/>
    <w:basedOn w:val="Zadanifontodlomka"/>
    <w:link w:val="Podnoje"/>
    <w:uiPriority w:val="99"/>
    <w:semiHidden/>
    <w:locked/>
    <w:rsid w:val="00AF4978"/>
    <w:rPr>
      <w:rFonts w:cs="Times New Roman"/>
      <w:lang w:eastAsia="en-US"/>
    </w:rPr>
  </w:style>
  <w:style w:styleId="Brojstranice" w:type="character">
    <w:name w:val="page number"/>
    <w:basedOn w:val="Zadanifontodlomka"/>
    <w:uiPriority w:val="99"/>
    <w:rsid w:val="00C414D3"/>
    <w:rPr>
      <w:rFonts w:cs="Times New Roman"/>
    </w:rPr>
  </w:style>
  <w:style w:styleId="Tekstrezerviranogmjesta" w:type="character">
    <w:name w:val="Placeholder Text"/>
    <w:basedOn w:val="Zadanifontodlomka"/>
    <w:uiPriority w:val="99"/>
    <w:semiHidden/>
    <w:rsid w:val="001B518A"/>
    <w:rPr>
      <w:color w:val="808080"/>
      <w:bdr w:space="0" w:sz="0" w:color="auto" w:val="none"/>
      <w:shd w:fill="auto" w:color="auto" w:val="clear"/>
    </w:rPr>
  </w:style>
  <w:style w:customStyle="true" w:styleId="eSPISCCParagraphDefaultFont" w:type="character">
    <w:name w:val="eSPIS_CC_Paragraph Default Font"/>
    <w:basedOn w:val="Zadanifontodlomka"/>
    <w:rsid w:val="001B518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B518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518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518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353136"/>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0697D"/>
    <w:rPr>
      <w:rFonts w:ascii="Times New Roman" w:cs="Times New Roman" w:hAnsi="Times New Roman"/>
      <w:sz w:val="2"/>
      <w:lang w:eastAsia="en-US"/>
    </w:rPr>
  </w:style>
  <w:style w:styleId="Podnoje" w:type="paragraph">
    <w:name w:val="footer"/>
    <w:basedOn w:val="Normal"/>
    <w:link w:val="PodnojeChar"/>
    <w:uiPriority w:val="99"/>
    <w:rsid w:val="00C414D3"/>
    <w:pPr>
      <w:tabs>
        <w:tab w:pos="4536" w:val="center"/>
        <w:tab w:pos="9072" w:val="right"/>
      </w:tabs>
    </w:pPr>
  </w:style>
  <w:style w:customStyle="1" w:styleId="PodnojeChar" w:type="character">
    <w:name w:val="Podnožje Char"/>
    <w:basedOn w:val="Zadanifontodlomka"/>
    <w:link w:val="Podnoje"/>
    <w:uiPriority w:val="99"/>
    <w:semiHidden/>
    <w:locked/>
    <w:rsid w:val="00AF4978"/>
    <w:rPr>
      <w:rFonts w:cs="Times New Roman"/>
      <w:lang w:eastAsia="en-US"/>
    </w:rPr>
  </w:style>
  <w:style w:styleId="Brojstranice" w:type="character">
    <w:name w:val="page number"/>
    <w:basedOn w:val="Zadanifontodlomka"/>
    <w:uiPriority w:val="99"/>
    <w:rsid w:val="00C414D3"/>
    <w:rPr>
      <w:rFonts w:cs="Times New Roman"/>
    </w:rPr>
  </w:style>
  <w:style w:styleId="Tekstrezerviranogmjesta" w:type="character">
    <w:name w:val="Placeholder Text"/>
    <w:basedOn w:val="Zadanifontodlomka"/>
    <w:uiPriority w:val="99"/>
    <w:semiHidden/>
    <w:rsid w:val="001B518A"/>
    <w:rPr>
      <w:color w:val="808080"/>
      <w:bdr w:color="auto" w:space="0" w:sz="0" w:val="none"/>
      <w:shd w:color="auto" w:fill="auto" w:val="clear"/>
    </w:rPr>
  </w:style>
  <w:style w:customStyle="1" w:styleId="eSPISCCParagraphDefaultFont" w:type="character">
    <w:name w:val="eSPIS_CC_Paragraph Default Font"/>
    <w:basedOn w:val="Zadanifontodlomka"/>
    <w:rsid w:val="001B518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B518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518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518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931057">
      <w:marLeft w:val="0"/>
      <w:marRight w:val="0"/>
      <w:marTop w:val="0"/>
      <w:marBottom w:val="0"/>
      <w:divBdr>
        <w:top w:space="0" w:sz="0" w:color="auto" w:val="none"/>
        <w:left w:space="0" w:sz="0" w:color="auto" w:val="none"/>
        <w:bottom w:space="0" w:sz="0" w:color="auto" w:val="none"/>
        <w:right w:space="0" w:sz="0" w:color="auto" w:val="none"/>
      </w:divBdr>
    </w:div>
    <w:div w:id="410931059">
      <w:marLeft w:val="0"/>
      <w:marRight w:val="0"/>
      <w:marTop w:val="0"/>
      <w:marBottom w:val="0"/>
      <w:divBdr>
        <w:top w:space="0" w:sz="0" w:color="auto" w:val="none"/>
        <w:left w:space="0" w:sz="0" w:color="auto" w:val="none"/>
        <w:bottom w:space="0" w:sz="0" w:color="auto" w:val="none"/>
        <w:right w:space="0" w:sz="0" w:color="auto" w:val="none"/>
      </w:divBdr>
      <w:divsChild>
        <w:div w:id="410931058">
          <w:marLeft w:val="0"/>
          <w:marRight w:val="0"/>
          <w:marTop w:val="0"/>
          <w:marBottom w:val="0"/>
          <w:divBdr>
            <w:top w:space="0" w:sz="0" w:color="auto" w:val="none"/>
            <w:left w:space="0" w:sz="0" w:color="auto" w:val="none"/>
            <w:bottom w:space="0" w:sz="0" w:color="auto" w:val="none"/>
            <w:right w:space="0" w:sz="0" w:color="auto" w:val="none"/>
          </w:divBdr>
        </w:div>
      </w:divsChild>
    </w:div>
    <w:div w:id="410931061">
      <w:marLeft w:val="0"/>
      <w:marRight w:val="0"/>
      <w:marTop w:val="0"/>
      <w:marBottom w:val="0"/>
      <w:divBdr>
        <w:top w:space="0" w:sz="0" w:color="auto" w:val="none"/>
        <w:left w:space="0" w:sz="0" w:color="auto" w:val="none"/>
        <w:bottom w:space="0" w:sz="0" w:color="auto" w:val="none"/>
        <w:right w:space="0" w:sz="0" w:color="auto" w:val="none"/>
      </w:divBdr>
      <w:divsChild>
        <w:div w:id="410931060">
          <w:marLeft w:val="0"/>
          <w:marRight w:val="0"/>
          <w:marTop w:val="0"/>
          <w:marBottom w:val="0"/>
          <w:divBdr>
            <w:top w:space="0" w:sz="0" w:color="auto" w:val="none"/>
            <w:left w:space="0" w:sz="0" w:color="auto" w:val="none"/>
            <w:bottom w:space="0" w:sz="0" w:color="auto" w:val="none"/>
            <w:right w:space="0" w:sz="0" w:color="auto" w:val="none"/>
          </w:divBdr>
        </w:div>
      </w:divsChild>
    </w:div>
    <w:div w:id="410931062">
      <w:marLeft w:val="0"/>
      <w:marRight w:val="0"/>
      <w:marTop w:val="0"/>
      <w:marBottom w:val="0"/>
      <w:divBdr>
        <w:top w:space="0" w:sz="0" w:color="auto" w:val="none"/>
        <w:left w:space="0" w:sz="0" w:color="auto" w:val="none"/>
        <w:bottom w:space="0" w:sz="0" w:color="auto" w:val="none"/>
        <w:right w:space="0" w:sz="0" w:color="auto" w:val="none"/>
      </w:divBdr>
    </w:div>
    <w:div w:id="410931063">
      <w:marLeft w:val="0"/>
      <w:marRight w:val="0"/>
      <w:marTop w:val="0"/>
      <w:marBottom w:val="0"/>
      <w:divBdr>
        <w:top w:space="0" w:sz="0" w:color="auto" w:val="none"/>
        <w:left w:space="0" w:sz="0" w:color="auto" w:val="none"/>
        <w:bottom w:space="0" w:sz="0" w:color="auto" w:val="none"/>
        <w:right w:space="0" w:sz="0" w:color="auto" w:val="none"/>
      </w:divBdr>
    </w:div>
    <w:div w:id="410931065">
      <w:marLeft w:val="0"/>
      <w:marRight w:val="0"/>
      <w:marTop w:val="0"/>
      <w:marBottom w:val="0"/>
      <w:divBdr>
        <w:top w:space="0" w:sz="0" w:color="auto" w:val="none"/>
        <w:left w:space="0" w:sz="0" w:color="auto" w:val="none"/>
        <w:bottom w:space="0" w:sz="0" w:color="auto" w:val="none"/>
        <w:right w:space="0" w:sz="0" w:color="auto" w:val="none"/>
      </w:divBdr>
      <w:divsChild>
        <w:div w:id="410931064">
          <w:marLeft w:val="0"/>
          <w:marRight w:val="0"/>
          <w:marTop w:val="0"/>
          <w:marBottom w:val="0"/>
          <w:divBdr>
            <w:top w:space="0" w:sz="0" w:color="auto" w:val="none"/>
            <w:left w:space="0" w:sz="0" w:color="auto" w:val="none"/>
            <w:bottom w:space="0" w:sz="0" w:color="auto" w:val="none"/>
            <w:right w:space="0" w:sz="0" w:color="auto" w:val="none"/>
          </w:divBdr>
        </w:div>
      </w:divsChild>
    </w:div>
    <w:div w:id="410931066">
      <w:marLeft w:val="0"/>
      <w:marRight w:val="0"/>
      <w:marTop w:val="0"/>
      <w:marBottom w:val="0"/>
      <w:divBdr>
        <w:top w:space="0" w:sz="0" w:color="auto" w:val="none"/>
        <w:left w:space="0" w:sz="0" w:color="auto" w:val="none"/>
        <w:bottom w:space="0" w:sz="0" w:color="auto" w:val="none"/>
        <w:right w:space="0" w:sz="0" w:color="auto" w:val="none"/>
      </w:divBdr>
    </w:div>
    <w:div w:id="410931067">
      <w:marLeft w:val="0"/>
      <w:marRight w:val="0"/>
      <w:marTop w:val="0"/>
      <w:marBottom w:val="0"/>
      <w:divBdr>
        <w:top w:space="0" w:sz="0" w:color="auto" w:val="none"/>
        <w:left w:space="0" w:sz="0" w:color="auto" w:val="none"/>
        <w:bottom w:space="0" w:sz="0" w:color="auto" w:val="none"/>
        <w:right w:space="0" w:sz="0" w:color="auto" w:val="none"/>
      </w:divBdr>
      <w:divsChild>
        <w:div w:id="410931076">
          <w:marLeft w:val="0"/>
          <w:marRight w:val="0"/>
          <w:marTop w:val="0"/>
          <w:marBottom w:val="0"/>
          <w:divBdr>
            <w:top w:space="0" w:sz="0" w:color="auto" w:val="none"/>
            <w:left w:space="0" w:sz="0" w:color="auto" w:val="none"/>
            <w:bottom w:space="0" w:sz="0" w:color="auto" w:val="none"/>
            <w:right w:space="0" w:sz="0" w:color="auto" w:val="none"/>
          </w:divBdr>
        </w:div>
      </w:divsChild>
    </w:div>
    <w:div w:id="410931068">
      <w:marLeft w:val="0"/>
      <w:marRight w:val="0"/>
      <w:marTop w:val="0"/>
      <w:marBottom w:val="0"/>
      <w:divBdr>
        <w:top w:space="0" w:sz="0" w:color="auto" w:val="none"/>
        <w:left w:space="0" w:sz="0" w:color="auto" w:val="none"/>
        <w:bottom w:space="0" w:sz="0" w:color="auto" w:val="none"/>
        <w:right w:space="0" w:sz="0" w:color="auto" w:val="none"/>
      </w:divBdr>
    </w:div>
    <w:div w:id="410931069">
      <w:marLeft w:val="0"/>
      <w:marRight w:val="0"/>
      <w:marTop w:val="0"/>
      <w:marBottom w:val="0"/>
      <w:divBdr>
        <w:top w:space="0" w:sz="0" w:color="auto" w:val="none"/>
        <w:left w:space="0" w:sz="0" w:color="auto" w:val="none"/>
        <w:bottom w:space="0" w:sz="0" w:color="auto" w:val="none"/>
        <w:right w:space="0" w:sz="0" w:color="auto" w:val="none"/>
      </w:divBdr>
      <w:divsChild>
        <w:div w:id="410931071">
          <w:marLeft w:val="0"/>
          <w:marRight w:val="0"/>
          <w:marTop w:val="0"/>
          <w:marBottom w:val="0"/>
          <w:divBdr>
            <w:top w:space="0" w:sz="0" w:color="auto" w:val="none"/>
            <w:left w:space="0" w:sz="0" w:color="auto" w:val="none"/>
            <w:bottom w:space="0" w:sz="0" w:color="auto" w:val="none"/>
            <w:right w:space="0" w:sz="0" w:color="auto" w:val="none"/>
          </w:divBdr>
        </w:div>
      </w:divsChild>
    </w:div>
    <w:div w:id="410931072">
      <w:marLeft w:val="0"/>
      <w:marRight w:val="0"/>
      <w:marTop w:val="0"/>
      <w:marBottom w:val="0"/>
      <w:divBdr>
        <w:top w:space="0" w:sz="0" w:color="auto" w:val="none"/>
        <w:left w:space="0" w:sz="0" w:color="auto" w:val="none"/>
        <w:bottom w:space="0" w:sz="0" w:color="auto" w:val="none"/>
        <w:right w:space="0" w:sz="0" w:color="auto" w:val="none"/>
      </w:divBdr>
    </w:div>
    <w:div w:id="410931073">
      <w:marLeft w:val="0"/>
      <w:marRight w:val="0"/>
      <w:marTop w:val="0"/>
      <w:marBottom w:val="0"/>
      <w:divBdr>
        <w:top w:space="0" w:sz="0" w:color="auto" w:val="none"/>
        <w:left w:space="0" w:sz="0" w:color="auto" w:val="none"/>
        <w:bottom w:space="0" w:sz="0" w:color="auto" w:val="none"/>
        <w:right w:space="0" w:sz="0" w:color="auto" w:val="none"/>
      </w:divBdr>
    </w:div>
    <w:div w:id="410931074">
      <w:marLeft w:val="0"/>
      <w:marRight w:val="0"/>
      <w:marTop w:val="0"/>
      <w:marBottom w:val="0"/>
      <w:divBdr>
        <w:top w:space="0" w:sz="0" w:color="auto" w:val="none"/>
        <w:left w:space="0" w:sz="0" w:color="auto" w:val="none"/>
        <w:bottom w:space="0" w:sz="0" w:color="auto" w:val="none"/>
        <w:right w:space="0" w:sz="0" w:color="auto" w:val="none"/>
      </w:divBdr>
      <w:divsChild>
        <w:div w:id="410931070">
          <w:marLeft w:val="0"/>
          <w:marRight w:val="0"/>
          <w:marTop w:val="0"/>
          <w:marBottom w:val="0"/>
          <w:divBdr>
            <w:top w:space="0" w:sz="0" w:color="auto" w:val="none"/>
            <w:left w:space="0" w:sz="0" w:color="auto" w:val="none"/>
            <w:bottom w:space="0" w:sz="0" w:color="auto" w:val="none"/>
            <w:right w:space="0" w:sz="0" w:color="auto" w:val="none"/>
          </w:divBdr>
        </w:div>
      </w:divsChild>
    </w:div>
    <w:div w:id="410931075">
      <w:marLeft w:val="0"/>
      <w:marRight w:val="0"/>
      <w:marTop w:val="0"/>
      <w:marBottom w:val="0"/>
      <w:divBdr>
        <w:top w:space="0" w:sz="0" w:color="auto" w:val="none"/>
        <w:left w:space="0" w:sz="0" w:color="auto" w:val="none"/>
        <w:bottom w:space="0" w:sz="0" w:color="auto" w:val="none"/>
        <w:right w:space="0" w:sz="0" w:color="auto" w:val="none"/>
      </w:divBdr>
    </w:div>
    <w:div w:id="410931077">
      <w:marLeft w:val="0"/>
      <w:marRight w:val="0"/>
      <w:marTop w:val="0"/>
      <w:marBottom w:val="0"/>
      <w:divBdr>
        <w:top w:space="0" w:sz="0" w:color="auto" w:val="none"/>
        <w:left w:space="0" w:sz="0" w:color="auto" w:val="none"/>
        <w:bottom w:space="0" w:sz="0" w:color="auto" w:val="none"/>
        <w:right w:space="0" w:sz="0" w:color="auto" w:val="none"/>
      </w:divBdr>
    </w:div>
    <w:div w:id="410931078">
      <w:marLeft w:val="0"/>
      <w:marRight w:val="0"/>
      <w:marTop w:val="0"/>
      <w:marBottom w:val="0"/>
      <w:divBdr>
        <w:top w:space="0" w:sz="0" w:color="auto" w:val="none"/>
        <w:left w:space="0" w:sz="0" w:color="auto" w:val="none"/>
        <w:bottom w:space="0" w:sz="0" w:color="auto" w:val="none"/>
        <w:right w:space="0" w:sz="0" w:color="auto" w:val="none"/>
      </w:divBdr>
    </w:div>
    <w:div w:id="410931079">
      <w:marLeft w:val="0"/>
      <w:marRight w:val="0"/>
      <w:marTop w:val="0"/>
      <w:marBottom w:val="0"/>
      <w:divBdr>
        <w:top w:space="0" w:sz="0" w:color="auto" w:val="none"/>
        <w:left w:space="0" w:sz="0" w:color="auto" w:val="none"/>
        <w:bottom w:space="0" w:sz="0" w:color="auto" w:val="none"/>
        <w:right w:space="0" w:sz="0" w:color="auto" w:val="none"/>
      </w:divBdr>
    </w:div>
    <w:div w:id="410931080">
      <w:marLeft w:val="0"/>
      <w:marRight w:val="0"/>
      <w:marTop w:val="0"/>
      <w:marBottom w:val="0"/>
      <w:divBdr>
        <w:top w:space="0" w:sz="0" w:color="auto" w:val="none"/>
        <w:left w:space="0" w:sz="0" w:color="auto" w:val="none"/>
        <w:bottom w:space="0" w:sz="0" w:color="auto" w:val="none"/>
        <w:right w:space="0" w:sz="0" w:color="auto" w:val="none"/>
      </w:divBdr>
    </w:div>
    <w:div w:id="410931081">
      <w:marLeft w:val="0"/>
      <w:marRight w:val="0"/>
      <w:marTop w:val="0"/>
      <w:marBottom w:val="0"/>
      <w:divBdr>
        <w:top w:space="0" w:sz="0" w:color="auto" w:val="none"/>
        <w:left w:space="0" w:sz="0" w:color="auto" w:val="none"/>
        <w:bottom w:space="0" w:sz="0" w:color="auto" w:val="none"/>
        <w:right w:space="0" w:sz="0" w:color="auto" w:val="none"/>
      </w:divBdr>
    </w:div>
    <w:div w:id="41093108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St-47/2004-37</izvorni_sadrzaj>
    <derivirana_varijabla naziv="DomainObject.Oznaka_1">St-47/2004-37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2004.</izvorni_sadrzaj>
    <derivirana_varijabla naziv="DomainObject.Predmet.DatumOsnivanja_1">18. lipnja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2004-03-15 PREDMET Ustup Ts-a Split St-255/03 rj. od 16.02.04. IN2 napomene: 2011-03-01 PREDMET podnesak Državnog odvjetništva od03.01.2011. IN2 napomene: 2007-02-15 PREDMET podnesak (Robson holdings d.o.o.) od 15.02.2007. IN2 napomene: 2007-02-23 PREDMET podn. Robson Holdings d.o.o. 22.02.07. IN2 napomene: 2007-02-28 PREDMET ogl.pl. 28.02.07. IN2 napomene: 2008-01-31 PREDMET spis presigniran iz ref. suca Šimundića u  ref. sutkinje Rundek rj. od 31.01.2008. 10 Su-30/08 IN2 napomene: 2008-02-06 PREDMET vraćen spis sa uvida Ustavnog suda RH od 05.02.2008. IN2 napomene: 2008-03-21 PREDMET spis presigniran iz ref. sutkinje Rundek rj. od 20.03.2008. 10 Su-30/08 u ref. sutkinje Malenica IN2 napomene: 2008-06-19 PREDMET podnesak (Novi Salonit d.o.o.) od 18.06.2008. IN2 napomene: 2008-07-14 PREDMET podnesak ROBSON HOLDINGS d.o.o. IN2 napomene: 2008-12-23 PREDMET ogl.ploča od 21.11.2008. IN2 napomene: 2009-04-30 PREDMET ogl.ploča od 21.04.2009. IN2 napomene: 2009-05-14 PREDMET podnesak (Novi salonit d.o.o.) od 13.05.2009. IN2 napomene: 2009-10-26 PREDMET podnesak (OS Split) od 19.10.2009. IN2 napomene: 2009-11-11 PREDMET podnesak (OS Split) od 10.11.2009. Povijest stečajnih upravitelja: 18.06.2004.-20.04.2009. DAMIR MIKIĆ; 20.04.2009.- PERO HRKAČ;</izvorni_sadrzaj>
    <derivirana_varijabla naziv="DomainObject.Predmet.Opis_1">MIGRIRANO IZ IN2 IN2 napomene: 2004-03-15 PREDMET Ustup Ts-a Split St-255/03 rj. od 16.02.04. IN2 napomene: 2011-03-01 PREDMET podnesak Državnog odvjetništva od03.01.2011. IN2 napomene: 2007-02-15 PREDMET podnesak (Robson holdings d.o.o.) od 15.02.2007. IN2 napomene: 2007-02-23 PREDMET podn. Robson Holdings d.o.o. 22.02.07. IN2 napomene: 2007-02-28 PREDMET ogl.pl. 28.02.07. IN2 napomene: 2008-01-31 PREDMET spis presigniran iz ref. suca Šimundića u  ref. sutkinje Rundek rj. od 31.01.2008. 10 Su-30/08 IN2 napomene: 2008-02-06 PREDMET vraćen spis sa uvida Ustavnog suda RH od 05.02.2008. IN2 napomene: 2008-03-21 PREDMET spis presigniran iz ref. sutkinje Rundek rj. od 20.03.2008. 10 Su-30/08 u ref. sutkinje Malenica IN2 napomene: 2008-06-19 PREDMET podnesak (Novi Salonit d.o.o.) od 18.06.2008. IN2 napomene: 2008-07-14 PREDMET podnesak ROBSON HOLDINGS d.o.o. IN2 napomene: 2008-12-23 PREDMET ogl.ploča od 21.11.2008. IN2 napomene: 2009-04-30 PREDMET ogl.ploča od 21.04.2009. IN2 napomene: 2009-05-14 PREDMET podnesak (Novi salonit d.o.o.) od 13.05.2009. IN2 napomene: 2009-10-26 PREDMET podnesak (OS Split) od 19.10.2009. IN2 napomene: 2009-11-11 PREDMET podnesak (OS Split) od 10.11.2009. Povijest stečajnih upravitelja: 18.06.2004.-20.04.2009. DAMIR MIKIĆ; 20.04.2009.- PERO HRKAČ;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St-47/2004</izvorni_sadrzaj>
    <derivirana_varijabla naziv="DomainObject.Predmet.OznakaBroj_1">St-47/2004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1-5 u IP ormar 19
6. svežanj u ref.</izvorni_sadrzaj>
    <derivirana_varijabla naziv="DomainObject.Predmet.PrimjedbaSuca_1">1-5 u IP ormar 19
6. svežanj u ref.</derivirana_varijabla>
  </DomainObject.Predmet.PrimjedbaSuca>
  <DomainObject.Predmet.ProtustrankaFormated>
    <izvorni_sadrzaj>  NOVI SALONIT društvo s ograničenom odgovornošću za proizvodnju, trgovinu i usluge</izvorni_sadrzaj>
    <derivirana_varijabla naziv="DomainObject.Predmet.ProtustrankaFormated_1">  NOVI SALONIT društvo s ograničenom odgovornošću za proizvodnju, trgovinu i usluge</derivirana_varijabla>
  </DomainObject.Predmet.ProtustrankaFormated>
  <DomainObject.Predmet.ProtustrankaFormatedOIB>
    <izvorni_sadrzaj>  NOVI SALONIT društvo s ograničenom odgovornošću za proizvodnju, trgovinu i usluge, OIB 74737876059</izvorni_sadrzaj>
    <derivirana_varijabla naziv="DomainObject.Predmet.ProtustrankaFormatedOIB_1">  NOVI SALONIT društvo s ograničenom odgovornošću za proizvodnju, trgovinu i usluge, OIB 74737876059</derivirana_varijabla>
  </DomainObject.Predmet.ProtustrankaFormatedOIB>
  <DomainObject.Predmet.ProtustrankaFormatedWithAdress>
    <izvorni_sadrzaj> NOVI SALONIT društvo s ograničenom odgovornošću za proizvodnju, trgovinu i usluge, Radnička Cesta 27, 10000 Zagreb</izvorni_sadrzaj>
    <derivirana_varijabla naziv="DomainObject.Predmet.ProtustrankaFormatedWithAdress_1"> NOVI SALONIT društvo s ograničenom odgovornošću za proizvodnju, trgovinu i usluge, Radnička Cesta 27, 10000 Zagreb</derivirana_varijabla>
  </DomainObject.Predmet.ProtustrankaFormatedWithAdress>
  <DomainObject.Predmet.ProtustrankaFormatedWithAdressOIB>
    <izvorni_sadrzaj> NOVI SALONIT društvo s ograničenom odgovornošću za proizvodnju, trgovinu i usluge, OIB 74737876059, Radnička Cesta 27, 10000 Zagreb</izvorni_sadrzaj>
    <derivirana_varijabla naziv="DomainObject.Predmet.ProtustrankaFormatedWithAdressOIB_1"> NOVI SALONIT društvo s ograničenom odgovornošću za proizvodnju, trgovinu i usluge, OIB 74737876059, Radnička Cesta 27, 10000 Zagreb</derivirana_varijabla>
  </DomainObject.Predmet.ProtustrankaFormatedWithAdressOIB>
  <DomainObject.Predmet.ProtustrankaWithAdress>
    <izvorni_sadrzaj>NOVI SALONIT društvo s ograničenom odgovornošću za proizvodnju, trgovinu i usluge Radnička Cesta 27, 10000 Zagreb</izvorni_sadrzaj>
    <derivirana_varijabla naziv="DomainObject.Predmet.ProtustrankaWithAdress_1">NOVI SALONIT društvo s ograničenom odgovornošću za proizvodnju, trgovinu i usluge Radnička Cesta 27, 10000 Zagreb</derivirana_varijabla>
  </DomainObject.Predmet.ProtustrankaWithAdress>
  <DomainObject.Predmet.ProtustrankaWithAdressOIB>
    <izvorni_sadrzaj>NOVI SALONIT društvo s ograničenom odgovornošću za proizvodnju, trgovinu i usluge, OIB 74737876059, Radnička Cesta 27, 10000 Zagreb</izvorni_sadrzaj>
    <derivirana_varijabla naziv="DomainObject.Predmet.ProtustrankaWithAdressOIB_1">NOVI SALONIT društvo s ograničenom odgovornošću za proizvodnju, trgovinu i usluge, OIB 74737876059, Radnička Cesta 27, 10000 Zagreb</derivirana_varijabla>
  </DomainObject.Predmet.ProtustrankaWithAdressOIB>
  <DomainObject.Predmet.ProtustrankaNazivFormated>
    <izvorni_sadrzaj>NOVI SALONIT društvo s ograničenom odgovornošću za proizvodnju, trgovinu i usluge</izvorni_sadrzaj>
    <derivirana_varijabla naziv="DomainObject.Predmet.ProtustrankaNazivFormated_1">NOVI SALONIT društvo s ograničenom odgovornošću za proizvodnju, trgovinu i usluge</derivirana_varijabla>
  </DomainObject.Predmet.ProtustrankaNazivFormated>
  <DomainObject.Predmet.ProtustrankaNazivFormatedOIB>
    <izvorni_sadrzaj>NOVI SALONIT društvo s ograničenom odgovornošću za proizvodnju, trgovinu i usluge, OIB 74737876059</izvorni_sadrzaj>
    <derivirana_varijabla naziv="DomainObject.Predmet.ProtustrankaNazivFormatedOIB_1">NOVI SALONIT društvo s ograničenom odgovornošću za proizvodnju, trgovinu i usluge, OIB 74737876059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 - REPUBLIKA HRVATSKA Ministarstvo financija,Porezna uprava</izvorni_sadrzaj>
    <derivirana_varijabla naziv="DomainObject.Predmet.StrankaFormated_1">  REPUBLIKA HRVATSKA Ministarstvo financija,Porezna uprava / - REPUBLIKA HRVATSKA Ministarstvo financija,Porezna uprava</derivirana_varijabla>
  </DomainObject.Predmet.StrankaFormated>
  <DomainObject.Predmet.StrankaFormatedOIB>
    <izvorni_sadrzaj>  REPUBLIKA HRVATSKA Ministarstvo financija,Porezna uprava / - REPUBLIKA HRVATSKA Ministarstvo financija,Porezna uprava, OIB 18683136487</izvorni_sadrzaj>
    <derivirana_varijabla naziv="DomainObject.Predmet.StrankaFormatedOIB_1">  REPUBLIKA HRVATSKA Ministarstvo financija,Porezna uprava / - REPUBLIKA HRVATSKA Ministarstvo financija,Porezna uprava, OIB 18683136487</derivirana_varijabla>
  </DomainObject.Predmet.StrankaFormatedOIB>
  <DomainObject.Predmet.StrankaFormatedWithAdress>
    <izvorni_sadrzaj> REPUBLIKA HRVATSKA Ministarstvo financija,Porezna uprava / - REPUBLIKA HRVATSKA Ministarstvo financija,Porezna uprava</izvorni_sadrzaj>
    <derivirana_varijabla naziv="DomainObject.Predmet.StrankaFormatedWithAdress_1"> REPUBLIKA HRVATSKA Ministarstvo financija,Porezna uprava / - REPUBLIKA HRVATSKA Ministarstvo financija,Porezna uprava</derivirana_varijabla>
  </DomainObject.Predmet.StrankaFormatedWithAdress>
  <DomainObject.Predmet.StrankaFormatedWithAdressOIB>
    <izvorni_sadrzaj> REPUBLIKA HRVATSKA Ministarstvo financija,Porezna uprava / - REPUBLIKA HRVATSKA Ministarstvo financija,Porezna uprava, OIB 18683136487</izvorni_sadrzaj>
    <derivirana_varijabla naziv="DomainObject.Predmet.StrankaFormatedWithAdressOIB_1"> REPUBLIKA HRVATSKA Ministarstvo financija,Porezna uprava / - REPUBLIKA HRVATSKA Ministarstvo financija,Porezna uprava, OIB 18683136487</derivirana_varijabla>
  </DomainObject.Predmet.StrankaFormatedWithAdressOIB>
  <DomainObject.Predmet.StrankaWithAdress>
    <izvorni_sadrzaj>REPUBLIKA HRVATSKA Ministarstvo financija,Porezna uprava / - REPUBLIKA HRVATSKA Ministarstvo financija,Porezna uprava </izvorni_sadrzaj>
    <derivirana_varijabla naziv="DomainObject.Predmet.StrankaWithAdress_1">REPUBLIKA HRVATSKA Ministarstvo financija,Porezna uprava / - REPUBLIKA HRVATSKA Ministarstvo financija,Porezna uprava </derivirana_varijabla>
  </DomainObject.Predmet.StrankaWithAdress>
  <DomainObject.Predmet.StrankaWithAdressOIB>
    <izvorni_sadrzaj>REPUBLIKA HRVATSKA Ministarstvo financija,Porezna uprava / - REPUBLIKA HRVATSKA Ministarstvo financija,Porezna uprava, OIB 18683136487</izvorni_sadrzaj>
    <derivirana_varijabla naziv="DomainObject.Predmet.StrankaWithAdressOIB_1">REPUBLIKA HRVATSKA Ministarstvo financija,Porezna uprava / - REPUBLIKA HRVATSKA Ministarstvo financija,Porezna uprava, OIB 18683136487</derivirana_varijabla>
  </DomainObject.Predmet.StrankaWithAdressOIB>
  <DomainObject.Predmet.StrankaNazivFormated>
    <izvorni_sadrzaj>REPUBLIKA HRVATSKA Ministarstvo financija,Porezna uprava / - REPUBLIKA HRVATSKA Ministarstvo financija,Porezna uprava</izvorni_sadrzaj>
    <derivirana_varijabla naziv="DomainObject.Predmet.StrankaNazivFormated_1">REPUBLIKA HRVATSKA Ministarstvo financija,Porezna uprava / - REPUBLIKA HRVATSKA Ministarstvo financija,Porezna uprava</derivirana_varijabla>
  </DomainObject.Predmet.StrankaNazivFormated>
  <DomainObject.Predmet.StrankaNazivFormatedOIB>
    <izvorni_sadrzaj>REPUBLIKA HRVATSKA Ministarstvo financija,Porezna uprava / - REPUBLIKA HRVATSKA Ministarstvo financija,Porezna uprava, OIB 18683136487</izvorni_sadrzaj>
    <derivirana_varijabla naziv="DomainObject.Predmet.StrankaNazivFormatedOIB_1">REPUBLIKA HRVATSKA Ministarstvo financija,Porezna uprava / - REPUBLIKA HRVATSKA 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REPUBLIKA HRVATSKA Ministarstvo financija,Porezna uprava / - REPUBLIKA HRVATSKA Ministarstvo financija,Porezna uprava</item>
    </izvorni_sadrzaj>
    <derivirana_varijabla naziv="DomainObject.Predmet.StrankaListFormated_1">
      <item>REPUBLIKA HRVATSKA Ministarstvo financija,Porezna uprava / - REPUBLIKA HRVATSKA Ministarstvo financija,Porezna uprava</item>
    </derivirana_varijabla>
  </DomainObject.Predmet.StrankaListFormated>
  <DomainObject.Predmet.StrankaListFormatedOIB>
    <izvorni_sadrzaj>
      <item>REPUBLIKA HRVATSKA Ministarstvo financija,Porezna uprava / - REPUBLIKA HRVATSKA Ministarstvo financija,Porezna uprava, OIB 18683136487</item>
    </izvorni_sadrzaj>
    <derivirana_varijabla naziv="DomainObject.Predmet.StrankaListFormatedOIB_1">
      <item>REPUBLIKA HRVATSKA Ministarstvo financija,Porezna uprava / - REPUBLIKA HRVATSKA Ministarstvo financija,Porezna uprava, OIB 18683136487</item>
    </derivirana_varijabla>
  </DomainObject.Predmet.StrankaListFormatedOIB>
  <DomainObject.Predmet.StrankaListFormatedWithAdress>
    <izvorni_sadrzaj>
      <item>REPUBLIKA HRVATSKA Ministarstvo financija,Porezna uprava / - REPUBLIKA HRVATSKA Ministarstvo financija,Porezna uprava</item>
    </izvorni_sadrzaj>
    <derivirana_varijabla naziv="DomainObject.Predmet.StrankaListFormatedWithAdress_1">
      <item>REPUBLIKA HRVATSKA Ministarstvo financija,Porezna uprava / - REPUBLIKA HRVATSKA Ministarstvo financija,Porezna uprava</item>
    </derivirana_varijabla>
  </DomainObject.Predmet.StrankaListFormatedWithAdress>
  <DomainObject.Predmet.StrankaListFormatedWithAdressOIB>
    <izvorni_sadrzaj>
      <item>REPUBLIKA HRVATSKA Ministarstvo financija,Porezna uprava / - REPUBLIKA HRVATSKA Ministarstvo financija,Porezna uprava, OIB 18683136487</item>
    </izvorni_sadrzaj>
    <derivirana_varijabla naziv="DomainObject.Predmet.StrankaListFormatedWithAdressOIB_1">
      <item>REPUBLIKA HRVATSKA Ministarstvo financija,Porezna uprava / - REPUBLIKA HRVATSKA Ministarstvo financija,Porezna uprava, OIB 18683136487</item>
    </derivirana_varijabla>
  </DomainObject.Predmet.StrankaListFormatedWithAdressOIB>
  <DomainObject.Predmet.StrankaListNazivFormated>
    <izvorni_sadrzaj>
      <item>REPUBLIKA HRVATSKA Ministarstvo financija,Porezna uprava / - REPUBLIKA HRVATSKA Ministarstvo financija,Porezna uprava</item>
    </izvorni_sadrzaj>
    <derivirana_varijabla naziv="DomainObject.Predmet.StrankaListNazivFormated_1">
      <item>REPUBLIKA HRVATSKA Ministarstvo financija,Porezna uprava / - REPUBLIKA HRVATSKA Ministarstvo financija,Porezna uprava</item>
    </derivirana_varijabla>
  </DomainObject.Predmet.StrankaListNazivFormated>
  <DomainObject.Predmet.StrankaListNazivFormatedOIB>
    <izvorni_sadrzaj>
      <item>REPUBLIKA HRVATSKA Ministarstvo financija,Porezna uprava / - REPUBLIKA HRVATSKA Ministarstvo financija,Porezna uprava, OIB 18683136487</item>
    </izvorni_sadrzaj>
    <derivirana_varijabla naziv="DomainObject.Predmet.StrankaListNazivFormatedOIB_1">
      <item>REPUBLIKA HRVATSKA Ministarstvo financija,Porezna uprava / - REPUBLIKA HRVATSKA Ministarstvo financija,Porezna uprava, OIB 18683136487</item>
    </derivirana_varijabla>
  </DomainObject.Predmet.StrankaListNazivFormatedOIB>
  <DomainObject.Predmet.ProtuStrankaListFormated>
    <izvorni_sadrzaj>
      <item>NOVI SALONIT društvo s ograničenom odgovornošću za proizvodnju, trgovinu i usluge</item>
    </izvorni_sadrzaj>
    <derivirana_varijabla naziv="DomainObject.Predmet.ProtuStrankaListFormated_1">
      <item>NOVI SALONIT društvo s ograničenom odgovornošću za proizvodnju, trgovinu i usluge</item>
    </derivirana_varijabla>
  </DomainObject.Predmet.ProtuStrankaListFormated>
  <DomainObject.Predmet.ProtuStrankaListFormatedOIB>
    <izvorni_sadrzaj>
      <item>NOVI SALONIT društvo s ograničenom odgovornošću za proizvodnju, trgovinu i usluge, OIB 74737876059</item>
    </izvorni_sadrzaj>
    <derivirana_varijabla naziv="DomainObject.Predmet.ProtuStrankaListFormatedOIB_1">
      <item>NOVI SALONIT društvo s ograničenom odgovornošću za proizvodnju, trgovinu i usluge, OIB 74737876059</item>
    </derivirana_varijabla>
  </DomainObject.Predmet.ProtuStrankaListFormatedOIB>
  <DomainObject.Predmet.ProtuStrankaListFormatedWithAdress>
    <izvorni_sadrzaj>
      <item>NOVI SALONIT društvo s ograničenom odgovornošću za proizvodnju, trgovinu i usluge, Radnička Cesta 27, 10000 Zagreb</item>
    </izvorni_sadrzaj>
    <derivirana_varijabla naziv="DomainObject.Predmet.ProtuStrankaListFormatedWithAdress_1">
      <item>NOVI SALONIT društvo s ograničenom odgovornošću za proizvodnju, trgovinu i usluge, Radnička Cesta 27, 10000 Zagreb</item>
    </derivirana_varijabla>
  </DomainObject.Predmet.ProtuStrankaListFormatedWithAdress>
  <DomainObject.Predmet.ProtuStrankaListFormatedWithAdressOIB>
    <izvorni_sadrzaj>
      <item>NOVI SALONIT društvo s ograničenom odgovornošću za proizvodnju, trgovinu i usluge, OIB 74737876059, Radnička Cesta 27, 10000 Zagreb</item>
    </izvorni_sadrzaj>
    <derivirana_varijabla naziv="DomainObject.Predmet.ProtuStrankaListFormatedWithAdressOIB_1">
      <item>NOVI SALONIT društvo s ograničenom odgovornošću za proizvodnju, trgovinu i usluge, OIB 74737876059, Radnička Cesta 27, 10000 Zagreb</item>
    </derivirana_varijabla>
  </DomainObject.Predmet.ProtuStrankaListFormatedWithAdressOIB>
  <DomainObject.Predmet.ProtuStrankaListNazivFormated>
    <izvorni_sadrzaj>
      <item>NOVI SALONIT društvo s ograničenom odgovornošću za proizvodnju, trgovinu i usluge</item>
    </izvorni_sadrzaj>
    <derivirana_varijabla naziv="DomainObject.Predmet.ProtuStrankaListNazivFormated_1">
      <item>NOVI SALONIT društvo s ograničenom odgovornošću za proizvodnju, trgovinu i usluge</item>
    </derivirana_varijabla>
  </DomainObject.Predmet.ProtuStrankaListNazivFormated>
  <DomainObject.Predmet.ProtuStrankaListNazivFormatedOIB>
    <izvorni_sadrzaj>
      <item>NOVI SALONIT društvo s ograničenom odgovornošću za proizvodnju, trgovinu i usluge, OIB 74737876059</item>
    </izvorni_sadrzaj>
    <derivirana_varijabla naziv="DomainObject.Predmet.ProtuStrankaListNazivFormatedOIB_1">
      <item>NOVI SALONIT društvo s ograničenom odgovornošću za proizvodnju, trgovinu i usluge, OIB 74737876059</item>
    </derivirana_varijabla>
  </DomainObject.Predmet.ProtuStrankaListNazivFormatedOIB>
  <DomainObject.Predmet.OstaliListFormated>
    <izvorni_sadrzaj>
      <item>Pero Hrkać</item>
    </izvorni_sadrzaj>
    <derivirana_varijabla naziv="DomainObject.Predmet.OstaliListFormated_1">
      <item>Pero Hrkać</item>
    </derivirana_varijabla>
  </DomainObject.Predmet.OstaliListFormated>
  <DomainObject.Predmet.OstaliListFormatedOIB>
    <izvorni_sadrzaj>
      <item>Pero Hrkać, OIB 15244122912</item>
    </izvorni_sadrzaj>
    <derivirana_varijabla naziv="DomainObject.Predmet.OstaliListFormatedOIB_1">
      <item>Pero Hrkać, OIB 15244122912</item>
    </derivirana_varijabla>
  </DomainObject.Predmet.OstaliListFormatedOIB>
  <DomainObject.Predmet.OstaliListFormatedWithAdress>
    <izvorni_sadrzaj>
      <item>Pero Hrkać, Čikoševa 5, 10000 Zagreb</item>
    </izvorni_sadrzaj>
    <derivirana_varijabla naziv="DomainObject.Predmet.OstaliListFormatedWithAdress_1">
      <item>Pero Hrkać, Čikoševa 5, 10000 Zagreb</item>
    </derivirana_varijabla>
  </DomainObject.Predmet.OstaliListFormatedWithAdress>
  <DomainObject.Predmet.OstaliListFormatedWithAdressOIB>
    <izvorni_sadrzaj>
      <item>Pero Hrkać, OIB 15244122912, Čikoševa 5, 10000 Zagreb</item>
    </izvorni_sadrzaj>
    <derivirana_varijabla naziv="DomainObject.Predmet.OstaliListFormatedWithAdressOIB_1">
      <item>Pero Hrkać, OIB 15244122912, Čikoševa 5, 10000 Zagreb</item>
    </derivirana_varijabla>
  </DomainObject.Predmet.OstaliListFormatedWithAdressOIB>
  <DomainObject.Predmet.OstaliListNazivFormated>
    <izvorni_sadrzaj>
      <item>Pero Hrkać</item>
    </izvorni_sadrzaj>
    <derivirana_varijabla naziv="DomainObject.Predmet.OstaliListNazivFormated_1">
      <item>Pero Hrkać</item>
    </derivirana_varijabla>
  </DomainObject.Predmet.OstaliListNazivFormated>
  <DomainObject.Predmet.OstaliListNazivFormatedOIB>
    <izvorni_sadrzaj>
      <item>Pero Hrkać, OIB 15244122912</item>
    </izvorni_sadrzaj>
    <derivirana_varijabla naziv="DomainObject.Predmet.OstaliListNazivFormatedOIB_1">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financija,Porezna uprava / - REPUBLIKA HRVATSKA Ministarstvo financija,Porezna uprava</izvorni_sadrzaj>
    <derivirana_varijabla naziv="DomainObject.Predmet.StrankaIDrugi_1">REPUBLIKA HRVATSKA Ministarstvo financija,Porezna uprava / - REPUBLIKA HRVATSKA Ministarstvo financija,Porezna uprava</derivirana_varijabla>
  </DomainObject.Predmet.StrankaIDrugi>
  <DomainObject.Predmet.ProtustrankaIDrugi>
    <izvorni_sadrzaj>NOVI SALONIT društvo s ograničenom odgovornošću za proizvodnju, trgovinu i usluge</izvorni_sadrzaj>
    <derivirana_varijabla naziv="DomainObject.Predmet.ProtustrankaIDrugi_1">NOVI SALONIT društvo s ograničenom odgovornošću za proizvodnju, trgovinu i usluge</derivirana_varijabla>
  </DomainObject.Predmet.ProtustrankaIDrugi>
  <DomainObject.Predmet.StrankaIDrugiAdressOIB>
    <izvorni_sadrzaj>REPUBLIKA HRVATSKA Ministarstvo financija,Porezna uprava / - REPUBLIKA HRVATSKA Ministarstvo financija,Porezna uprava, OIB 18683136487</izvorni_sadrzaj>
    <derivirana_varijabla naziv="DomainObject.Predmet.StrankaIDrugiAdressOIB_1">REPUBLIKA HRVATSKA Ministarstvo financija,Porezna uprava / - REPUBLIKA HRVATSKA Ministarstvo financija,Porezna uprava, OIB 18683136487</derivirana_varijabla>
  </DomainObject.Predmet.StrankaIDrugiAdressOIB>
  <DomainObject.Predmet.ProtustrankaIDrugiAdressOIB>
    <izvorni_sadrzaj>NOVI SALONIT društvo s ograničenom odgovornošću za proizvodnju, trgovinu i usluge, OIB 74737876059, Radnička Cesta 27, 10000 Zagreb</izvorni_sadrzaj>
    <derivirana_varijabla naziv="DomainObject.Predmet.ProtustrankaIDrugiAdressOIB_1">NOVI SALONIT društvo s ograničenom odgovornošću za proizvodnju, trgovinu i usluge, OIB 74737876059,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financija,Porezna uprava / - REPUBLIKA HRVATSKA Ministarstvo financija,Porezna uprava</item>
      <item>NOVI SALONIT društvo s ograničenom odgovornošću za proizvodnju, trgovinu i usluge</item>
      <item>Pero Hrkać</item>
    </izvorni_sadrzaj>
    <derivirana_varijabla naziv="DomainObject.Predmet.SudioniciListNaziv_1">
      <item>REPUBLIKA HRVATSKA Ministarstvo financija,Porezna uprava / - REPUBLIKA HRVATSKA Ministarstvo financija,Porezna uprava</item>
      <item>NOVI SALONIT društvo s ograničenom odgovornošću za proizvodnju, trgovinu i usluge</item>
      <item>Pero Hrkać</item>
    </derivirana_varijabla>
  </DomainObject.Predmet.SudioniciListNaziv>
  <DomainObject.Predmet.SudioniciListAdressOIB>
    <izvorni_sadrzaj>
      <item>REPUBLIKA HRVATSKA Ministarstvo financija,Porezna uprava / - REPUBLIKA HRVATSKA Ministarstvo financija,Porezna uprava, OIB 18683136487</item>
      <item>NOVI SALONIT društvo s ograničenom odgovornošću za proizvodnju, trgovinu i usluge, OIB 74737876059, Radnička Cesta 27,10000 Zagreb</item>
      <item>Pero Hrkać, OIB 15244122912, Čikoševa 5,10000 Zagreb</item>
    </izvorni_sadrzaj>
    <derivirana_varijabla naziv="DomainObject.Predmet.SudioniciListAdressOIB_1">
      <item>REPUBLIKA HRVATSKA Ministarstvo financija,Porezna uprava / - REPUBLIKA HRVATSKA Ministarstvo financija,Porezna uprava, OIB 18683136487</item>
      <item>NOVI SALONIT društvo s ograničenom odgovornošću za proizvodnju, trgovinu i usluge, OIB 74737876059, Radnička Cesta 27,10000 Zagreb</item>
      <item>Pero Hrkać, OIB 15244122912, Čikoševa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74737876059</item>
      <item>, OIB 15244122912</item>
    </izvorni_sadrzaj>
    <derivirana_varijabla naziv="DomainObject.Predmet.SudioniciListNazivOIB_1">
      <item>, OIB 18683136487</item>
      <item>, OIB 74737876059</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1116</properties:Words>
  <properties:Characters>6909</properties:Characters>
  <properties:Lines>135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8000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2017-08-08T12:25:00Z</dcterms:created>
  <dc:creator>ADMINIBM</dc:creator>
  <cp:lastModifiedBy>Kristina Švajger</cp:lastModifiedBy>
  <cp:lastPrinted>2017-07-19T11:31:00Z</cp:lastPrinted>
  <dcterms:modified xmlns:xsi="http://www.w3.org/2001/XMLSchema-instance" xsi:type="dcterms:W3CDTF">2017-08-08T12:25:00Z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St-47/2004-37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