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5b0fd" w14:paraId="e75b0fd" w:rsidRDefault="008E3EEE" w:rsidR="008F66B8">
      <w:pPr>
        <w:pStyle w:val="Naslov2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58218" cx="723903"/>
            <wp:effectExtent b="0" r="0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" id="0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y="0" x="0"/>
                      <a:ext cy="958218" cx="723903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Default="008E3EEE" w:rsidR="008F66B8">
      <w:pPr>
        <w:pStyle w:val="Naslov2"/>
        <w:rPr>
          <w:b w:val="false"/>
          <w:bCs/>
          <w:sz w:val="24"/>
          <w:szCs w:val="24"/>
        </w:rPr>
      </w:pPr>
      <w:r>
        <w:rPr>
          <w:b w:val="false"/>
          <w:bCs/>
          <w:sz w:val="24"/>
          <w:szCs w:val="24"/>
        </w:rPr>
        <w:t>REPUBLIKA HRVATSKA</w:t>
      </w:r>
    </w:p>
    <w:p w:rsidRDefault="008E3EEE" w:rsidR="008F66B8">
      <w:r>
        <w:t>Trgovački sud u Zagrebu</w:t>
      </w:r>
    </w:p>
    <w:p w:rsidRDefault="008E3EEE" w:rsidR="008F66B8">
      <w:r>
        <w:t>Zagreb, Amruševa 2/II</w:t>
      </w:r>
    </w:p>
    <w:p w:rsidRDefault="008E3EEE" w:rsidR="008F66B8">
      <w:pPr>
        <w:jc w:val="right"/>
      </w:pPr>
      <w:r>
        <w:rPr>
          <w:b/>
          <w:szCs w:val="24"/>
        </w:rPr>
        <w:t xml:space="preserve">  </w:t>
      </w:r>
      <w:r>
        <w:rPr>
          <w:szCs w:val="24"/>
        </w:rPr>
        <w:t xml:space="preserve">  40. St-1181/17</w:t>
      </w:r>
    </w:p>
    <w:p w:rsidRDefault="008E3EEE" w:rsidR="008F66B8">
      <w:pPr>
        <w:rPr>
          <w:b/>
          <w:szCs w:val="24"/>
        </w:rPr>
      </w:pP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              </w:t>
      </w:r>
    </w:p>
    <w:p w:rsidRDefault="008E3EEE" w:rsidR="008F66B8">
      <w:pPr>
        <w:ind w:left="2880"/>
        <w:rPr>
          <w:szCs w:val="24"/>
        </w:rPr>
      </w:pPr>
      <w:r>
        <w:rPr>
          <w:szCs w:val="24"/>
        </w:rPr>
        <w:t xml:space="preserve">                                   R E P U B L I K A   H R V A T S K A</w:t>
      </w:r>
    </w:p>
    <w:p w:rsidRDefault="008E3EEE" w:rsidR="008F66B8">
      <w:pPr>
        <w:ind w:left="2880"/>
        <w:rPr>
          <w:szCs w:val="24"/>
        </w:rPr>
      </w:pPr>
      <w:r>
        <w:rPr>
          <w:szCs w:val="24"/>
        </w:rPr>
        <w:t xml:space="preserve">                                                 R J E Š E NJ E</w:t>
      </w:r>
    </w:p>
    <w:p w:rsidRDefault="008F66B8" w:rsidR="008F66B8">
      <w:pPr>
        <w:jc w:val="center"/>
        <w:rPr>
          <w:b/>
          <w:szCs w:val="24"/>
        </w:rPr>
      </w:pPr>
    </w:p>
    <w:p w:rsidRDefault="008E3EEE" w:rsidR="008F66B8">
      <w:pPr>
        <w:ind w:firstLine="720"/>
        <w:rPr>
          <w:szCs w:val="24"/>
        </w:rPr>
      </w:pPr>
      <w:r>
        <w:rPr>
          <w:szCs w:val="24"/>
        </w:rPr>
        <w:t xml:space="preserve">TRGOVAČKI SUD U ZAGREBU, po sucu toga suda Anti Galiću, kao sucu pojedincu,  u stečajnom postupku nad dužnikom VIADUKT d.d., u stečaju, Zagreb, Kranjčevićeva 2., OIB 74794390096., dana 6.lipnja 2018. </w:t>
      </w:r>
    </w:p>
    <w:p w:rsidRDefault="008F66B8" w:rsidR="008F66B8">
      <w:pPr>
        <w:rPr>
          <w:sz w:val="40"/>
          <w:szCs w:val="40"/>
        </w:rPr>
      </w:pPr>
    </w:p>
    <w:p w:rsidRDefault="008E3EEE" w:rsidR="008F66B8">
      <w:pPr>
        <w:jc w:val="center"/>
        <w:rPr>
          <w:b/>
          <w:szCs w:val="24"/>
        </w:rPr>
      </w:pPr>
      <w:r>
        <w:rPr>
          <w:b/>
          <w:szCs w:val="24"/>
        </w:rPr>
        <w:t>r i j e š i o   j e</w:t>
      </w:r>
    </w:p>
    <w:p w:rsidRDefault="008F66B8" w:rsidR="008F66B8">
      <w:pPr>
        <w:jc w:val="center"/>
        <w:rPr>
          <w:szCs w:val="24"/>
        </w:rPr>
      </w:pPr>
    </w:p>
    <w:p w:rsidRDefault="008E3EEE" w:rsidR="008F66B8">
      <w:pPr>
        <w:ind w:left="720"/>
        <w:rPr>
          <w:b/>
          <w:szCs w:val="24"/>
        </w:rPr>
      </w:pPr>
      <w:r>
        <w:rPr>
          <w:b/>
          <w:szCs w:val="24"/>
        </w:rPr>
        <w:t>I    Utvrđene tražbine viših isplatnih redova:</w:t>
      </w:r>
    </w:p>
    <w:p w:rsidRDefault="008F66B8" w:rsidR="008F66B8">
      <w:pPr>
        <w:ind w:left="720"/>
        <w:rPr>
          <w:b/>
          <w:szCs w:val="24"/>
        </w:rPr>
      </w:pPr>
    </w:p>
    <w:p w:rsidRDefault="008E3EEE" w:rsidR="008F66B8">
      <w:pPr>
        <w:ind w:firstLine="708" w:left="12"/>
        <w:rPr>
          <w:b/>
          <w:szCs w:val="24"/>
        </w:rPr>
      </w:pPr>
      <w:r>
        <w:rPr>
          <w:b/>
          <w:szCs w:val="24"/>
        </w:rPr>
        <w:t xml:space="preserve">Drugi viši isplatni red </w:t>
      </w:r>
    </w:p>
    <w:p w:rsidRDefault="008F66B8" w:rsidR="008F66B8">
      <w:pPr>
        <w:ind w:firstLine="720"/>
        <w:rPr>
          <w:szCs w:val="24"/>
        </w:rPr>
      </w:pPr>
    </w:p>
    <w:tbl>
      <w:tblPr>
        <w:tblW w:type="dxa" w:w="13183"/>
        <w:tblInd w:type="dxa" w:w="704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67"/>
        <w:gridCol w:w="4394"/>
        <w:gridCol w:w="2694"/>
        <w:gridCol w:w="3260"/>
        <w:gridCol w:w="2268"/>
      </w:tblGrid>
      <w:tr w:rsidR="008F66B8">
        <w:trPr>
          <w:trHeight w:val="1200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E3EEE" w:rsidR="008F66B8">
            <w:pPr>
              <w:ind w:firstLine="0"/>
              <w:jc w:val="left"/>
              <w:textAlignment w:val="auto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1.</w:t>
            </w:r>
          </w:p>
        </w:tc>
        <w:tc>
          <w:tcPr>
            <w:tcW w:type="dxa" w:w="439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E3EEE" w:rsidR="008F66B8">
            <w:pPr>
              <w:ind w:firstLine="0"/>
              <w:jc w:val="left"/>
              <w:textAlignment w:val="auto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 xml:space="preserve">HYPO GROPU d.o.o., </w:t>
            </w:r>
          </w:p>
        </w:tc>
        <w:tc>
          <w:tcPr>
            <w:tcW w:type="dxa" w:w="269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E3EEE" w:rsidR="008F66B8">
            <w:pPr>
              <w:ind w:firstLine="0"/>
              <w:jc w:val="left"/>
              <w:textAlignment w:val="auto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04938014535</w:t>
            </w:r>
          </w:p>
        </w:tc>
        <w:tc>
          <w:tcPr>
            <w:tcW w:type="dxa" w:w="32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E3EEE" w:rsidR="008F66B8">
            <w:pPr>
              <w:ind w:firstLine="0"/>
              <w:jc w:val="left"/>
              <w:textAlignment w:val="auto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Rijeka, Užarska 28.</w:t>
            </w:r>
          </w:p>
        </w:tc>
        <w:tc>
          <w:tcPr>
            <w:tcW w:type="dxa" w:w="22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E3EEE" w:rsidR="008F66B8">
            <w:pPr>
              <w:ind w:firstLine="0"/>
              <w:jc w:val="left"/>
              <w:textAlignment w:val="auto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3.361,03 kn</w:t>
            </w:r>
          </w:p>
        </w:tc>
      </w:tr>
    </w:tbl>
    <w:p w:rsidRDefault="008F66B8" w:rsidR="008F66B8">
      <w:pPr>
        <w:ind w:firstLine="720"/>
        <w:rPr>
          <w:b/>
          <w:szCs w:val="24"/>
        </w:rPr>
      </w:pPr>
    </w:p>
    <w:p w:rsidRDefault="008E3EEE" w:rsidR="008F66B8">
      <w:pPr>
        <w:ind w:firstLine="720" w:left="696"/>
        <w:rPr>
          <w:b/>
          <w:szCs w:val="24"/>
        </w:rPr>
      </w:pPr>
      <w:r>
        <w:rPr>
          <w:b/>
          <w:szCs w:val="24"/>
        </w:rPr>
        <w:t>II  Osporene tražbine viših isplatnih redova:</w:t>
      </w:r>
    </w:p>
    <w:p w:rsidRDefault="008F66B8" w:rsidR="008F66B8">
      <w:pPr>
        <w:ind w:firstLine="720"/>
        <w:rPr>
          <w:b/>
          <w:szCs w:val="24"/>
        </w:rPr>
      </w:pPr>
    </w:p>
    <w:p w:rsidRDefault="008E3EEE" w:rsidR="008F66B8">
      <w:pPr>
        <w:ind w:firstLine="720" w:left="696"/>
        <w:rPr>
          <w:b/>
          <w:szCs w:val="24"/>
        </w:rPr>
      </w:pPr>
      <w:r>
        <w:rPr>
          <w:b/>
          <w:szCs w:val="24"/>
        </w:rPr>
        <w:t>Drugi viši isplatni red</w:t>
      </w:r>
    </w:p>
    <w:p w:rsidRDefault="008F66B8" w:rsidR="008F66B8">
      <w:pPr>
        <w:ind w:firstLine="720"/>
        <w:rPr>
          <w:b/>
          <w:szCs w:val="24"/>
        </w:rPr>
      </w:pPr>
    </w:p>
    <w:p w:rsidRDefault="008E3EEE" w:rsidR="008F66B8">
      <w:pPr>
        <w:widowControl w:val="false"/>
        <w:suppressAutoHyphens w:val="false"/>
        <w:overflowPunct w:val="false"/>
        <w:autoSpaceDE w:val="false"/>
        <w:ind w:left="696"/>
      </w:pPr>
      <w:r>
        <w:rPr>
          <w:b/>
          <w:szCs w:val="24"/>
        </w:rPr>
        <w:lastRenderedPageBreak/>
        <w:t xml:space="preserve">1.Stečajni vjerovnik </w:t>
      </w:r>
      <w:r>
        <w:rPr>
          <w:b/>
          <w:szCs w:val="24"/>
          <w:lang w:val="en-US"/>
        </w:rPr>
        <w:t xml:space="preserve"> HYPO GROPU d.o.o. Rijeka, Užarska 28. 04938014535</w:t>
      </w:r>
      <w:r>
        <w:rPr>
          <w:b/>
          <w:szCs w:val="24"/>
        </w:rPr>
        <w:t xml:space="preserve"> osporio je tražbinu slijedeće vjerovniku  II višeg isplatnog  redu za koju ne postoji ovršna isprava:</w:t>
      </w:r>
    </w:p>
    <w:p w:rsidRDefault="008F66B8" w:rsidR="008F66B8">
      <w:pPr>
        <w:ind w:firstLine="708" w:left="12"/>
        <w:rPr>
          <w:b/>
          <w:szCs w:val="24"/>
        </w:rPr>
      </w:pPr>
    </w:p>
    <w:tbl>
      <w:tblPr>
        <w:tblW w:type="dxa" w:w="13325"/>
        <w:tblInd w:type="dxa" w:w="704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709"/>
        <w:gridCol w:w="4252"/>
        <w:gridCol w:w="2694"/>
        <w:gridCol w:w="3260"/>
        <w:gridCol w:w="2410"/>
      </w:tblGrid>
      <w:tr w:rsidR="008F66B8">
        <w:trPr>
          <w:trHeight w:val="1200"/>
        </w:trPr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E3EEE" w:rsidR="008F66B8">
            <w:pPr>
              <w:ind w:firstLine="0"/>
              <w:jc w:val="left"/>
              <w:textAlignment w:val="auto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1.</w:t>
            </w:r>
          </w:p>
        </w:tc>
        <w:tc>
          <w:tcPr>
            <w:tcW w:type="dxa" w:w="425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E3EEE" w:rsidR="008F66B8">
            <w:pPr>
              <w:ind w:firstLine="0"/>
              <w:jc w:val="left"/>
              <w:textAlignment w:val="auto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ALEJA finance, finančne in druge storitve d.o.o. LJUBLJANA, REPUBLIKA SLOVENIJA</w:t>
            </w:r>
          </w:p>
        </w:tc>
        <w:tc>
          <w:tcPr>
            <w:tcW w:type="dxa" w:w="269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E3EEE" w:rsidR="008F66B8">
            <w:pPr>
              <w:ind w:firstLine="0"/>
              <w:jc w:val="left"/>
              <w:textAlignment w:val="auto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04781076650</w:t>
            </w:r>
          </w:p>
        </w:tc>
        <w:tc>
          <w:tcPr>
            <w:tcW w:type="dxa" w:w="32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E3EEE" w:rsidR="008F66B8">
            <w:pPr>
              <w:ind w:firstLine="0"/>
              <w:jc w:val="left"/>
              <w:textAlignment w:val="auto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1 Letališka cesta 3C, 1000 Ljubljana, Republika Slovenija</w:t>
            </w:r>
          </w:p>
        </w:tc>
        <w:tc>
          <w:tcPr>
            <w:tcW w:type="dxa" w:w="24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E3EEE" w:rsidR="008F66B8">
            <w:pPr>
              <w:ind w:firstLine="0"/>
              <w:jc w:val="left"/>
              <w:textAlignment w:val="auto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7.912.981,69</w:t>
            </w:r>
          </w:p>
        </w:tc>
      </w:tr>
    </w:tbl>
    <w:p w:rsidRDefault="008F66B8" w:rsidR="008F66B8">
      <w:pPr>
        <w:ind w:firstLine="348" w:left="360"/>
        <w:rPr>
          <w:szCs w:val="24"/>
        </w:rPr>
      </w:pPr>
    </w:p>
    <w:p w:rsidRDefault="008E3EEE" w:rsidR="008F66B8">
      <w:pPr>
        <w:ind w:firstLine="708"/>
        <w:textAlignment w:val="auto"/>
      </w:pPr>
      <w:r>
        <w:t>Upućuje se stečajni vjerovnik na parnicu radi utvrđenja osporene tražbine. Osporavatelj u parnici nastupa u ime i za račun stečajnog dužnika.</w:t>
      </w:r>
    </w:p>
    <w:p w:rsidRDefault="008F66B8" w:rsidR="008F66B8">
      <w:pPr>
        <w:widowControl w:val="false"/>
        <w:suppressAutoHyphens w:val="false"/>
        <w:overflowPunct w:val="false"/>
        <w:autoSpaceDE w:val="false"/>
        <w:rPr>
          <w:b/>
          <w:szCs w:val="24"/>
        </w:rPr>
      </w:pPr>
    </w:p>
    <w:p w:rsidRDefault="008E3EEE" w:rsidR="008F66B8">
      <w:pPr>
        <w:widowControl w:val="false"/>
        <w:suppressAutoHyphens w:val="false"/>
        <w:overflowPunct w:val="false"/>
        <w:autoSpaceDE w:val="false"/>
        <w:ind w:left="708"/>
      </w:pPr>
      <w:r>
        <w:rPr>
          <w:b/>
          <w:szCs w:val="24"/>
        </w:rPr>
        <w:t xml:space="preserve">2.Stečajni vjerovnik </w:t>
      </w:r>
      <w:r>
        <w:rPr>
          <w:b/>
          <w:szCs w:val="24"/>
          <w:lang w:val="en-US"/>
        </w:rPr>
        <w:t xml:space="preserve"> HYPO GROPU d.o.o. Rijeka, Užarska 28. 04938014535</w:t>
      </w:r>
      <w:r>
        <w:rPr>
          <w:b/>
          <w:szCs w:val="24"/>
        </w:rPr>
        <w:t xml:space="preserve"> osporio je tražbine slijedećim vjerovnicima  II višeg isplatnog  redu za  koje  postoji ovršna isprava:</w:t>
      </w:r>
    </w:p>
    <w:p w:rsidRDefault="008F66B8" w:rsidR="008F66B8">
      <w:pPr>
        <w:ind w:firstLine="708" w:left="12"/>
        <w:rPr>
          <w:b/>
          <w:szCs w:val="24"/>
        </w:rPr>
      </w:pPr>
    </w:p>
    <w:tbl>
      <w:tblPr>
        <w:tblW w:type="dxa" w:w="13325"/>
        <w:tblInd w:type="dxa" w:w="704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709"/>
        <w:gridCol w:w="4252"/>
        <w:gridCol w:w="2552"/>
        <w:gridCol w:w="3402"/>
        <w:gridCol w:w="2410"/>
      </w:tblGrid>
      <w:tr w:rsidR="008F66B8">
        <w:trPr>
          <w:trHeight w:val="1200"/>
        </w:trPr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E3EEE" w:rsidR="008F66B8">
            <w:pPr>
              <w:ind w:firstLine="0"/>
              <w:jc w:val="left"/>
              <w:textAlignment w:val="auto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1.</w:t>
            </w:r>
          </w:p>
        </w:tc>
        <w:tc>
          <w:tcPr>
            <w:tcW w:type="dxa" w:w="425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E3EEE" w:rsidR="008F66B8">
            <w:pPr>
              <w:ind w:firstLine="0"/>
              <w:jc w:val="left"/>
              <w:textAlignment w:val="auto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MINISTARSTVO ZA FINANCE, FINANČNA UPRAVA RS, REPUBLIKA SLOVENIJA</w:t>
            </w:r>
          </w:p>
        </w:tc>
        <w:tc>
          <w:tcPr>
            <w:tcW w:type="dxa" w:w="255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E3EEE" w:rsidR="008F66B8">
            <w:pPr>
              <w:ind w:firstLine="0"/>
              <w:jc w:val="left"/>
              <w:textAlignment w:val="auto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2482711000</w:t>
            </w:r>
          </w:p>
        </w:tc>
        <w:tc>
          <w:tcPr>
            <w:tcW w:type="dxa" w:w="340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E3EEE" w:rsidR="008F66B8">
            <w:pPr>
              <w:ind w:firstLine="0"/>
              <w:jc w:val="left"/>
              <w:textAlignment w:val="auto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Šubićeva 2, 1000 Ljubljana, Republika Slovenija</w:t>
            </w:r>
          </w:p>
        </w:tc>
        <w:tc>
          <w:tcPr>
            <w:tcW w:type="dxa" w:w="24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E3EEE" w:rsidR="008F66B8">
            <w:pPr>
              <w:ind w:firstLine="0"/>
              <w:jc w:val="left"/>
              <w:textAlignment w:val="auto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235.388,29</w:t>
            </w:r>
          </w:p>
        </w:tc>
      </w:tr>
      <w:tr w:rsidR="008F66B8">
        <w:trPr>
          <w:trHeight w:val="1200"/>
        </w:trPr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E3EEE" w:rsidR="008F66B8">
            <w:pPr>
              <w:ind w:firstLine="0"/>
              <w:jc w:val="left"/>
              <w:textAlignment w:val="auto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2.</w:t>
            </w:r>
          </w:p>
        </w:tc>
        <w:tc>
          <w:tcPr>
            <w:tcW w:type="dxa" w:w="425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E3EEE" w:rsidR="008F66B8">
            <w:pPr>
              <w:ind w:firstLine="0"/>
              <w:jc w:val="left"/>
              <w:textAlignment w:val="auto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 xml:space="preserve">REPUBLIKA HRVATSKA, MINISTARSTVO FINANCIJA, ZAGREB </w:t>
            </w:r>
          </w:p>
        </w:tc>
        <w:tc>
          <w:tcPr>
            <w:tcW w:type="dxa" w:w="255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E3EEE" w:rsidR="008F66B8">
            <w:pPr>
              <w:ind w:firstLine="0"/>
              <w:jc w:val="left"/>
              <w:textAlignment w:val="auto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18683136487</w:t>
            </w:r>
          </w:p>
        </w:tc>
        <w:tc>
          <w:tcPr>
            <w:tcW w:type="dxa" w:w="340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E3EEE" w:rsidR="008F66B8">
            <w:pPr>
              <w:ind w:firstLine="0"/>
              <w:jc w:val="left"/>
              <w:textAlignment w:val="auto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Savska cesta 41, 10000 Zagreb</w:t>
            </w:r>
          </w:p>
        </w:tc>
        <w:tc>
          <w:tcPr>
            <w:tcW w:type="dxa" w:w="24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E3EEE" w:rsidR="008F66B8">
            <w:pPr>
              <w:ind w:firstLine="0"/>
              <w:jc w:val="left"/>
              <w:textAlignment w:val="auto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17.847.874,63</w:t>
            </w:r>
          </w:p>
        </w:tc>
      </w:tr>
    </w:tbl>
    <w:p w:rsidRDefault="008F66B8" w:rsidR="008F66B8">
      <w:pPr>
        <w:ind w:firstLine="708"/>
        <w:textAlignment w:val="auto"/>
        <w:rPr>
          <w:szCs w:val="24"/>
        </w:rPr>
      </w:pPr>
    </w:p>
    <w:p w:rsidRDefault="008E3EEE" w:rsidR="008F66B8">
      <w:pPr>
        <w:ind w:firstLine="708"/>
        <w:textAlignment w:val="auto"/>
        <w:rPr>
          <w:szCs w:val="24"/>
        </w:rPr>
      </w:pPr>
      <w:r>
        <w:rPr>
          <w:szCs w:val="24"/>
        </w:rPr>
        <w:t>Upućuje se osporavatelja na parnicu radi dokazivanja osnovanosti osporavanja.</w:t>
      </w:r>
    </w:p>
    <w:p w:rsidRDefault="008F66B8" w:rsidR="008F66B8">
      <w:pPr>
        <w:ind w:firstLine="708"/>
        <w:textAlignment w:val="auto"/>
        <w:rPr>
          <w:szCs w:val="24"/>
        </w:rPr>
      </w:pPr>
    </w:p>
    <w:p w:rsidRDefault="008F66B8" w:rsidR="008F66B8">
      <w:pPr>
        <w:ind w:firstLine="708" w:left="12"/>
        <w:rPr>
          <w:b/>
          <w:szCs w:val="24"/>
        </w:rPr>
      </w:pPr>
    </w:p>
    <w:p w:rsidRDefault="008E3EEE" w:rsidR="008F66B8">
      <w:pPr>
        <w:jc w:val="center"/>
        <w:rPr>
          <w:szCs w:val="24"/>
        </w:rPr>
      </w:pPr>
      <w:r>
        <w:rPr>
          <w:szCs w:val="24"/>
        </w:rPr>
        <w:t xml:space="preserve">Obrazloženje </w:t>
      </w:r>
    </w:p>
    <w:p w:rsidRDefault="008F66B8" w:rsidR="008F66B8">
      <w:pPr>
        <w:jc w:val="center"/>
        <w:rPr>
          <w:szCs w:val="24"/>
        </w:rPr>
      </w:pPr>
    </w:p>
    <w:p w:rsidRDefault="008E3EEE" w:rsidR="008F66B8">
      <w:pPr>
        <w:ind w:firstLine="720"/>
        <w:rPr>
          <w:szCs w:val="24"/>
        </w:rPr>
      </w:pPr>
      <w:r>
        <w:rPr>
          <w:szCs w:val="24"/>
        </w:rPr>
        <w:t xml:space="preserve">Na ispitnom ročištu održanom dana 9.siječnja  2018. ispitane su prijavljene i priznate tražbine drugog višeg isplatnog reda tražbina viših isplatnih redova. </w:t>
      </w:r>
    </w:p>
    <w:p w:rsidRDefault="008F66B8" w:rsidR="008F66B8">
      <w:pPr>
        <w:rPr>
          <w:szCs w:val="24"/>
        </w:rPr>
      </w:pPr>
    </w:p>
    <w:p w:rsidRDefault="008E3EEE" w:rsidR="008F66B8">
      <w:pPr>
        <w:ind w:firstLine="708"/>
        <w:textAlignment w:val="auto"/>
      </w:pPr>
      <w:r>
        <w:rPr>
          <w:szCs w:val="24"/>
        </w:rPr>
        <w:lastRenderedPageBreak/>
        <w:t xml:space="preserve">Na ispitnom ročištu vjerovnik HYPO GROUP d.o.o. osporio je  tražbinu vjerovnika Ministarstvo financija Republike Hrvatske, Porezna uprava, u iznosu od 17.847.876,60 kn, tražbinu Ministarstvo za finace, Finanična uprava RS, Republika Slovenija u iznosu od  235.388,29 kn, te tražbinu vjerovniku </w:t>
      </w:r>
      <w:r>
        <w:rPr>
          <w:szCs w:val="24"/>
          <w:lang w:val="en-US"/>
        </w:rPr>
        <w:t xml:space="preserve"> ALEJA finance, finančne in druge storitve d.o.o. LJUBLJANA, REPUBLIKA SLOVENIJA u iznosu od 7.912.981,69.</w:t>
      </w:r>
    </w:p>
    <w:p w:rsidRDefault="008E3EEE" w:rsidR="008F66B8">
      <w:pPr>
        <w:ind w:firstLine="720"/>
      </w:pPr>
      <w:r>
        <w:rPr>
          <w:szCs w:val="24"/>
        </w:rPr>
        <w:t xml:space="preserve">Rješenjem ovog suda od 15. siječnja 2018. utvrđene su u drugom višem isplatnom redu tražbina vjerovnika EKOTEX d.o.o. u iznosu od 3.361,03 kn, tražbina Ministarstvo financija Republike Hrvatske, Porezna uprava, u iznosu od 17.847.876,60 kn, tražbinu vjerovnika Ministarstvo za finace, Finanična uprava RS, Republika Slovenija u iznosu od  235.388,29 kn, te vjerovnika </w:t>
      </w:r>
      <w:r>
        <w:rPr>
          <w:szCs w:val="24"/>
          <w:lang w:val="en-US"/>
        </w:rPr>
        <w:t xml:space="preserve"> ALEJA finance, finančne in druge storitve d.o.o. LJUBLJANA, REPUBLIKA SLOVENIJA u iznosu od 7.912.981,69. Sve to jer je sud prvog stupnja smatrao da je osporavanje tražbina od strane vjerovnika </w:t>
      </w:r>
      <w:r>
        <w:rPr>
          <w:szCs w:val="24"/>
        </w:rPr>
        <w:t>HYPO GROUP d.o.o. bez pravnog učinka</w:t>
      </w:r>
    </w:p>
    <w:p w:rsidRDefault="008E3EEE" w:rsidR="008F66B8">
      <w:pPr>
        <w:ind w:firstLine="720"/>
        <w:rPr>
          <w:szCs w:val="24"/>
        </w:rPr>
      </w:pPr>
      <w:r>
        <w:rPr>
          <w:szCs w:val="24"/>
        </w:rPr>
        <w:t xml:space="preserve">Postupajući po žalbi HYPO GROUP d.o.o, rješenjem Visokog trgovačkog suda Republike Hrvatske od 24.travnja 2018., poslovni broj Pž-754/18 ukinuta su utvrđenja suda iz odluke od 15.siječnja 2018. u odnosu na naprijed navedene tražbine vjerovnika, te sud prvog stupnja upućen na donošenje </w:t>
      </w:r>
      <w:r w:rsidR="00036375">
        <w:rPr>
          <w:szCs w:val="24"/>
        </w:rPr>
        <w:t>novog</w:t>
      </w:r>
      <w:r>
        <w:rPr>
          <w:szCs w:val="24"/>
        </w:rPr>
        <w:t xml:space="preserve"> rješenja koje će imati u vidu valjalo osporavanje tražbine vjerovnika HYPO GROUP d.o.o. vjerovnicima navedenim u toč.II izreke ovog rješenja.</w:t>
      </w:r>
    </w:p>
    <w:p w:rsidRDefault="008F66B8" w:rsidR="008F66B8">
      <w:pPr>
        <w:ind w:firstLine="720"/>
        <w:rPr>
          <w:szCs w:val="24"/>
        </w:rPr>
      </w:pPr>
    </w:p>
    <w:p w:rsidRDefault="008E3EEE" w:rsidR="008F66B8">
      <w:pPr>
        <w:ind w:firstLine="720"/>
      </w:pPr>
      <w:r>
        <w:rPr>
          <w:szCs w:val="24"/>
        </w:rPr>
        <w:t xml:space="preserve">Uvidom u prijavu tražbinu vjerovnika </w:t>
      </w:r>
      <w:r>
        <w:rPr>
          <w:szCs w:val="24"/>
          <w:lang w:val="en-US"/>
        </w:rPr>
        <w:t xml:space="preserve"> ALEJA finance, finančne in druge storitve d.o.o. LJUBLJANA, REPUBLIKA SLOVENIJA u iznosu od 7.912.981,69 utvrđeno ja kako za osporenu tražbinu ne postoji ovršna isprava, a uvidom u tražbine vjerovnika </w:t>
      </w:r>
      <w:r>
        <w:rPr>
          <w:szCs w:val="24"/>
        </w:rPr>
        <w:t>Ministarstvo financija Republike Hrvatske, Porezna uprava, u iznosu od 17.847.876,60 kn i  Ministarstvo za finace, Finanična uprava RS, Republika Slovenija u iznosu od  235.388,29 kn utvrđeno kako za osporene tražbine postoji ovršna isprava.</w:t>
      </w:r>
    </w:p>
    <w:p w:rsidRDefault="008F66B8" w:rsidR="008F66B8">
      <w:pPr>
        <w:ind w:firstLine="720"/>
        <w:rPr>
          <w:szCs w:val="24"/>
        </w:rPr>
      </w:pPr>
    </w:p>
    <w:p w:rsidRDefault="008E3EEE" w:rsidR="008F66B8">
      <w:pPr>
        <w:ind w:firstLine="720"/>
        <w:rPr>
          <w:szCs w:val="24"/>
        </w:rPr>
      </w:pPr>
      <w:r>
        <w:rPr>
          <w:szCs w:val="24"/>
        </w:rPr>
        <w:t xml:space="preserve">Slijedom naprijed navedenog, a temeljem odredbe članka 263. rečenica  prva  SZ-a rješeno ja kao pod toč.I, a temeljem odredbe članka 266. SZ-a riješeno kao pod toč.II. </w:t>
      </w:r>
    </w:p>
    <w:p w:rsidRDefault="008E3EEE" w:rsidR="008F66B8">
      <w:pPr>
        <w:jc w:val="center"/>
        <w:rPr>
          <w:szCs w:val="24"/>
        </w:rPr>
      </w:pPr>
      <w:r>
        <w:rPr>
          <w:szCs w:val="24"/>
        </w:rPr>
        <w:t>Zagreb, 6.lipnja 2018.</w:t>
      </w:r>
    </w:p>
    <w:p w:rsidRDefault="008E3EEE" w:rsidR="008F66B8">
      <w:pPr>
        <w:ind w:firstLine="720" w:left="5040"/>
        <w:jc w:val="right"/>
        <w:rPr>
          <w:szCs w:val="24"/>
        </w:rPr>
      </w:pPr>
      <w:r>
        <w:rPr>
          <w:szCs w:val="24"/>
        </w:rPr>
        <w:t xml:space="preserve">     SUDAC:  </w:t>
      </w:r>
    </w:p>
    <w:p w:rsidRDefault="006273B7" w:rsidR="008F66B8">
      <w:pPr>
        <w:ind w:left="5040"/>
        <w:jc w:val="right"/>
        <w:rPr>
          <w:szCs w:val="24"/>
        </w:rPr>
      </w:pPr>
      <w:r>
        <w:rPr>
          <w:szCs w:val="24"/>
        </w:rPr>
        <w:t xml:space="preserve">               Ante Galić , v.r.</w:t>
      </w:r>
    </w:p>
    <w:p w:rsidRDefault="008E3EEE" w:rsidR="008F66B8">
      <w:pPr>
        <w:rPr>
          <w:szCs w:val="24"/>
        </w:rPr>
      </w:pPr>
      <w:r>
        <w:rPr>
          <w:szCs w:val="24"/>
        </w:rPr>
        <w:t>UPUTA  O PRAVNOM LIJEKU:</w:t>
      </w:r>
    </w:p>
    <w:p w:rsidRDefault="008E3EEE" w:rsidR="008F66B8">
      <w:pPr>
        <w:rPr>
          <w:szCs w:val="24"/>
        </w:rPr>
      </w:pPr>
      <w:r>
        <w:rPr>
          <w:szCs w:val="24"/>
        </w:rPr>
        <w:t>Protiv ovog rješenja pravo na žalbu ima svaki vjerovnik u dijelu koji se tiče njegove prijavljene tražbine, odnosno tražbine koju je osporio i  stečajni upravitelj (članak 265. stavak 3. SZ-a). Rok za žalbu iznosi 8 dana. Žalba se podnosi ovom sudu u 2 primjerka.</w:t>
      </w:r>
    </w:p>
    <w:p w:rsidRDefault="008F66B8" w:rsidR="008F66B8">
      <w:pPr>
        <w:rPr>
          <w:szCs w:val="24"/>
        </w:rPr>
      </w:pPr>
    </w:p>
    <w:p w:rsidRDefault="006273B7" w:rsidP="006273B7" w:rsidR="006273B7">
      <w:pPr>
        <w:ind w:left="7787"/>
      </w:pPr>
      <w:r>
        <w:t>Za točnost otpravka, ovlašteni službenik:</w:t>
      </w:r>
    </w:p>
    <w:p w:rsidRDefault="006273B7" w:rsidP="00422EE0" w:rsidR="006273B7"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Valentina Delač</w:t>
      </w:r>
    </w:p>
    <w:p w:rsidRDefault="008F66B8" w:rsidP="006273B7" w:rsidR="008F66B8">
      <w:pPr>
        <w:pStyle w:val="Odlomakpopisa"/>
        <w:tabs>
          <w:tab w:pos="720" w:val="left"/>
        </w:tabs>
        <w:jc w:val="both"/>
      </w:pPr>
    </w:p>
    <w:sectPr w:rsidR="008F66B8">
      <w:headerReference w:type="default" r:id="rId10"/>
      <w:pgSz w:orient="landscape" w:h="11906" w:w="16838"/>
      <w:pgMar w:gutter="0" w:footer="720" w:header="720" w:left="1417" w:bottom="1417" w:right="1417" w:top="1417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3EEE" w:rsidR="002F5B09">
      <w:r>
        <w:separator/>
      </w:r>
    </w:p>
  </w:endnote>
  <w:endnote w:id="0" w:type="continuationSeparator">
    <w:p w:rsidRDefault="008E3EEE" w:rsidR="002F5B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3EEE" w:rsidR="002F5B09">
      <w:r>
        <w:rPr>
          <w:color w:val="000000"/>
        </w:rPr>
        <w:separator/>
      </w:r>
    </w:p>
  </w:footnote>
  <w:footnote w:id="0" w:type="continuationSeparator">
    <w:p w:rsidRDefault="008E3EEE" w:rsidR="002F5B0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3EEE" w:rsidR="004F43D6">
    <w:pPr>
      <w:pStyle w:val="Zaglavlje"/>
      <w:jc w:val="center"/>
    </w:pPr>
    <w:r>
      <w:fldChar w:fldCharType="begin"/>
    </w:r>
    <w:r>
      <w:instrText xml:space="preserve"> PAGE </w:instrText>
    </w:r>
    <w:r>
      <w:fldChar w:fldCharType="separate"/>
    </w:r>
    <w:r w:rsidR="006273B7">
      <w:rPr>
        <w:noProof/>
      </w:rPr>
      <w:t>1</w:t>
    </w:r>
    <w:r>
      <w:fldChar w:fldCharType="end"/>
    </w:r>
  </w:p>
  <w:p w:rsidRDefault="006273B7" w:rsidR="004F43D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012A89"/>
    <w:multiLevelType w:val="multilevel"/>
    <w:tmpl w:val="E6FE4CBE"/>
    <w:lvl w:ilvl="0">
      <w:start w:val="1"/>
      <w:numFmt w:val="decimal"/>
      <w:lvlText w:val="%1."/>
      <w:lvlJc w:val="left"/>
      <w:pPr>
        <w:ind w:hanging="360" w:left="72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rsids>
    <w:rsidRoot w:val="008F66B8"/>
    <w:rsid w:val="00036375"/>
    <w:rsid w:val="002F5B09"/>
    <w:rsid w:val="006273B7"/>
    <w:rsid w:val="008E3EEE"/>
    <w:rsid w:val="008F6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Times New Roman" w:ascii="Times New Roman"/>
        <w:sz w:val="24"/>
        <w:szCs w:val="22"/>
        <w:lang w:bidi="ar-SA" w:eastAsia="en-US" w:val="hr-HR"/>
      </w:rPr>
    </w:rPrDefault>
    <w:pPrDefault>
      <w:pPr>
        <w:autoSpaceDN w:val="false"/>
        <w:ind w:firstLine="709"/>
        <w:jc w:val="both"/>
        <w:textAlignment w:val="baseline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pPr>
      <w:suppressAutoHyphens/>
    </w:pPr>
  </w:style>
  <w:style w:styleId="Naslov1" w:type="paragraph">
    <w:name w:val="heading 1"/>
    <w:basedOn w:val="Normal"/>
    <w:next w:val="Normal"/>
    <w:link w:val="Naslov1Char"/>
    <w:uiPriority w:val="9"/>
    <w:qFormat/>
    <w:rsid w:val="008E3EEE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pPr>
      <w:keepNext/>
      <w:widowControl w:val="false"/>
      <w:suppressAutoHyphens w:val="false"/>
      <w:overflowPunct w:val="false"/>
      <w:autoSpaceDE w:val="false"/>
      <w:ind w:firstLine="0"/>
      <w:outlineLvl w:val="1"/>
    </w:pPr>
    <w:rPr>
      <w:rFonts w:eastAsia="Times New Roman"/>
      <w:b/>
      <w:sz w:val="22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rPr>
      <w:rFonts w:eastAsia="Times New Roman"/>
      <w:b/>
      <w:sz w:val="22"/>
      <w:szCs w:val="20"/>
      <w:lang w:eastAsia="hr-HR"/>
    </w:rPr>
  </w:style>
  <w:style w:styleId="Odlomakpopisa" w:type="paragraph">
    <w:name w:val="List Paragraph"/>
    <w:basedOn w:val="Normal"/>
    <w:pPr>
      <w:suppressAutoHyphens w:val="false"/>
      <w:spacing w:lineRule="auto" w:line="276" w:after="200"/>
      <w:ind w:firstLine="0" w:left="720"/>
      <w:jc w:val="left"/>
      <w:textAlignment w:val="auto"/>
    </w:pPr>
    <w:rPr>
      <w:rFonts w:eastAsia="Times New Roman" w:hAnsi="Calibri" w:ascii="Calibri"/>
      <w:sz w:val="22"/>
      <w:lang w:eastAsia="hr-HR"/>
    </w:rPr>
  </w:style>
  <w:style w:styleId="Tekstbalonia" w:type="paragraph">
    <w:name w:val="Balloon Text"/>
    <w:basedOn w:val="Normal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rPr>
      <w:rFonts w:cs="Tahoma" w:hAnsi="Tahoma" w:ascii="Tahoma"/>
      <w:sz w:val="16"/>
      <w:szCs w:val="16"/>
    </w:rPr>
  </w:style>
  <w:style w:styleId="Bezproreda" w:type="paragraph">
    <w:name w:val="No Spacing"/>
    <w:pPr>
      <w:ind w:firstLine="0"/>
      <w:jc w:val="left"/>
      <w:textAlignment w:val="auto"/>
    </w:pPr>
    <w:rPr>
      <w:rFonts w:hAnsi="Calibri" w:ascii="Calibri"/>
      <w:sz w:val="22"/>
    </w:rPr>
  </w:style>
  <w:style w:customStyle="true" w:styleId="TijelotekstaChar" w:type="character">
    <w:name w:val="Tijelo teksta Char"/>
    <w:basedOn w:val="Zadanifontodlomka"/>
    <w:rPr>
      <w:rFonts w:cs="Times New Roman" w:eastAsia="Arial" w:hAnsi="Arial" w:ascii="Arial"/>
      <w:b/>
      <w:bCs/>
      <w:sz w:val="11"/>
      <w:szCs w:val="11"/>
      <w:lang w:val="en-US"/>
    </w:rPr>
  </w:style>
  <w:style w:styleId="Tijeloteksta" w:type="paragraph">
    <w:name w:val="Body Text"/>
    <w:basedOn w:val="Normal"/>
    <w:pPr>
      <w:widowControl w:val="false"/>
      <w:suppressAutoHyphens w:val="false"/>
      <w:spacing w:before="90"/>
      <w:ind w:firstLine="0"/>
      <w:jc w:val="left"/>
      <w:textAlignment w:val="auto"/>
    </w:pPr>
    <w:rPr>
      <w:rFonts w:eastAsia="Arial" w:hAnsi="Arial" w:ascii="Arial"/>
      <w:b/>
      <w:bCs/>
      <w:sz w:val="11"/>
      <w:szCs w:val="11"/>
      <w:lang w:val="en-US"/>
    </w:rPr>
  </w:style>
  <w:style w:customStyle="true" w:styleId="TijelotekstaChar1" w:type="character">
    <w:name w:val="Tijelo teksta Char1"/>
    <w:basedOn w:val="Zadanifontodlomka"/>
    <w:rPr>
      <w:rFonts w:eastAsia="Arial" w:hAnsi="Arial" w:ascii="Arial"/>
      <w:b/>
      <w:bCs/>
      <w:sz w:val="11"/>
      <w:szCs w:val="11"/>
      <w:lang w:val="en-US"/>
    </w:rPr>
  </w:style>
  <w:style w:customStyle="true" w:styleId="TableParagraph" w:type="paragraph">
    <w:name w:val="Table Paragraph"/>
    <w:basedOn w:val="Normal"/>
    <w:pPr>
      <w:widowControl w:val="false"/>
      <w:suppressAutoHyphens w:val="false"/>
      <w:ind w:firstLine="0"/>
      <w:jc w:val="left"/>
      <w:textAlignment w:val="auto"/>
    </w:pPr>
    <w:rPr>
      <w:rFonts w:hAnsi="Calibri" w:ascii="Calibri"/>
      <w:sz w:val="22"/>
      <w:lang w:val="en-US"/>
    </w:rPr>
  </w:style>
  <w:style w:styleId="Hiperveza" w:type="character">
    <w:name w:val="Hyperlink"/>
    <w:basedOn w:val="Zadanifontodlomka"/>
    <w:rPr>
      <w:color w:val="0563C1"/>
      <w:u w:val="single"/>
    </w:rPr>
  </w:style>
  <w:style w:styleId="SlijeenaHiperveza" w:type="character">
    <w:name w:val="FollowedHyperlink"/>
    <w:basedOn w:val="Zadanifontodlomka"/>
    <w:rPr>
      <w:color w:val="954F72"/>
      <w:u w:val="single"/>
    </w:rPr>
  </w:style>
  <w:style w:customStyle="true" w:styleId="msonormal0" w:type="paragraph">
    <w:name w:val="msonormal"/>
    <w:basedOn w:val="Normal"/>
    <w:pPr>
      <w:suppressAutoHyphens w:val="false"/>
      <w:spacing w:after="100" w:before="100"/>
      <w:ind w:firstLine="0"/>
      <w:jc w:val="left"/>
      <w:textAlignment w:val="auto"/>
    </w:pPr>
    <w:rPr>
      <w:rFonts w:eastAsia="Times New Roman"/>
      <w:szCs w:val="24"/>
      <w:lang w:val="en-US"/>
    </w:rPr>
  </w:style>
  <w:style w:customStyle="true" w:styleId="xl65" w:type="paragraph">
    <w:name w:val="xl65"/>
    <w:basedOn w:val="Normal"/>
    <w:pPr>
      <w:suppressAutoHyphens w:val="false"/>
      <w:spacing w:after="100" w:before="100"/>
      <w:ind w:firstLine="0"/>
      <w:jc w:val="center"/>
      <w:textAlignment w:val="auto"/>
    </w:pPr>
    <w:rPr>
      <w:rFonts w:eastAsia="Times New Roman"/>
      <w:b/>
      <w:bCs/>
      <w:color w:val="000000"/>
      <w:szCs w:val="24"/>
      <w:lang w:val="en-US"/>
    </w:rPr>
  </w:style>
  <w:style w:customStyle="true" w:styleId="xl66" w:type="paragraph">
    <w:name w:val="xl66"/>
    <w:basedOn w:val="Normal"/>
    <w:pPr>
      <w:suppressAutoHyphens w:val="false"/>
      <w:spacing w:after="100" w:before="100"/>
      <w:ind w:firstLine="0"/>
      <w:jc w:val="left"/>
      <w:textAlignment w:val="auto"/>
    </w:pPr>
    <w:rPr>
      <w:rFonts w:eastAsia="Times New Roman"/>
      <w:szCs w:val="24"/>
      <w:lang w:val="en-US"/>
    </w:rPr>
  </w:style>
  <w:style w:customStyle="true" w:styleId="xl67" w:type="paragraph">
    <w:name w:val="xl67"/>
    <w:basedOn w:val="Normal"/>
    <w:pPr>
      <w:suppressAutoHyphens w:val="false"/>
      <w:spacing w:after="100" w:before="100"/>
      <w:ind w:firstLine="0"/>
      <w:jc w:val="right"/>
      <w:textAlignment w:val="auto"/>
    </w:pPr>
    <w:rPr>
      <w:rFonts w:eastAsia="Times New Roman"/>
      <w:b/>
      <w:bCs/>
      <w:color w:val="000000"/>
      <w:szCs w:val="24"/>
      <w:lang w:val="en-US"/>
    </w:rPr>
  </w:style>
  <w:style w:customStyle="true" w:styleId="xl68" w:type="paragraph">
    <w:name w:val="xl68"/>
    <w:basedOn w:val="Normal"/>
    <w:pPr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suppressAutoHyphens w:val="false"/>
      <w:spacing w:after="100" w:before="100"/>
      <w:ind w:firstLine="0"/>
      <w:jc w:val="center"/>
      <w:textAlignment w:val="center"/>
    </w:pPr>
    <w:rPr>
      <w:rFonts w:eastAsia="Times New Roman"/>
      <w:szCs w:val="24"/>
      <w:lang w:val="en-US"/>
    </w:rPr>
  </w:style>
  <w:style w:customStyle="true" w:styleId="xl69" w:type="paragraph">
    <w:name w:val="xl69"/>
    <w:basedOn w:val="Normal"/>
    <w:pPr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suppressAutoHyphens w:val="false"/>
      <w:spacing w:after="100" w:before="100"/>
      <w:ind w:firstLine="0"/>
      <w:jc w:val="left"/>
      <w:textAlignment w:val="center"/>
    </w:pPr>
    <w:rPr>
      <w:rFonts w:eastAsia="Times New Roman"/>
      <w:szCs w:val="24"/>
      <w:lang w:val="en-US"/>
    </w:rPr>
  </w:style>
  <w:style w:customStyle="true" w:styleId="xl70" w:type="paragraph">
    <w:name w:val="xl70"/>
    <w:basedOn w:val="Normal"/>
    <w:pPr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suppressAutoHyphens w:val="false"/>
      <w:spacing w:after="100" w:before="100"/>
      <w:ind w:firstLine="0"/>
      <w:jc w:val="left"/>
      <w:textAlignment w:val="center"/>
    </w:pPr>
    <w:rPr>
      <w:rFonts w:eastAsia="Times New Roman"/>
      <w:szCs w:val="24"/>
      <w:lang w:val="en-US"/>
    </w:rPr>
  </w:style>
  <w:style w:customStyle="true" w:styleId="xl71" w:type="paragraph">
    <w:name w:val="xl71"/>
    <w:basedOn w:val="Normal"/>
    <w:pPr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suppressAutoHyphens w:val="false"/>
      <w:spacing w:after="100" w:before="100"/>
      <w:ind w:firstLine="0"/>
      <w:jc w:val="right"/>
      <w:textAlignment w:val="center"/>
    </w:pPr>
    <w:rPr>
      <w:rFonts w:eastAsia="Times New Roman"/>
      <w:szCs w:val="24"/>
      <w:lang w:val="en-US"/>
    </w:rPr>
  </w:style>
  <w:style w:customStyle="true" w:styleId="xl72" w:type="paragraph">
    <w:name w:val="xl72"/>
    <w:basedOn w:val="Normal"/>
    <w:pPr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suppressAutoHyphens w:val="false"/>
      <w:spacing w:after="100" w:before="100"/>
      <w:ind w:firstLine="0"/>
      <w:jc w:val="center"/>
      <w:textAlignment w:val="center"/>
    </w:pPr>
    <w:rPr>
      <w:rFonts w:eastAsia="Times New Roman"/>
      <w:szCs w:val="24"/>
      <w:lang w:val="en-US"/>
    </w:rPr>
  </w:style>
  <w:style w:customStyle="true" w:styleId="xl73" w:type="paragraph">
    <w:name w:val="xl73"/>
    <w:basedOn w:val="Normal"/>
    <w:pPr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suppressAutoHyphens w:val="false"/>
      <w:spacing w:after="100" w:before="100"/>
      <w:ind w:firstLine="0"/>
      <w:jc w:val="right"/>
      <w:textAlignment w:val="center"/>
    </w:pPr>
    <w:rPr>
      <w:rFonts w:eastAsia="Times New Roman"/>
      <w:szCs w:val="24"/>
      <w:lang w:val="en-US"/>
    </w:rPr>
  </w:style>
  <w:style w:customStyle="true" w:styleId="xl74" w:type="paragraph">
    <w:name w:val="xl74"/>
    <w:basedOn w:val="Normal"/>
    <w:pPr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suppressAutoHyphens w:val="false"/>
      <w:spacing w:after="100" w:before="100"/>
      <w:ind w:firstLine="0"/>
      <w:jc w:val="right"/>
      <w:textAlignment w:val="center"/>
    </w:pPr>
    <w:rPr>
      <w:rFonts w:eastAsia="Times New Roman"/>
      <w:szCs w:val="24"/>
      <w:lang w:val="en-US"/>
    </w:rPr>
  </w:style>
  <w:style w:customStyle="true" w:styleId="xl75" w:type="paragraph">
    <w:name w:val="xl75"/>
    <w:basedOn w:val="Normal"/>
    <w:pPr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suppressAutoHyphens w:val="false"/>
      <w:spacing w:after="100" w:before="100"/>
      <w:ind w:firstLine="0"/>
      <w:jc w:val="left"/>
      <w:textAlignment w:val="center"/>
    </w:pPr>
    <w:rPr>
      <w:rFonts w:eastAsia="Times New Roman"/>
      <w:szCs w:val="24"/>
      <w:lang w:val="en-US"/>
    </w:rPr>
  </w:style>
  <w:style w:customStyle="true" w:styleId="xl76" w:type="paragraph">
    <w:name w:val="xl76"/>
    <w:basedOn w:val="Normal"/>
    <w:pPr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suppressAutoHyphens w:val="false"/>
      <w:spacing w:after="100" w:before="100"/>
      <w:ind w:firstLine="0"/>
      <w:jc w:val="center"/>
      <w:textAlignment w:val="center"/>
    </w:pPr>
    <w:rPr>
      <w:rFonts w:eastAsia="Times New Roman"/>
      <w:szCs w:val="24"/>
      <w:lang w:val="en-US"/>
    </w:rPr>
  </w:style>
  <w:style w:customStyle="true" w:styleId="xl77" w:type="paragraph">
    <w:name w:val="xl77"/>
    <w:basedOn w:val="Normal"/>
    <w:pPr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suppressAutoHyphens w:val="false"/>
      <w:spacing w:after="100" w:before="100"/>
      <w:ind w:firstLine="0"/>
      <w:jc w:val="left"/>
      <w:textAlignment w:val="center"/>
    </w:pPr>
    <w:rPr>
      <w:rFonts w:eastAsia="Times New Roman"/>
      <w:szCs w:val="24"/>
      <w:lang w:val="en-US"/>
    </w:rPr>
  </w:style>
  <w:style w:customStyle="true" w:styleId="xl78" w:type="paragraph">
    <w:name w:val="xl78"/>
    <w:basedOn w:val="Normal"/>
    <w:pPr>
      <w:suppressAutoHyphens w:val="false"/>
      <w:spacing w:after="100" w:before="100"/>
      <w:ind w:firstLine="0"/>
      <w:jc w:val="center"/>
      <w:textAlignment w:val="auto"/>
    </w:pPr>
    <w:rPr>
      <w:rFonts w:eastAsia="Times New Roman"/>
      <w:szCs w:val="24"/>
      <w:lang w:val="en-US"/>
    </w:rPr>
  </w:style>
  <w:style w:customStyle="true" w:styleId="xl79" w:type="paragraph">
    <w:name w:val="xl79"/>
    <w:basedOn w:val="Normal"/>
    <w:pPr>
      <w:suppressAutoHyphens w:val="false"/>
      <w:spacing w:after="100" w:before="100"/>
      <w:ind w:firstLine="0"/>
      <w:jc w:val="left"/>
      <w:textAlignment w:val="center"/>
    </w:pPr>
    <w:rPr>
      <w:rFonts w:eastAsia="Times New Roman"/>
      <w:szCs w:val="24"/>
      <w:lang w:val="en-US"/>
    </w:rPr>
  </w:style>
  <w:style w:customStyle="true" w:styleId="xl80" w:type="paragraph">
    <w:name w:val="xl80"/>
    <w:basedOn w:val="Normal"/>
    <w:pPr>
      <w:suppressAutoHyphens w:val="false"/>
      <w:spacing w:after="100" w:before="100"/>
      <w:ind w:firstLine="0"/>
      <w:jc w:val="left"/>
      <w:textAlignment w:val="center"/>
    </w:pPr>
    <w:rPr>
      <w:rFonts w:eastAsia="Times New Roman"/>
      <w:szCs w:val="24"/>
      <w:lang w:val="en-US"/>
    </w:rPr>
  </w:style>
  <w:style w:customStyle="true" w:styleId="xl81" w:type="paragraph">
    <w:name w:val="xl81"/>
    <w:basedOn w:val="Normal"/>
    <w:pPr>
      <w:suppressAutoHyphens w:val="false"/>
      <w:spacing w:after="100" w:before="100"/>
      <w:ind w:firstLine="0"/>
      <w:jc w:val="right"/>
      <w:textAlignment w:val="auto"/>
    </w:pPr>
    <w:rPr>
      <w:rFonts w:eastAsia="Times New Roman"/>
      <w:szCs w:val="24"/>
      <w:lang w:val="en-US"/>
    </w:rPr>
  </w:style>
  <w:style w:customStyle="true" w:styleId="xl82" w:type="paragraph">
    <w:name w:val="xl82"/>
    <w:basedOn w:val="Normal"/>
    <w:pPr>
      <w:suppressAutoHyphens w:val="false"/>
      <w:spacing w:after="100" w:before="100"/>
      <w:ind w:firstLine="0"/>
      <w:jc w:val="center"/>
      <w:textAlignment w:val="auto"/>
    </w:pPr>
    <w:rPr>
      <w:rFonts w:eastAsia="Times New Roman"/>
      <w:szCs w:val="24"/>
      <w:lang w:val="en-US"/>
    </w:rPr>
  </w:style>
  <w:style w:customStyle="true" w:styleId="xl83" w:type="paragraph">
    <w:name w:val="xl83"/>
    <w:basedOn w:val="Normal"/>
    <w:pPr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shd w:fill="D6DCE4" w:color="auto" w:val="clear"/>
      <w:suppressAutoHyphens w:val="false"/>
      <w:spacing w:after="100" w:before="100"/>
      <w:ind w:firstLine="0"/>
      <w:jc w:val="center"/>
      <w:textAlignment w:val="center"/>
    </w:pPr>
    <w:rPr>
      <w:rFonts w:eastAsia="Times New Roman"/>
      <w:b/>
      <w:bCs/>
      <w:szCs w:val="24"/>
      <w:lang w:val="en-US"/>
    </w:rPr>
  </w:style>
  <w:style w:customStyle="true" w:styleId="xl84" w:type="paragraph">
    <w:name w:val="xl84"/>
    <w:basedOn w:val="Normal"/>
    <w:pPr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shd w:fill="D6DCE4" w:color="auto" w:val="clear"/>
      <w:suppressAutoHyphens w:val="false"/>
      <w:spacing w:after="100" w:before="100"/>
      <w:ind w:firstLine="0"/>
      <w:jc w:val="left"/>
      <w:textAlignment w:val="center"/>
    </w:pPr>
    <w:rPr>
      <w:rFonts w:eastAsia="Times New Roman"/>
      <w:b/>
      <w:bCs/>
      <w:szCs w:val="24"/>
      <w:lang w:val="en-US"/>
    </w:rPr>
  </w:style>
  <w:style w:customStyle="true" w:styleId="xl85" w:type="paragraph">
    <w:name w:val="xl85"/>
    <w:basedOn w:val="Normal"/>
    <w:pPr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shd w:fill="D6DCE4" w:color="auto" w:val="clear"/>
      <w:suppressAutoHyphens w:val="false"/>
      <w:spacing w:after="100" w:before="100"/>
      <w:ind w:firstLine="0"/>
      <w:jc w:val="left"/>
      <w:textAlignment w:val="center"/>
    </w:pPr>
    <w:rPr>
      <w:rFonts w:eastAsia="Times New Roman"/>
      <w:b/>
      <w:bCs/>
      <w:szCs w:val="24"/>
      <w:lang w:val="en-US"/>
    </w:rPr>
  </w:style>
  <w:style w:customStyle="true" w:styleId="xl86" w:type="paragraph">
    <w:name w:val="xl86"/>
    <w:basedOn w:val="Normal"/>
    <w:pPr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shd w:fill="D6DCE4" w:color="auto" w:val="clear"/>
      <w:suppressAutoHyphens w:val="false"/>
      <w:spacing w:after="100" w:before="100"/>
      <w:ind w:firstLine="0"/>
      <w:jc w:val="center"/>
      <w:textAlignment w:val="center"/>
    </w:pPr>
    <w:rPr>
      <w:rFonts w:eastAsia="Times New Roman"/>
      <w:b/>
      <w:bCs/>
      <w:szCs w:val="24"/>
      <w:lang w:val="en-US"/>
    </w:rPr>
  </w:style>
  <w:style w:customStyle="true" w:styleId="xl87" w:type="paragraph">
    <w:name w:val="xl87"/>
    <w:basedOn w:val="Normal"/>
    <w:pPr>
      <w:suppressAutoHyphens w:val="false"/>
      <w:spacing w:after="100" w:before="100"/>
      <w:ind w:firstLine="0"/>
      <w:jc w:val="left"/>
      <w:textAlignment w:val="center"/>
    </w:pPr>
    <w:rPr>
      <w:rFonts w:eastAsia="Times New Roman"/>
      <w:szCs w:val="24"/>
      <w:lang w:val="en-US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</w:style>
  <w:style w:customStyle="true" w:styleId="HeaderChar" w:type="character">
    <w:name w:val="Header Char"/>
    <w:basedOn w:val="Zadanifontodlomka"/>
  </w:style>
  <w:style w:customStyle="true" w:styleId="Naslov1Char" w:type="character">
    <w:name w:val="Naslov 1 Char"/>
    <w:basedOn w:val="Zadanifontodlomka"/>
    <w:link w:val="Naslov1"/>
    <w:uiPriority w:val="9"/>
    <w:rsid w:val="008E3EEE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6273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73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73B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73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73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Calibri" w:hAnsi="Times New Roman"/>
        <w:sz w:val="24"/>
        <w:szCs w:val="22"/>
        <w:lang w:bidi="ar-SA" w:eastAsia="en-US" w:val="hr-HR"/>
      </w:rPr>
    </w:rPrDefault>
    <w:pPrDefault>
      <w:pPr>
        <w:autoSpaceDN w:val="0"/>
        <w:ind w:firstLine="709"/>
        <w:jc w:val="both"/>
        <w:textAlignment w:val="baseline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pPr>
      <w:suppressAutoHyphens/>
    </w:pPr>
  </w:style>
  <w:style w:styleId="Naslov1" w:type="paragraph">
    <w:name w:val="heading 1"/>
    <w:basedOn w:val="Normal"/>
    <w:next w:val="Normal"/>
    <w:link w:val="Naslov1Char"/>
    <w:uiPriority w:val="9"/>
    <w:qFormat/>
    <w:rsid w:val="008E3EE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pPr>
      <w:keepNext/>
      <w:widowControl w:val="0"/>
      <w:suppressAutoHyphens w:val="0"/>
      <w:overflowPunct w:val="0"/>
      <w:autoSpaceDE w:val="0"/>
      <w:ind w:firstLine="0"/>
      <w:outlineLvl w:val="1"/>
    </w:pPr>
    <w:rPr>
      <w:rFonts w:eastAsia="Times New Roman"/>
      <w:b/>
      <w:sz w:val="22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rPr>
      <w:rFonts w:eastAsia="Times New Roman"/>
      <w:b/>
      <w:sz w:val="22"/>
      <w:szCs w:val="20"/>
      <w:lang w:eastAsia="hr-HR"/>
    </w:rPr>
  </w:style>
  <w:style w:styleId="Odlomakpopisa" w:type="paragraph">
    <w:name w:val="List Paragraph"/>
    <w:basedOn w:val="Normal"/>
    <w:pPr>
      <w:suppressAutoHyphens w:val="0"/>
      <w:spacing w:after="200" w:line="276" w:lineRule="auto"/>
      <w:ind w:firstLine="0" w:left="720"/>
      <w:jc w:val="left"/>
      <w:textAlignment w:val="auto"/>
    </w:pPr>
    <w:rPr>
      <w:rFonts w:ascii="Calibri" w:eastAsia="Times New Roman" w:hAnsi="Calibri"/>
      <w:sz w:val="22"/>
      <w:lang w:eastAsia="hr-HR"/>
    </w:rPr>
  </w:style>
  <w:style w:styleId="Tekstbalonia" w:type="paragraph">
    <w:name w:val="Balloon Text"/>
    <w:basedOn w:val="Normal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rPr>
      <w:rFonts w:ascii="Tahoma" w:cs="Tahoma" w:hAnsi="Tahoma"/>
      <w:sz w:val="16"/>
      <w:szCs w:val="16"/>
    </w:rPr>
  </w:style>
  <w:style w:styleId="Bezproreda" w:type="paragraph">
    <w:name w:val="No Spacing"/>
    <w:pPr>
      <w:ind w:firstLine="0"/>
      <w:jc w:val="left"/>
      <w:textAlignment w:val="auto"/>
    </w:pPr>
    <w:rPr>
      <w:rFonts w:ascii="Calibri" w:hAnsi="Calibri"/>
      <w:sz w:val="22"/>
    </w:rPr>
  </w:style>
  <w:style w:customStyle="1" w:styleId="TijelotekstaChar" w:type="character">
    <w:name w:val="Tijelo teksta Char"/>
    <w:basedOn w:val="Zadanifontodlomka"/>
    <w:rPr>
      <w:rFonts w:ascii="Arial" w:cs="Times New Roman" w:eastAsia="Arial" w:hAnsi="Arial"/>
      <w:b/>
      <w:bCs/>
      <w:sz w:val="11"/>
      <w:szCs w:val="11"/>
      <w:lang w:val="en-US"/>
    </w:rPr>
  </w:style>
  <w:style w:styleId="Tijeloteksta" w:type="paragraph">
    <w:name w:val="Body Text"/>
    <w:basedOn w:val="Normal"/>
    <w:pPr>
      <w:widowControl w:val="0"/>
      <w:suppressAutoHyphens w:val="0"/>
      <w:spacing w:before="90"/>
      <w:ind w:firstLine="0"/>
      <w:jc w:val="left"/>
      <w:textAlignment w:val="auto"/>
    </w:pPr>
    <w:rPr>
      <w:rFonts w:ascii="Arial" w:eastAsia="Arial" w:hAnsi="Arial"/>
      <w:b/>
      <w:bCs/>
      <w:sz w:val="11"/>
      <w:szCs w:val="11"/>
      <w:lang w:val="en-US"/>
    </w:rPr>
  </w:style>
  <w:style w:customStyle="1" w:styleId="TijelotekstaChar1" w:type="character">
    <w:name w:val="Tijelo teksta Char1"/>
    <w:basedOn w:val="Zadanifontodlomka"/>
    <w:rPr>
      <w:rFonts w:ascii="Arial" w:eastAsia="Arial" w:hAnsi="Arial"/>
      <w:b/>
      <w:bCs/>
      <w:sz w:val="11"/>
      <w:szCs w:val="11"/>
      <w:lang w:val="en-US"/>
    </w:rPr>
  </w:style>
  <w:style w:customStyle="1" w:styleId="TableParagraph" w:type="paragraph">
    <w:name w:val="Table Paragraph"/>
    <w:basedOn w:val="Normal"/>
    <w:pPr>
      <w:widowControl w:val="0"/>
      <w:suppressAutoHyphens w:val="0"/>
      <w:ind w:firstLine="0"/>
      <w:jc w:val="left"/>
      <w:textAlignment w:val="auto"/>
    </w:pPr>
    <w:rPr>
      <w:rFonts w:ascii="Calibri" w:hAnsi="Calibri"/>
      <w:sz w:val="22"/>
      <w:lang w:val="en-US"/>
    </w:rPr>
  </w:style>
  <w:style w:styleId="Hiperveza" w:type="character">
    <w:name w:val="Hyperlink"/>
    <w:basedOn w:val="Zadanifontodlomka"/>
    <w:rPr>
      <w:color w:val="0563C1"/>
      <w:u w:val="single"/>
    </w:rPr>
  </w:style>
  <w:style w:styleId="SlijeenaHiperveza" w:type="character">
    <w:name w:val="FollowedHyperlink"/>
    <w:basedOn w:val="Zadanifontodlomka"/>
    <w:rPr>
      <w:color w:val="954F72"/>
      <w:u w:val="single"/>
    </w:rPr>
  </w:style>
  <w:style w:customStyle="1" w:styleId="msonormal0" w:type="paragraph">
    <w:name w:val="msonormal"/>
    <w:basedOn w:val="Normal"/>
    <w:pPr>
      <w:suppressAutoHyphens w:val="0"/>
      <w:spacing w:after="100" w:before="100"/>
      <w:ind w:firstLine="0"/>
      <w:jc w:val="left"/>
      <w:textAlignment w:val="auto"/>
    </w:pPr>
    <w:rPr>
      <w:rFonts w:eastAsia="Times New Roman"/>
      <w:szCs w:val="24"/>
      <w:lang w:val="en-US"/>
    </w:rPr>
  </w:style>
  <w:style w:customStyle="1" w:styleId="xl65" w:type="paragraph">
    <w:name w:val="xl65"/>
    <w:basedOn w:val="Normal"/>
    <w:pPr>
      <w:suppressAutoHyphens w:val="0"/>
      <w:spacing w:after="100" w:before="100"/>
      <w:ind w:firstLine="0"/>
      <w:jc w:val="center"/>
      <w:textAlignment w:val="auto"/>
    </w:pPr>
    <w:rPr>
      <w:rFonts w:eastAsia="Times New Roman"/>
      <w:b/>
      <w:bCs/>
      <w:color w:val="000000"/>
      <w:szCs w:val="24"/>
      <w:lang w:val="en-US"/>
    </w:rPr>
  </w:style>
  <w:style w:customStyle="1" w:styleId="xl66" w:type="paragraph">
    <w:name w:val="xl66"/>
    <w:basedOn w:val="Normal"/>
    <w:pPr>
      <w:suppressAutoHyphens w:val="0"/>
      <w:spacing w:after="100" w:before="100"/>
      <w:ind w:firstLine="0"/>
      <w:jc w:val="left"/>
      <w:textAlignment w:val="auto"/>
    </w:pPr>
    <w:rPr>
      <w:rFonts w:eastAsia="Times New Roman"/>
      <w:szCs w:val="24"/>
      <w:lang w:val="en-US"/>
    </w:rPr>
  </w:style>
  <w:style w:customStyle="1" w:styleId="xl67" w:type="paragraph">
    <w:name w:val="xl67"/>
    <w:basedOn w:val="Normal"/>
    <w:pPr>
      <w:suppressAutoHyphens w:val="0"/>
      <w:spacing w:after="100" w:before="100"/>
      <w:ind w:firstLine="0"/>
      <w:jc w:val="right"/>
      <w:textAlignment w:val="auto"/>
    </w:pPr>
    <w:rPr>
      <w:rFonts w:eastAsia="Times New Roman"/>
      <w:b/>
      <w:bCs/>
      <w:color w:val="000000"/>
      <w:szCs w:val="24"/>
      <w:lang w:val="en-US"/>
    </w:rPr>
  </w:style>
  <w:style w:customStyle="1" w:styleId="xl68" w:type="paragraph">
    <w:name w:val="xl68"/>
    <w:basedOn w:val="Normal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uppressAutoHyphens w:val="0"/>
      <w:spacing w:after="100" w:before="100"/>
      <w:ind w:firstLine="0"/>
      <w:jc w:val="center"/>
      <w:textAlignment w:val="center"/>
    </w:pPr>
    <w:rPr>
      <w:rFonts w:eastAsia="Times New Roman"/>
      <w:szCs w:val="24"/>
      <w:lang w:val="en-US"/>
    </w:rPr>
  </w:style>
  <w:style w:customStyle="1" w:styleId="xl69" w:type="paragraph">
    <w:name w:val="xl69"/>
    <w:basedOn w:val="Normal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uppressAutoHyphens w:val="0"/>
      <w:spacing w:after="100" w:before="100"/>
      <w:ind w:firstLine="0"/>
      <w:jc w:val="left"/>
      <w:textAlignment w:val="center"/>
    </w:pPr>
    <w:rPr>
      <w:rFonts w:eastAsia="Times New Roman"/>
      <w:szCs w:val="24"/>
      <w:lang w:val="en-US"/>
    </w:rPr>
  </w:style>
  <w:style w:customStyle="1" w:styleId="xl70" w:type="paragraph">
    <w:name w:val="xl70"/>
    <w:basedOn w:val="Normal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uppressAutoHyphens w:val="0"/>
      <w:spacing w:after="100" w:before="100"/>
      <w:ind w:firstLine="0"/>
      <w:jc w:val="left"/>
      <w:textAlignment w:val="center"/>
    </w:pPr>
    <w:rPr>
      <w:rFonts w:eastAsia="Times New Roman"/>
      <w:szCs w:val="24"/>
      <w:lang w:val="en-US"/>
    </w:rPr>
  </w:style>
  <w:style w:customStyle="1" w:styleId="xl71" w:type="paragraph">
    <w:name w:val="xl71"/>
    <w:basedOn w:val="Normal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uppressAutoHyphens w:val="0"/>
      <w:spacing w:after="100" w:before="100"/>
      <w:ind w:firstLine="0"/>
      <w:jc w:val="right"/>
      <w:textAlignment w:val="center"/>
    </w:pPr>
    <w:rPr>
      <w:rFonts w:eastAsia="Times New Roman"/>
      <w:szCs w:val="24"/>
      <w:lang w:val="en-US"/>
    </w:rPr>
  </w:style>
  <w:style w:customStyle="1" w:styleId="xl72" w:type="paragraph">
    <w:name w:val="xl72"/>
    <w:basedOn w:val="Normal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uppressAutoHyphens w:val="0"/>
      <w:spacing w:after="100" w:before="100"/>
      <w:ind w:firstLine="0"/>
      <w:jc w:val="center"/>
      <w:textAlignment w:val="center"/>
    </w:pPr>
    <w:rPr>
      <w:rFonts w:eastAsia="Times New Roman"/>
      <w:szCs w:val="24"/>
      <w:lang w:val="en-US"/>
    </w:rPr>
  </w:style>
  <w:style w:customStyle="1" w:styleId="xl73" w:type="paragraph">
    <w:name w:val="xl73"/>
    <w:basedOn w:val="Normal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uppressAutoHyphens w:val="0"/>
      <w:spacing w:after="100" w:before="100"/>
      <w:ind w:firstLine="0"/>
      <w:jc w:val="right"/>
      <w:textAlignment w:val="center"/>
    </w:pPr>
    <w:rPr>
      <w:rFonts w:eastAsia="Times New Roman"/>
      <w:szCs w:val="24"/>
      <w:lang w:val="en-US"/>
    </w:rPr>
  </w:style>
  <w:style w:customStyle="1" w:styleId="xl74" w:type="paragraph">
    <w:name w:val="xl74"/>
    <w:basedOn w:val="Normal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uppressAutoHyphens w:val="0"/>
      <w:spacing w:after="100" w:before="100"/>
      <w:ind w:firstLine="0"/>
      <w:jc w:val="right"/>
      <w:textAlignment w:val="center"/>
    </w:pPr>
    <w:rPr>
      <w:rFonts w:eastAsia="Times New Roman"/>
      <w:szCs w:val="24"/>
      <w:lang w:val="en-US"/>
    </w:rPr>
  </w:style>
  <w:style w:customStyle="1" w:styleId="xl75" w:type="paragraph">
    <w:name w:val="xl75"/>
    <w:basedOn w:val="Normal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uppressAutoHyphens w:val="0"/>
      <w:spacing w:after="100" w:before="100"/>
      <w:ind w:firstLine="0"/>
      <w:jc w:val="left"/>
      <w:textAlignment w:val="center"/>
    </w:pPr>
    <w:rPr>
      <w:rFonts w:eastAsia="Times New Roman"/>
      <w:szCs w:val="24"/>
      <w:lang w:val="en-US"/>
    </w:rPr>
  </w:style>
  <w:style w:customStyle="1" w:styleId="xl76" w:type="paragraph">
    <w:name w:val="xl76"/>
    <w:basedOn w:val="Normal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uppressAutoHyphens w:val="0"/>
      <w:spacing w:after="100" w:before="100"/>
      <w:ind w:firstLine="0"/>
      <w:jc w:val="center"/>
      <w:textAlignment w:val="center"/>
    </w:pPr>
    <w:rPr>
      <w:rFonts w:eastAsia="Times New Roman"/>
      <w:szCs w:val="24"/>
      <w:lang w:val="en-US"/>
    </w:rPr>
  </w:style>
  <w:style w:customStyle="1" w:styleId="xl77" w:type="paragraph">
    <w:name w:val="xl77"/>
    <w:basedOn w:val="Normal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uppressAutoHyphens w:val="0"/>
      <w:spacing w:after="100" w:before="100"/>
      <w:ind w:firstLine="0"/>
      <w:jc w:val="left"/>
      <w:textAlignment w:val="center"/>
    </w:pPr>
    <w:rPr>
      <w:rFonts w:eastAsia="Times New Roman"/>
      <w:szCs w:val="24"/>
      <w:lang w:val="en-US"/>
    </w:rPr>
  </w:style>
  <w:style w:customStyle="1" w:styleId="xl78" w:type="paragraph">
    <w:name w:val="xl78"/>
    <w:basedOn w:val="Normal"/>
    <w:pPr>
      <w:suppressAutoHyphens w:val="0"/>
      <w:spacing w:after="100" w:before="100"/>
      <w:ind w:firstLine="0"/>
      <w:jc w:val="center"/>
      <w:textAlignment w:val="auto"/>
    </w:pPr>
    <w:rPr>
      <w:rFonts w:eastAsia="Times New Roman"/>
      <w:szCs w:val="24"/>
      <w:lang w:val="en-US"/>
    </w:rPr>
  </w:style>
  <w:style w:customStyle="1" w:styleId="xl79" w:type="paragraph">
    <w:name w:val="xl79"/>
    <w:basedOn w:val="Normal"/>
    <w:pPr>
      <w:suppressAutoHyphens w:val="0"/>
      <w:spacing w:after="100" w:before="100"/>
      <w:ind w:firstLine="0"/>
      <w:jc w:val="left"/>
      <w:textAlignment w:val="center"/>
    </w:pPr>
    <w:rPr>
      <w:rFonts w:eastAsia="Times New Roman"/>
      <w:szCs w:val="24"/>
      <w:lang w:val="en-US"/>
    </w:rPr>
  </w:style>
  <w:style w:customStyle="1" w:styleId="xl80" w:type="paragraph">
    <w:name w:val="xl80"/>
    <w:basedOn w:val="Normal"/>
    <w:pPr>
      <w:suppressAutoHyphens w:val="0"/>
      <w:spacing w:after="100" w:before="100"/>
      <w:ind w:firstLine="0"/>
      <w:jc w:val="left"/>
      <w:textAlignment w:val="center"/>
    </w:pPr>
    <w:rPr>
      <w:rFonts w:eastAsia="Times New Roman"/>
      <w:szCs w:val="24"/>
      <w:lang w:val="en-US"/>
    </w:rPr>
  </w:style>
  <w:style w:customStyle="1" w:styleId="xl81" w:type="paragraph">
    <w:name w:val="xl81"/>
    <w:basedOn w:val="Normal"/>
    <w:pPr>
      <w:suppressAutoHyphens w:val="0"/>
      <w:spacing w:after="100" w:before="100"/>
      <w:ind w:firstLine="0"/>
      <w:jc w:val="right"/>
      <w:textAlignment w:val="auto"/>
    </w:pPr>
    <w:rPr>
      <w:rFonts w:eastAsia="Times New Roman"/>
      <w:szCs w:val="24"/>
      <w:lang w:val="en-US"/>
    </w:rPr>
  </w:style>
  <w:style w:customStyle="1" w:styleId="xl82" w:type="paragraph">
    <w:name w:val="xl82"/>
    <w:basedOn w:val="Normal"/>
    <w:pPr>
      <w:suppressAutoHyphens w:val="0"/>
      <w:spacing w:after="100" w:before="100"/>
      <w:ind w:firstLine="0"/>
      <w:jc w:val="center"/>
      <w:textAlignment w:val="auto"/>
    </w:pPr>
    <w:rPr>
      <w:rFonts w:eastAsia="Times New Roman"/>
      <w:szCs w:val="24"/>
      <w:lang w:val="en-US"/>
    </w:rPr>
  </w:style>
  <w:style w:customStyle="1" w:styleId="xl83" w:type="paragraph">
    <w:name w:val="xl83"/>
    <w:basedOn w:val="Normal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hd w:color="auto" w:fill="D6DCE4" w:val="clear"/>
      <w:suppressAutoHyphens w:val="0"/>
      <w:spacing w:after="100" w:before="100"/>
      <w:ind w:firstLine="0"/>
      <w:jc w:val="center"/>
      <w:textAlignment w:val="center"/>
    </w:pPr>
    <w:rPr>
      <w:rFonts w:eastAsia="Times New Roman"/>
      <w:b/>
      <w:bCs/>
      <w:szCs w:val="24"/>
      <w:lang w:val="en-US"/>
    </w:rPr>
  </w:style>
  <w:style w:customStyle="1" w:styleId="xl84" w:type="paragraph">
    <w:name w:val="xl84"/>
    <w:basedOn w:val="Normal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hd w:color="auto" w:fill="D6DCE4" w:val="clear"/>
      <w:suppressAutoHyphens w:val="0"/>
      <w:spacing w:after="100" w:before="100"/>
      <w:ind w:firstLine="0"/>
      <w:jc w:val="left"/>
      <w:textAlignment w:val="center"/>
    </w:pPr>
    <w:rPr>
      <w:rFonts w:eastAsia="Times New Roman"/>
      <w:b/>
      <w:bCs/>
      <w:szCs w:val="24"/>
      <w:lang w:val="en-US"/>
    </w:rPr>
  </w:style>
  <w:style w:customStyle="1" w:styleId="xl85" w:type="paragraph">
    <w:name w:val="xl85"/>
    <w:basedOn w:val="Normal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hd w:color="auto" w:fill="D6DCE4" w:val="clear"/>
      <w:suppressAutoHyphens w:val="0"/>
      <w:spacing w:after="100" w:before="100"/>
      <w:ind w:firstLine="0"/>
      <w:jc w:val="left"/>
      <w:textAlignment w:val="center"/>
    </w:pPr>
    <w:rPr>
      <w:rFonts w:eastAsia="Times New Roman"/>
      <w:b/>
      <w:bCs/>
      <w:szCs w:val="24"/>
      <w:lang w:val="en-US"/>
    </w:rPr>
  </w:style>
  <w:style w:customStyle="1" w:styleId="xl86" w:type="paragraph">
    <w:name w:val="xl86"/>
    <w:basedOn w:val="Normal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hd w:color="auto" w:fill="D6DCE4" w:val="clear"/>
      <w:suppressAutoHyphens w:val="0"/>
      <w:spacing w:after="100" w:before="100"/>
      <w:ind w:firstLine="0"/>
      <w:jc w:val="center"/>
      <w:textAlignment w:val="center"/>
    </w:pPr>
    <w:rPr>
      <w:rFonts w:eastAsia="Times New Roman"/>
      <w:b/>
      <w:bCs/>
      <w:szCs w:val="24"/>
      <w:lang w:val="en-US"/>
    </w:rPr>
  </w:style>
  <w:style w:customStyle="1" w:styleId="xl87" w:type="paragraph">
    <w:name w:val="xl87"/>
    <w:basedOn w:val="Normal"/>
    <w:pPr>
      <w:suppressAutoHyphens w:val="0"/>
      <w:spacing w:after="100" w:before="100"/>
      <w:ind w:firstLine="0"/>
      <w:jc w:val="left"/>
      <w:textAlignment w:val="center"/>
    </w:pPr>
    <w:rPr>
      <w:rFonts w:eastAsia="Times New Roman"/>
      <w:szCs w:val="24"/>
      <w:lang w:val="en-US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</w:style>
  <w:style w:customStyle="1" w:styleId="HeaderChar" w:type="character">
    <w:name w:val="Header Char"/>
    <w:basedOn w:val="Zadanifontodlomka"/>
  </w:style>
  <w:style w:customStyle="1" w:styleId="Naslov1Char" w:type="character">
    <w:name w:val="Naslov 1 Char"/>
    <w:basedOn w:val="Zadanifontodlomka"/>
    <w:link w:val="Naslov1"/>
    <w:uiPriority w:val="9"/>
    <w:rsid w:val="008E3EEE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6273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73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73B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73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73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/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2018.</izvorni_sadrzaj>
    <derivirana_varijabla naziv="DomainObject.DatumDonosenjaOdluke_1">6.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1181</izvorni_sadrzaj>
    <derivirana_varijabla naziv="DomainObject.Predmet.Broj_1">1181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2017.</izvorni_sadrzaj>
    <derivirana_varijabla naziv="DomainObject.Predmet.DatumOsnivanja_1">13.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St-1181/2017</izvorni_sadrzaj>
    <derivirana_varijabla naziv="DomainObject.Predmet.OznakaBroj_1">St-1181/2017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spojen st-2354/17
original spis u referadi</izvorni_sadrzaj>
    <derivirana_varijabla naziv="DomainObject.Predmet.PrimjedbaSuca_1">spojen st-2354/17
original spis u referadi</derivirana_varijabla>
  </DomainObject.Predmet.PrimjedbaSuca>
  <DomainObject.Predmet.ProtustrankaFormated>
    <izvorni_sadrzaj>  VIADUKT d.d. zastupanog po punomoćniku INOSLAV KORINČIĆ</izvorni_sadrzaj>
    <derivirana_varijabla naziv="DomainObject.Predmet.ProtustrankaFormated_1">  VIADUKT d.d. zastupanog po punomoćniku INOSLAV KORINČIĆ</derivirana_varijabla>
  </DomainObject.Predmet.ProtustrankaFormated>
  <DomainObject.Predmet.ProtustrankaFormatedOIB>
    <izvorni_sadrzaj>  VIADUKT d.d., OIB 74794390096 zastupanog po punomoćniku INOSLAV KORINČIĆ</izvorni_sadrzaj>
    <derivirana_varijabla naziv="DomainObject.Predmet.ProtustrankaFormatedOIB_1">  VIADUKT d.d., OIB 74794390096 zastupanog po punomoćniku INOSLAV KORINČIĆ</derivirana_varijabla>
  </DomainObject.Predmet.ProtustrankaFormatedOIB>
  <DomainObject.Predmet.ProtustrankaFormatedWithAdress>
    <izvorni_sadrzaj> VIADUKT d.d., Kranjčevićeva 2, 10000 Zagreb zastupanog po punomoćniku INOSLAV KORINČIĆ</izvorni_sadrzaj>
    <derivirana_varijabla naziv="DomainObject.Predmet.ProtustrankaFormatedWithAdress_1"> VIADUKT d.d., Kranjčevićeva 2, 10000 Zagreb zastupanog po punomoćniku INOSLAV KORINČIĆ</derivirana_varijabla>
  </DomainObject.Predmet.ProtustrankaFormatedWithAdress>
  <DomainObject.Predmet.ProtustrankaFormatedWithAdressOIB>
    <izvorni_sadrzaj> VIADUKT d.d., OIB 74794390096, Kranjčevićeva 2, 10000 Zagreb zastupanog po punomoćniku INOSLAV KORINČIĆ</izvorni_sadrzaj>
    <derivirana_varijabla naziv="DomainObject.Predmet.ProtustrankaFormatedWithAdressOIB_1"> VIADUKT d.d., OIB 74794390096, Kranjčevićeva 2, 10000 Zagreb zastupanog po punomoćniku INOSLAV KORINČIĆ</derivirana_varijabla>
  </DomainObject.Predmet.ProtustrankaFormatedWithAdressOIB>
  <DomainObject.Predmet.ProtustrankaWithAdress>
    <izvorni_sadrzaj>VIADUKT d.d. Kranjčevićeva 2, 10000 Zagreb</izvorni_sadrzaj>
    <derivirana_varijabla naziv="DomainObject.Predmet.ProtustrankaWithAdress_1">VIADUKT d.d. Kranjčevićeva 2, 10000 Zagreb</derivirana_varijabla>
  </DomainObject.Predmet.ProtustrankaWithAdress>
  <DomainObject.Predmet.ProtustrankaWithAdressOIB>
    <izvorni_sadrzaj>VIADUKT d.d., OIB 74794390096, Kranjčevićeva 2, 10000 Zagreb</izvorni_sadrzaj>
    <derivirana_varijabla naziv="DomainObject.Predmet.ProtustrankaWithAdressOIB_1">VIADUKT d.d., OIB 74794390096, Kranjčevićeva 2, 10000 Zagreb</derivirana_varijabla>
  </DomainObject.Predmet.ProtustrankaWithAdressOIB>
  <DomainObject.Predmet.ProtustrankaNazivFormated>
    <izvorni_sadrzaj>VIADUKT d.d.</izvorni_sadrzaj>
    <derivirana_varijabla naziv="DomainObject.Predmet.ProtustrankaNazivFormated_1">VIADUKT d.d.</derivirana_varijabla>
  </DomainObject.Predmet.ProtustrankaNazivFormated>
  <DomainObject.Predmet.ProtustrankaNazivFormatedOIB>
    <izvorni_sadrzaj>VIADUKT d.d., OIB 74794390096</izvorni_sadrzaj>
    <derivirana_varijabla naziv="DomainObject.Predmet.ProtustrankaNazivFormatedOIB_1">VIADUKT d.d., OIB 74794390096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Holcim (Hrvatska), d.o.o. zastupanog po punomoćniku Odvjetničko društvo LJUBENKO &amp; PARTNERI društvo s ograničenom odgovornošću za odvjetničke usluge; Damir Kezele; VIADUKT graditeljsko dioničko društvo</izvorni_sadrzaj>
    <derivirana_varijabla naziv="DomainObject.Predmet.StrankaFormated_1">  Holcim (Hrvatska), d.o.o. zastupanog po punomoćniku Odvjetničko društvo LJUBENKO &amp; PARTNERI društvo s ograničenom odgovornošću za odvjetničke usluge; Damir Kezele; VIADUKT graditeljsko dioničko društvo</derivirana_varijabla>
  </DomainObject.Predmet.StrankaFormated>
  <DomainObject.Predmet.StrankaFormatedOIB>
    <izvorni_sadrzaj>  Holcim (Hrvatska), d.o.o., OIB 60131430579 zastupanog po punomoćniku Odvjetničko društvo LJUBENKO &amp; PARTNERI društvo s ograničenom odgovornošću za odvjetničke usluge; Damir Kezele, OIB 18741994689; VIADUKT graditeljsko dioničko društvo, OIB 74794390096</izvorni_sadrzaj>
    <derivirana_varijabla naziv="DomainObject.Predmet.StrankaFormatedOIB_1">  Holcim (Hrvatska), d.o.o., OIB 60131430579 zastupanog po punomoćniku Odvjetničko društvo LJUBENKO &amp; PARTNERI društvo s ograničenom odgovornošću za odvjetničke usluge; Damir Kezele, OIB 18741994689; VIADUKT graditeljsko dioničko društvo, OIB 74794390096</derivirana_varijabla>
  </DomainObject.Predmet.StrankaFormatedOIB>
  <DomainObject.Predmet.StrankaFormatedWithAdress>
    <izvorni_sadrzaj> Holcim (Hrvatska), d.o.o., Koromačno 7B, 52222 Koromačno zastupanog po punomoćniku Odvjetničko društvo LJUBENKO &amp; PARTNERI društvo s ograničenom odgovornošću za odvjetničke usluge; Damir Kezele, Kajfešov Brijeg 10, 10000 Zagreb; VIADUKT graditeljsko dioničko društvo, Kranjčevićeva 2, 10000 Zagreb</izvorni_sadrzaj>
    <derivirana_varijabla naziv="DomainObject.Predmet.StrankaFormatedWithAdress_1"> Holcim (Hrvatska), d.o.o., Koromačno 7B, 52222 Koromačno zastupanog po punomoćniku Odvjetničko društvo LJUBENKO &amp; PARTNERI društvo s ograničenom odgovornošću za odvjetničke usluge; Damir Kezele, Kajfešov Brijeg 10, 10000 Zagreb; VIADUKT graditeljsko dioničko društvo, Kranjčevićeva 2, 10000 Zagreb</derivirana_varijabla>
  </DomainObject.Predmet.StrankaFormatedWithAdress>
  <DomainObject.Predmet.StrankaFormatedWithAdressOIB>
    <izvorni_sadrzaj> Holcim (Hrvatska), d.o.o., OIB 60131430579, Koromačno 7B, 52222 Koromačno zastupanog po punomoćniku Odvjetničko društvo LJUBENKO &amp; PARTNERI društvo s ograničenom odgovornošću za odvjetničke usluge; Damir Kezele, OIB 18741994689, Kajfešov Brijeg 10, 10000 Zagreb; VIADUKT graditeljsko dioničko društvo, OIB 74794390096, Kranjčevićeva 2, 10000 Zagreb</izvorni_sadrzaj>
    <derivirana_varijabla naziv="DomainObject.Predmet.StrankaFormatedWithAdressOIB_1"> Holcim (Hrvatska), d.o.o., OIB 60131430579, Koromačno 7B, 52222 Koromačno zastupanog po punomoćniku Odvjetničko društvo LJUBENKO &amp; PARTNERI društvo s ograničenom odgovornošću za odvjetničke usluge; Damir Kezele, OIB 18741994689, Kajfešov Brijeg 10, 10000 Zagreb; VIADUKT graditeljsko dioničko društvo, OIB 74794390096, Kranjčevićeva 2, 10000 Zagreb</derivirana_varijabla>
  </DomainObject.Predmet.StrankaFormatedWithAdressOIB>
  <DomainObject.Predmet.StrankaWithAdress>
    <izvorni_sadrzaj>Holcim (Hrvatska), d.o.o. Koromačno 7B,52222 Koromačno,Damir Kezele Kajfešov Brijeg 10,10000 Zagreb,VIADUKT graditeljsko dioničko društvo Kranjčevićeva 2,10000 Zagreb</izvorni_sadrzaj>
    <derivirana_varijabla naziv="DomainObject.Predmet.StrankaWithAdress_1">Holcim (Hrvatska), d.o.o. Koromačno 7B,52222 Koromačno,Damir Kezele Kajfešov Brijeg 10,10000 Zagreb,VIADUKT graditeljsko dioničko društvo Kranjčevićeva 2,10000 Zagreb</derivirana_varijabla>
  </DomainObject.Predmet.StrankaWithAdress>
  <DomainObject.Predmet.StrankaWithAdressOIB>
    <izvorni_sadrzaj>Holcim (Hrvatska), d.o.o., OIB 60131430579, Koromačno 7B,52222 Koromačno,Damir Kezele, OIB 18741994689, Kajfešov Brijeg 10,10000 Zagreb,VIADUKT graditeljsko dioničko društvo, OIB 74794390096, Kranjčevićeva 2,10000 Zagreb</izvorni_sadrzaj>
    <derivirana_varijabla naziv="DomainObject.Predmet.StrankaWithAdressOIB_1">Holcim (Hrvatska), d.o.o., OIB 60131430579, Koromačno 7B,52222 Koromačno,Damir Kezele, OIB 18741994689, Kajfešov Brijeg 10,10000 Zagreb,VIADUKT graditeljsko dioničko društvo, OIB 74794390096, Kranjčevićeva 2,10000 Zagreb</derivirana_varijabla>
  </DomainObject.Predmet.StrankaWithAdressOIB>
  <DomainObject.Predmet.StrankaNazivFormated>
    <izvorni_sadrzaj>Holcim (Hrvatska), d.o.o.,Damir Kezele,VIADUKT graditeljsko dioničko društvo</izvorni_sadrzaj>
    <derivirana_varijabla naziv="DomainObject.Predmet.StrankaNazivFormated_1">Holcim (Hrvatska), d.o.o.,Damir Kezele,VIADUKT graditeljsko dioničko društvo</derivirana_varijabla>
  </DomainObject.Predmet.StrankaNazivFormated>
  <DomainObject.Predmet.StrankaNazivFormatedOIB>
    <izvorni_sadrzaj>Holcim (Hrvatska), d.o.o., OIB 60131430579,Damir Kezele, OIB 18741994689,VIADUKT graditeljsko dioničko društvo, OIB 74794390096</izvorni_sadrzaj>
    <derivirana_varijabla naziv="DomainObject.Predmet.StrankaNazivFormatedOIB_1">Holcim (Hrvatska), d.o.o., OIB 60131430579,Damir Kezele, OIB 18741994689,VIADUKT graditeljsko dioničko društvo, OIB 74794390096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Holcim (Hrvatska), d.o.o. zastupanog po punomoćniku Odvjetničko društvo LJUBENKO &amp; PARTNERI društvo s ograničenom odgovornošću za odvjetničke usluge</item>
      <item>Damir Kezele</item>
      <item>VIADUKT graditeljsko dioničko društvo</item>
    </izvorni_sadrzaj>
    <derivirana_varijabla naziv="DomainObject.Predmet.StrankaListFormated_1">
      <item>Holcim (Hrvatska), d.o.o. zastupanog po punomoćniku Odvjetničko društvo LJUBENKO &amp; PARTNERI društvo s ograničenom odgovornošću za odvjetničke usluge</item>
      <item>Damir Kezele</item>
      <item>VIADUKT graditeljsko dioničko društvo</item>
    </derivirana_varijabla>
  </DomainObject.Predmet.StrankaListFormated>
  <DomainObject.Predmet.StrankaListFormatedOIB>
    <izvorni_sadrzaj>
      <item>Holcim (Hrvatska), d.o.o., OIB 60131430579 zastupanog po punomoćniku Odvjetničko društvo LJUBENKO &amp; PARTNERI društvo s ograničenom odgovornošću za odvjetničke usluge</item>
      <item>Damir Kezele, OIB 18741994689</item>
      <item>VIADUKT graditeljsko dioničko društvo, OIB 74794390096</item>
    </izvorni_sadrzaj>
    <derivirana_varijabla naziv="DomainObject.Predmet.StrankaListFormatedOIB_1">
      <item>Holcim (Hrvatska), d.o.o., OIB 60131430579 zastupanog po punomoćniku Odvjetničko društvo LJUBENKO &amp; PARTNERI društvo s ograničenom odgovornošću za odvjetničke usluge</item>
      <item>Damir Kezele, OIB 18741994689</item>
      <item>VIADUKT graditeljsko dioničko društvo, OIB 74794390096</item>
    </derivirana_varijabla>
  </DomainObject.Predmet.StrankaListFormatedOIB>
  <DomainObject.Predmet.StrankaListFormatedWithAdress>
    <izvorni_sadrzaj>
      <item>Holcim (Hrvatska), d.o.o., Koromačno 7B, 52222 Koromačno zastupanog po punomoćniku Odvjetničko društvo LJUBENKO &amp; PARTNERI društvo s ograničenom odgovornošću za odvjetničke usluge</item>
      <item>Damir Kezele, Kajfešov Brijeg 10, 10000 Zagreb</item>
      <item>VIADUKT graditeljsko dioničko društvo, Kranjčevićeva 2, 10000 Zagreb</item>
    </izvorni_sadrzaj>
    <derivirana_varijabla naziv="DomainObject.Predmet.StrankaListFormatedWithAdress_1">
      <item>Holcim (Hrvatska), d.o.o., Koromačno 7B, 52222 Koromačno zastupanog po punomoćniku Odvjetničko društvo LJUBENKO &amp; PARTNERI društvo s ograničenom odgovornošću za odvjetničke usluge</item>
      <item>Damir Kezele, Kajfešov Brijeg 10, 10000 Zagreb</item>
      <item>VIADUKT graditeljsko dioničko društvo, Kranjčevićeva 2, 10000 Zagreb</item>
    </derivirana_varijabla>
  </DomainObject.Predmet.StrankaListFormatedWithAdress>
  <DomainObject.Predmet.StrankaListFormatedWithAdressOIB>
    <izvorni_sadrzaj>
      <item>Holcim (Hrvatska), d.o.o., OIB 60131430579, Koromačno 7B, 52222 Koromačno zastupanog po punomoćniku Odvjetničko društvo LJUBENKO &amp; PARTNERI društvo s ograničenom odgovornošću za odvjetničke usluge</item>
      <item>Damir Kezele, OIB 18741994689, Kajfešov Brijeg 10, 10000 Zagreb</item>
      <item>VIADUKT graditeljsko dioničko društvo, OIB 74794390096, Kranjčevićeva 2, 10000 Zagreb</item>
    </izvorni_sadrzaj>
    <derivirana_varijabla naziv="DomainObject.Predmet.StrankaListFormatedWithAdressOIB_1">
      <item>Holcim (Hrvatska), d.o.o., OIB 60131430579, Koromačno 7B, 52222 Koromačno zastupanog po punomoćniku Odvjetničko društvo LJUBENKO &amp; PARTNERI društvo s ograničenom odgovornošću za odvjetničke usluge</item>
      <item>Damir Kezele, OIB 18741994689, Kajfešov Brijeg 10, 10000 Zagreb</item>
      <item>VIADUKT graditeljsko dioničko društvo, OIB 74794390096, Kranjčevićeva 2, 10000 Zagreb</item>
    </derivirana_varijabla>
  </DomainObject.Predmet.StrankaListFormatedWithAdressOIB>
  <DomainObject.Predmet.StrankaListNazivFormated>
    <izvorni_sadrzaj>
      <item>Holcim (Hrvatska), d.o.o.</item>
      <item>Damir Kezele</item>
      <item>VIADUKT graditeljsko dioničko društvo</item>
    </izvorni_sadrzaj>
    <derivirana_varijabla naziv="DomainObject.Predmet.StrankaListNazivFormated_1">
      <item>Holcim (Hrvatska), d.o.o.</item>
      <item>Damir Kezele</item>
      <item>VIADUKT graditeljsko dioničko društvo</item>
    </derivirana_varijabla>
  </DomainObject.Predmet.StrankaListNazivFormated>
  <DomainObject.Predmet.StrankaListNazivFormatedOIB>
    <izvorni_sadrzaj>
      <item>Holcim (Hrvatska), d.o.o., OIB 60131430579</item>
      <item>Damir Kezele, OIB 18741994689</item>
      <item>VIADUKT graditeljsko dioničko društvo, OIB 74794390096</item>
    </izvorni_sadrzaj>
    <derivirana_varijabla naziv="DomainObject.Predmet.StrankaListNazivFormatedOIB_1">
      <item>Holcim (Hrvatska), d.o.o., OIB 60131430579</item>
      <item>Damir Kezele, OIB 18741994689</item>
      <item>VIADUKT graditeljsko dioničko društvo, OIB 74794390096</item>
    </derivirana_varijabla>
  </DomainObject.Predmet.StrankaListNazivFormatedOIB>
  <DomainObject.Predmet.ProtuStrankaListFormated>
    <izvorni_sadrzaj>
      <item>VIADUKT d.d. zastupanog po punomoćniku INOSLAV KORINČIĆ</item>
    </izvorni_sadrzaj>
    <derivirana_varijabla naziv="DomainObject.Predmet.ProtuStrankaListFormated_1">
      <item>VIADUKT d.d. zastupanog po punomoćniku INOSLAV KORINČIĆ</item>
    </derivirana_varijabla>
  </DomainObject.Predmet.ProtuStrankaListFormated>
  <DomainObject.Predmet.ProtuStrankaListFormatedOIB>
    <izvorni_sadrzaj>
      <item>VIADUKT d.d., OIB 74794390096 zastupanog po punomoćniku INOSLAV KORINČIĆ</item>
    </izvorni_sadrzaj>
    <derivirana_varijabla naziv="DomainObject.Predmet.ProtuStrankaListFormatedOIB_1">
      <item>VIADUKT d.d., OIB 74794390096 zastupanog po punomoćniku INOSLAV KORINČIĆ</item>
    </derivirana_varijabla>
  </DomainObject.Predmet.ProtuStrankaListFormatedOIB>
  <DomainObject.Predmet.ProtuStrankaListFormatedWithAdress>
    <izvorni_sadrzaj>
      <item>VIADUKT d.d., Kranjčevićeva 2, 10000 Zagreb zastupanog po punomoćniku INOSLAV KORINČIĆ</item>
    </izvorni_sadrzaj>
    <derivirana_varijabla naziv="DomainObject.Predmet.ProtuStrankaListFormatedWithAdress_1">
      <item>VIADUKT d.d., Kranjčevićeva 2, 10000 Zagreb zastupanog po punomoćniku INOSLAV KORINČIĆ</item>
    </derivirana_varijabla>
  </DomainObject.Predmet.ProtuStrankaListFormatedWithAdress>
  <DomainObject.Predmet.ProtuStrankaListFormatedWithAdressOIB>
    <izvorni_sadrzaj>
      <item>VIADUKT d.d., OIB 74794390096, Kranjčevićeva 2, 10000 Zagreb zastupanog po punomoćniku INOSLAV KORINČIĆ</item>
    </izvorni_sadrzaj>
    <derivirana_varijabla naziv="DomainObject.Predmet.ProtuStrankaListFormatedWithAdressOIB_1">
      <item>VIADUKT d.d., OIB 74794390096, Kranjčevićeva 2, 10000 Zagreb zastupanog po punomoćniku INOSLAV KORINČIĆ</item>
    </derivirana_varijabla>
  </DomainObject.Predmet.ProtuStrankaListFormatedWithAdressOIB>
  <DomainObject.Predmet.ProtuStrankaListNazivFormated>
    <izvorni_sadrzaj>
      <item>VIADUKT d.d.</item>
    </izvorni_sadrzaj>
    <derivirana_varijabla naziv="DomainObject.Predmet.ProtuStrankaListNazivFormated_1">
      <item>VIADUKT d.d.</item>
    </derivirana_varijabla>
  </DomainObject.Predmet.ProtuStrankaListNazivFormated>
  <DomainObject.Predmet.ProtuStrankaListNazivFormatedOIB>
    <izvorni_sadrzaj>
      <item>VIADUKT d.d., OIB 74794390096</item>
    </izvorni_sadrzaj>
    <derivirana_varijabla naziv="DomainObject.Predmet.ProtuStrankaListNazivFormatedOIB_1">
      <item>VIADUKT d.d., OIB 74794390096</item>
    </derivirana_varijabla>
  </DomainObject.Predmet.ProtuStrankaListNazivFormatedOIB>
  <DomainObject.Predmet.OstaliListFormated>
    <izvorni_sadrzaj>
      <item>OD Ljubenko&amp; partneri j.t.d.</item>
      <item>Odvjetničko društvo LJUBENKO &amp; PARTNERI društvo s ograničenom odgovornošću za odvjetničke usluge punomoćnik sudionika u postupku Holcim (Hrvatska), d.o.o.</item>
      <item>INOSLAV KORINČIĆ punomoćnik sudionika u postupku VIADUKT d.d.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  <item>Nenad Grof</item>
    </izvorni_sadrzaj>
    <derivirana_varijabla naziv="DomainObject.Predmet.OstaliListFormated_1">
      <item>OD Ljubenko&amp; partneri j.t.d.</item>
      <item>Odvjetničko društvo LJUBENKO &amp; PARTNERI društvo s ograničenom odgovornošću za odvjetničke usluge punomoćnik sudionika u postupku Holcim (Hrvatska), d.o.o.</item>
      <item>INOSLAV KORINČIĆ punomoćnik sudionika u postupku VIADUKT d.d.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  <item>Nenad Grof</item>
    </derivirana_varijabla>
  </DomainObject.Predmet.OstaliListFormated>
  <DomainObject.Predmet.OstaliListFormatedOIB>
    <izvorni_sadrzaj>
      <item>OD Ljubenko&amp; partneri j.t.d.</item>
      <item>Odvjetničko društvo LJUBENKO &amp; PARTNERI društvo s ograničenom odgovornošću za odvjetničke usluge, OIB 44071613559 punomoćnik sudionika u postupku Holcim (Hrvatska), d.o.o.</item>
      <item>INOSLAV KORINČIĆ punomoćnik sudionika u postupku VIADUKT d.d.</item>
      <item>Damir Kezele, OIB 18741994689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  <item>Nenad Grof</item>
    </izvorni_sadrzaj>
    <derivirana_varijabla naziv="DomainObject.Predmet.OstaliListFormatedOIB_1">
      <item>OD Ljubenko&amp; partneri j.t.d.</item>
      <item>Odvjetničko društvo LJUBENKO &amp; PARTNERI društvo s ograničenom odgovornošću za odvjetničke usluge, OIB 44071613559 punomoćnik sudionika u postupku Holcim (Hrvatska), d.o.o.</item>
      <item>INOSLAV KORINČIĆ punomoćnik sudionika u postupku VIADUKT d.d.</item>
      <item>Damir Kezele, OIB 18741994689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  <item>Nenad Grof</item>
    </derivirana_varijabla>
  </DomainObject.Predmet.OstaliListFormatedOIB>
  <DomainObject.Predmet.OstaliListFormatedWithAdress>
    <izvorni_sadrzaj>
      <item>OD Ljubenko&amp; partneri j.t.d., Branimirova 29, 10000 Zagreb</item>
      <item>Odvjetničko društvo LJUBENKO &amp; PARTNERI društvo s ograničenom odgovornošću za odvjetničke usluge, Branimirova 29, 10000 Zagreb punomoćnik sudionika u postupku Holcim (Hrvatska), d.o.o.</item>
      <item>INOSLAV KORINČIĆ, Mihovila Krušlina 14, 10290 Zaprešić punomoćnik sudionika u postupku VIADUKT d.d.</item>
      <item>Damir Kezele, Kajfešov brijeg 10, 10000 Zagreb</item>
      <item>PRIVREDNA BANKA ZAGREB d.d. n/r Dražen Vrbetić, Radnička cesta 44, 10000 Zagreb</item>
      <item>ERSTE&amp;STEIERMARKISCHE BANK d.d.n/r Mario Majstorović, Ivana Lucića 2, 10000 Zagreb</item>
      <item>IGMA d.o.o., Ciglana 10, 34310 Koprivnica</item>
      <item>Helena Putica, Kružna 22, 10000 Zagreb</item>
      <item>HRVATSKA POŠTA d.d., Jurišićeva 13, 10000 Zagreb</item>
      <item>MF POREZNA UPRAVA-SREDIŠNJI URED, Boškovićeva 5, 10000 Zagreb</item>
      <item>HRVATSKE AUTOCESTE d.o.o., Širolina 4, 10000 Zagreb</item>
      <item>Nenad Grof, Nikole Pavića 7, 10000 Zagreb</item>
    </izvorni_sadrzaj>
    <derivirana_varijabla naziv="DomainObject.Predmet.OstaliListFormatedWithAdress_1">
      <item>OD Ljubenko&amp; partneri j.t.d., Branimirova 29, 10000 Zagreb</item>
      <item>Odvjetničko društvo LJUBENKO &amp; PARTNERI društvo s ograničenom odgovornošću za odvjetničke usluge, Branimirova 29, 10000 Zagreb punomoćnik sudionika u postupku Holcim (Hrvatska), d.o.o.</item>
      <item>INOSLAV KORINČIĆ, Mihovila Krušlina 14, 10290 Zaprešić punomoćnik sudionika u postupku VIADUKT d.d.</item>
      <item>Damir Kezele, Kajfešov brijeg 10, 10000 Zagreb</item>
      <item>PRIVREDNA BANKA ZAGREB d.d. n/r Dražen Vrbetić, Radnička cesta 44, 10000 Zagreb</item>
      <item>ERSTE&amp;STEIERMARKISCHE BANK d.d.n/r Mario Majstorović, Ivana Lucića 2, 10000 Zagreb</item>
      <item>IGMA d.o.o., Ciglana 10, 34310 Koprivnica</item>
      <item>Helena Putica, Kružna 22, 10000 Zagreb</item>
      <item>HRVATSKA POŠTA d.d., Jurišićeva 13, 10000 Zagreb</item>
      <item>MF POREZNA UPRAVA-SREDIŠNJI URED, Boškovićeva 5, 10000 Zagreb</item>
      <item>HRVATSKE AUTOCESTE d.o.o., Širolina 4, 10000 Zagreb</item>
      <item>Nenad Grof, Nikole Pavića 7, 10000 Zagreb</item>
    </derivirana_varijabla>
  </DomainObject.Predmet.OstaliListFormatedWithAdress>
  <DomainObject.Predmet.OstaliListFormatedWithAdressOIB>
    <izvorni_sadrzaj>
      <item>OD Ljubenko&amp; partneri j.t.d., Branimirova 29, 10000 Zagreb</item>
      <item>Odvjetničko društvo LJUBENKO &amp; PARTNERI društvo s ograničenom odgovornošću za odvjetničke usluge, OIB 44071613559, Branimirova 29, 10000 Zagreb punomoćnik sudionika u postupku Holcim (Hrvatska), d.o.o.</item>
      <item>INOSLAV KORINČIĆ, Mihovila Krušlina 14, 10290 Zaprešić punomoćnik sudionika u postupku VIADUKT d.d.</item>
      <item>Damir Kezele, OIB 18741994689, Kajfešov brijeg 10, 10000 Zagreb</item>
      <item>PRIVREDNA BANKA ZAGREB d.d. n/r Dražen Vrbetić, Radnička cesta 44, 10000 Zagreb</item>
      <item>ERSTE&amp;STEIERMARKISCHE BANK d.d.n/r Mario Majstorović, Ivana Lucića 2, 10000 Zagreb</item>
      <item>IGMA d.o.o., Ciglana 10, 34310 Koprivnica</item>
      <item>Helena Putica, Kružna 22, 10000 Zagreb</item>
      <item>HRVATSKA POŠTA d.d., Jurišićeva 13, 10000 Zagreb</item>
      <item>MF POREZNA UPRAVA-SREDIŠNJI URED, Boškovićeva 5, 10000 Zagreb</item>
      <item>HRVATSKE AUTOCESTE d.o.o., Širolina 4, 10000 Zagreb</item>
      <item>Nenad Grof, Nikole Pavića 7, 10000 Zagreb</item>
    </izvorni_sadrzaj>
    <derivirana_varijabla naziv="DomainObject.Predmet.OstaliListFormatedWithAdressOIB_1">
      <item>OD Ljubenko&amp; partneri j.t.d., Branimirova 29, 10000 Zagreb</item>
      <item>Odvjetničko društvo LJUBENKO &amp; PARTNERI društvo s ograničenom odgovornošću za odvjetničke usluge, OIB 44071613559, Branimirova 29, 10000 Zagreb punomoćnik sudionika u postupku Holcim (Hrvatska), d.o.o.</item>
      <item>INOSLAV KORINČIĆ, Mihovila Krušlina 14, 10290 Zaprešić punomoćnik sudionika u postupku VIADUKT d.d.</item>
      <item>Damir Kezele, OIB 18741994689, Kajfešov brijeg 10, 10000 Zagreb</item>
      <item>PRIVREDNA BANKA ZAGREB d.d. n/r Dražen Vrbetić, Radnička cesta 44, 10000 Zagreb</item>
      <item>ERSTE&amp;STEIERMARKISCHE BANK d.d.n/r Mario Majstorović, Ivana Lucića 2, 10000 Zagreb</item>
      <item>IGMA d.o.o., Ciglana 10, 34310 Koprivnica</item>
      <item>Helena Putica, Kružna 22, 10000 Zagreb</item>
      <item>HRVATSKA POŠTA d.d., Jurišićeva 13, 10000 Zagreb</item>
      <item>MF POREZNA UPRAVA-SREDIŠNJI URED, Boškovićeva 5, 10000 Zagreb</item>
      <item>HRVATSKE AUTOCESTE d.o.o., Širolina 4, 10000 Zagreb</item>
      <item>Nenad Grof, Nikole Pavića 7, 10000 Zagreb</item>
    </derivirana_varijabla>
  </DomainObject.Predmet.OstaliListFormatedWithAdressOIB>
  <DomainObject.Predmet.OstaliListNazivFormated>
    <izvorni_sadrzaj>
      <item>OD Ljubenko&amp; partneri j.t.d.</item>
      <item>Odvjetničko društvo LJUBENKO &amp; PARTNERI društvo s ograničenom odgovornošću za odvjetničke usluge</item>
      <item>INOSLAV KORINČIĆ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  <item>Nenad Grof</item>
    </izvorni_sadrzaj>
    <derivirana_varijabla naziv="DomainObject.Predmet.OstaliListNazivFormated_1">
      <item>OD Ljubenko&amp; partneri j.t.d.</item>
      <item>Odvjetničko društvo LJUBENKO &amp; PARTNERI društvo s ograničenom odgovornošću za odvjetničke usluge</item>
      <item>INOSLAV KORINČIĆ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  <item>Nenad Grof</item>
    </derivirana_varijabla>
  </DomainObject.Predmet.OstaliListNazivFormated>
  <DomainObject.Predmet.OstaliListNazivFormatedOIB>
    <izvorni_sadrzaj>
      <item>OD Ljubenko&amp; partneri j.t.d.</item>
      <item>Odvjetničko društvo LJUBENKO &amp; PARTNERI društvo s ograničenom odgovornošću za odvjetničke usluge, OIB 44071613559</item>
      <item>INOSLAV KORINČIĆ</item>
      <item>Damir Kezele, OIB 18741994689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  <item>Nenad Grof</item>
    </izvorni_sadrzaj>
    <derivirana_varijabla naziv="DomainObject.Predmet.OstaliListNazivFormatedOIB_1">
      <item>OD Ljubenko&amp; partneri j.t.d.</item>
      <item>Odvjetničko društvo LJUBENKO &amp; PARTNERI društvo s ograničenom odgovornošću za odvjetničke usluge, OIB 44071613559</item>
      <item>INOSLAV KORINČIĆ</item>
      <item>Damir Kezele, OIB 18741994689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  <item>Nenad Grof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2018.</izvorni_sadrzaj>
    <derivirana_varijabla naziv="DomainObject.Datum_1">6.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Holcim (Hrvatska), d.o.o. i dr.</izvorni_sadrzaj>
    <derivirana_varijabla naziv="DomainObject.Predmet.StrankaIDrugi_1">Holcim (Hrvatska), d.o.o. i dr.</derivirana_varijabla>
  </DomainObject.Predmet.StrankaIDrugi>
  <DomainObject.Predmet.ProtustrankaIDrugi>
    <izvorni_sadrzaj>VIADUKT d.d.</izvorni_sadrzaj>
    <derivirana_varijabla naziv="DomainObject.Predmet.ProtustrankaIDrugi_1">VIADUKT d.d.</derivirana_varijabla>
  </DomainObject.Predmet.ProtustrankaIDrugi>
  <DomainObject.Predmet.StrankaIDrugiAdressOIB>
    <izvorni_sadrzaj>Holcim (Hrvatska), d.o.o., OIB 60131430579, Koromačno 7B, 52222 Koromačno i dr.</izvorni_sadrzaj>
    <derivirana_varijabla naziv="DomainObject.Predmet.StrankaIDrugiAdressOIB_1">Holcim (Hrvatska), d.o.o., OIB 60131430579, Koromačno 7B, 52222 Koromačno i dr.</derivirana_varijabla>
  </DomainObject.Predmet.StrankaIDrugiAdressOIB>
  <DomainObject.Predmet.ProtustrankaIDrugiAdressOIB>
    <izvorni_sadrzaj>VIADUKT d.d., OIB 74794390096, Kranjčevićeva 2, 10000 Zagreb</izvorni_sadrzaj>
    <derivirana_varijabla naziv="DomainObject.Predmet.ProtustrankaIDrugiAdressOIB_1">VIADUKT d.d., OIB 74794390096, Kranjčevićeva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Holcim (Hrvatska), d.o.o.</item>
      <item>VIADUKT d.d.</item>
      <item>OD Ljubenko&amp; partneri j.t.d.</item>
      <item>Odvjetničko društvo LJUBENKO &amp; PARTNERI društvo s ograničenom odgovornošću za odvjetničke usluge</item>
      <item>INOSLAV KORINČIĆ</item>
      <item>Damir Kezele</item>
      <item>VIADUKT graditeljsko dioničko društvo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  <item>Nenad Grof</item>
    </izvorni_sadrzaj>
    <derivirana_varijabla naziv="DomainObject.Predmet.SudioniciListNaziv_1">
      <item>Holcim (Hrvatska), d.o.o.</item>
      <item>VIADUKT d.d.</item>
      <item>OD Ljubenko&amp; partneri j.t.d.</item>
      <item>Odvjetničko društvo LJUBENKO &amp; PARTNERI društvo s ograničenom odgovornošću za odvjetničke usluge</item>
      <item>INOSLAV KORINČIĆ</item>
      <item>Damir Kezele</item>
      <item>VIADUKT graditeljsko dioničko društvo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  <item>Nenad Grof</item>
    </derivirana_varijabla>
  </DomainObject.Predmet.SudioniciListNaziv>
  <DomainObject.Predmet.SudioniciListAdressOIB>
    <izvorni_sadrzaj>
      <item>Holcim (Hrvatska), d.o.o., OIB 60131430579, Koromačno 7B,52222 Koromačno</item>
      <item>VIADUKT d.d., OIB 74794390096, Kranjčevićeva 2,10000 Zagreb</item>
      <item>OD Ljubenko&amp; partneri j.t.d., Branimirova 29,10000 Zagreb</item>
      <item>Odvjetničko društvo LJUBENKO &amp; PARTNERI društvo s ograničenom odgovornošću za odvjetničke usluge, OIB 44071613559, Branimirova 29,10000 Zagreb</item>
      <item>INOSLAV KORINČIĆ, Mihovila Krušlina 14,10290 Zaprešić</item>
      <item>Damir Kezele, OIB 18741994689, Kajfešov Brijeg 10,10000 Zagreb</item>
      <item>VIADUKT graditeljsko dioničko društvo, OIB 74794390096, Kranjčevićeva 2,10000 Zagreb</item>
      <item>Damir Kezele, OIB 18741994689, Kajfešov brijeg 10,10000 Zagreb</item>
      <item>PRIVREDNA BANKA ZAGREB d.d. n/r Dražen Vrbetić, Radnička cesta 44,10000 Zagreb</item>
      <item>ERSTE&amp;STEIERMARKISCHE BANK d.d.n/r Mario Majstorović, Ivana Lucića 2,10000 Zagreb</item>
      <item>IGMA d.o.o., Ciglana 10,34310 Koprivnica</item>
      <item>Helena Putica, Kružna 22,10000 Zagreb</item>
      <item>HRVATSKA POŠTA d.d., Jurišićeva 13,10000 Zagreb</item>
      <item>MF POREZNA UPRAVA-SREDIŠNJI URED, Boškovićeva 5,10000 Zagreb</item>
      <item>HRVATSKE AUTOCESTE d.o.o., Širolina 4,10000 Zagreb</item>
      <item>Nenad Grof, Nikole Pavića 7,10000 Zagreb</item>
    </izvorni_sadrzaj>
    <derivirana_varijabla naziv="DomainObject.Predmet.SudioniciListAdressOIB_1">
      <item>Holcim (Hrvatska), d.o.o., OIB 60131430579, Koromačno 7B,52222 Koromačno</item>
      <item>VIADUKT d.d., OIB 74794390096, Kranjčevićeva 2,10000 Zagreb</item>
      <item>OD Ljubenko&amp; partneri j.t.d., Branimirova 29,10000 Zagreb</item>
      <item>Odvjetničko društvo LJUBENKO &amp; PARTNERI društvo s ograničenom odgovornošću za odvjetničke usluge, OIB 44071613559, Branimirova 29,10000 Zagreb</item>
      <item>INOSLAV KORINČIĆ, Mihovila Krušlina 14,10290 Zaprešić</item>
      <item>Damir Kezele, OIB 18741994689, Kajfešov Brijeg 10,10000 Zagreb</item>
      <item>VIADUKT graditeljsko dioničko društvo, OIB 74794390096, Kranjčevićeva 2,10000 Zagreb</item>
      <item>Damir Kezele, OIB 18741994689, Kajfešov brijeg 10,10000 Zagreb</item>
      <item>PRIVREDNA BANKA ZAGREB d.d. n/r Dražen Vrbetić, Radnička cesta 44,10000 Zagreb</item>
      <item>ERSTE&amp;STEIERMARKISCHE BANK d.d.n/r Mario Majstorović, Ivana Lucića 2,10000 Zagreb</item>
      <item>IGMA d.o.o., Ciglana 10,34310 Koprivnica</item>
      <item>Helena Putica, Kružna 22,10000 Zagreb</item>
      <item>HRVATSKA POŠTA d.d., Jurišićeva 13,10000 Zagreb</item>
      <item>MF POREZNA UPRAVA-SREDIŠNJI URED, Boškovićeva 5,10000 Zagreb</item>
      <item>HRVATSKE AUTOCESTE d.o.o., Širolina 4,10000 Zagreb</item>
      <item>Nenad Grof, Nikole Pavića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60131430579</item>
      <item>, OIB 74794390096</item>
      <item>, OIB null</item>
      <item>, OIB 44071613559</item>
      <item>, OIB null</item>
      <item>, OIB 18741994689</item>
      <item>, OIB 74794390096</item>
      <item>, OIB 18741994689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60131430579</item>
      <item>, OIB 74794390096</item>
      <item>, OIB null</item>
      <item>, OIB 44071613559</item>
      <item>, OIB null</item>
      <item>, OIB 18741994689</item>
      <item>, OIB 74794390096</item>
      <item>, OIB 18741994689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Milorad Zajkovski, OIB 59768013642, Ivana Vencla 32 Zaprešić</item>
    </izvorni_sadrzaj>
    <derivirana_varijabla naziv="DomainObject.Predmet.StecajniUpraviteljiListAddressOIB_1">
      <item>Milorad Zajkovski, OIB 59768013642, Ivana Vencla 32 Zaprešić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612</properties:Words>
  <properties:Characters>3549</properties:Characters>
  <properties:Lines>99</properties:Lines>
  <properties:Paragraphs>50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2018-06-06T11:37:00Z</dcterms:created>
  <dc:creator>Ante Galić</dc:creator>
  <cp:lastModifiedBy>Valentina Delač</cp:lastModifiedBy>
  <cp:lastPrinted>2018-06-06T11:40:00Z</cp:lastPrinted>
  <dcterms:modified xmlns:xsi="http://www.w3.org/2001/XMLSchema-instance" xsi:type="dcterms:W3CDTF">2018-06-06T11:40:00Z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(Viadukt  ukidanje utvrđenih novo rješenje.docx)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