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dc27e" w14:paraId="7fdc27e" w:rsidRDefault="006D4D3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1478280</wp:posOffset>
            </wp:positionH>
            <wp:positionV relativeFrom="page">
              <wp:posOffset>624205</wp:posOffset>
            </wp:positionV>
            <wp:extent cy="874395" cx="6553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74395" cx="655320"/>
                    </a:xfrm>
                    <a:prstGeom prst="rect">
                      <a:avLst/>
                    </a:prstGeom>
                  </pic:spPr>
                </pic:pic>
              </a:graphicData>
            </a:graphic>
          </wp:anchor>
        </w:drawing>
      </w:r>
    </w:p>
    <w:p w:rsidRDefault="00AE649C" w:rsidP="004F27AE" w:rsidR="00AE649C" w:rsidRPr="00B76F3C">
      <w:pPr>
        <w:pStyle w:val="NormaleSPIS"/>
      </w:pPr>
    </w:p>
    <w:p w:rsidRDefault="006D4D32" w:rsidP="006D4D32" w:rsidR="006D4D32">
      <w:pPr>
        <w:spacing w:after="0"/>
        <w:jc w:val="both"/>
      </w:pPr>
      <w:r>
        <w:t xml:space="preserve">         </w:t>
      </w:r>
      <w:r>
        <w:t>Republika Hrvatska</w:t>
      </w:r>
    </w:p>
    <w:p w:rsidRDefault="006D4D32" w:rsidP="006D4D32" w:rsidR="006D4D32">
      <w:pPr>
        <w:tabs>
          <w:tab w:pos="3338" w:val="left"/>
        </w:tabs>
        <w:spacing w:after="0"/>
        <w:jc w:val="both"/>
      </w:pPr>
      <w:r>
        <w:t xml:space="preserve">     Trgovački sud u Bjelovaru</w:t>
      </w:r>
      <w:r>
        <w:tab/>
      </w:r>
    </w:p>
    <w:p w:rsidRDefault="006D4D32" w:rsidP="006D4D32" w:rsidR="006D4D32">
      <w:pPr>
        <w:spacing w:after="0"/>
        <w:jc w:val="both"/>
      </w:pPr>
      <w:r>
        <w:t xml:space="preserve">Bjelovar, Šetalište dr. I. </w:t>
      </w:r>
      <w:proofErr w:type="spellStart"/>
      <w:r>
        <w:t>Lebovića</w:t>
      </w:r>
      <w:proofErr w:type="spellEnd"/>
      <w:r>
        <w:t xml:space="preserve"> 42</w:t>
      </w:r>
    </w:p>
    <w:p w:rsidRDefault="006D4D32" w:rsidP="006D4D32" w:rsidR="006D4D32" w:rsidRPr="006D4D32">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6D4D32">
        <w:rPr>
          <w:rFonts w:cs="Times New Roman" w:eastAsia="Times New Roman"/>
          <w:noProof/>
          <w:szCs w:val="20"/>
          <w:lang w:eastAsia="hr-HR"/>
        </w:rPr>
        <w:t>Poslovni broj: 5 St-545/2017-21</w:t>
      </w:r>
    </w:p>
    <w:p w:rsidRDefault="006D4D32" w:rsidP="006D4D32" w:rsidR="006D4D32" w:rsidRPr="006D4D32">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6D4D32" w:rsidP="006D4D32" w:rsidR="006D4D32" w:rsidRPr="006D4D32">
      <w:pPr>
        <w:overflowPunct w:val="false"/>
        <w:autoSpaceDE w:val="false"/>
        <w:autoSpaceDN w:val="false"/>
        <w:adjustRightInd w:val="false"/>
        <w:spacing w:after="0"/>
        <w:outlineLvl w:val="0"/>
        <w:rPr>
          <w:rFonts w:cs="Times New Roman" w:eastAsia="Times New Roman"/>
          <w:noProof/>
          <w:szCs w:val="20"/>
          <w:lang w:eastAsia="hr-HR"/>
        </w:rPr>
      </w:pPr>
    </w:p>
    <w:p w:rsidRDefault="006D4D32" w:rsidP="006D4D32" w:rsidR="006D4D32" w:rsidRPr="006D4D32">
      <w:pPr>
        <w:overflowPunct w:val="false"/>
        <w:autoSpaceDE w:val="false"/>
        <w:autoSpaceDN w:val="false"/>
        <w:adjustRightInd w:val="false"/>
        <w:spacing w:after="0"/>
        <w:outlineLvl w:val="0"/>
        <w:rPr>
          <w:rFonts w:cs="Times New Roman" w:eastAsia="Times New Roman"/>
          <w:noProof/>
          <w:szCs w:val="20"/>
          <w:lang w:eastAsia="hr-HR"/>
        </w:rPr>
      </w:pPr>
    </w:p>
    <w:p w:rsidRDefault="006D4D32" w:rsidP="006D4D32" w:rsidR="006D4D32" w:rsidRPr="006D4D32">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6D4D32" w:rsidP="006D4D32" w:rsidR="006D4D32" w:rsidRPr="006D4D32">
      <w:pPr>
        <w:overflowPunct w:val="false"/>
        <w:autoSpaceDE w:val="false"/>
        <w:autoSpaceDN w:val="false"/>
        <w:adjustRightInd w:val="false"/>
        <w:spacing w:after="0"/>
        <w:jc w:val="center"/>
        <w:rPr>
          <w:rFonts w:cs="Times New Roman" w:eastAsia="Times New Roman"/>
          <w:noProof/>
          <w:szCs w:val="20"/>
          <w:lang w:eastAsia="hr-HR"/>
        </w:rPr>
      </w:pPr>
      <w:r w:rsidRPr="006D4D32">
        <w:rPr>
          <w:rFonts w:cs="Times New Roman" w:eastAsia="Times New Roman"/>
          <w:noProof/>
          <w:szCs w:val="20"/>
          <w:lang w:eastAsia="hr-HR"/>
        </w:rPr>
        <w:t>U  I M E  R E P U B L I K E   H R V A T S K E</w:t>
      </w:r>
    </w:p>
    <w:p w:rsidRDefault="006D4D32" w:rsidP="006D4D32" w:rsidR="006D4D32" w:rsidRPr="006D4D32">
      <w:pPr>
        <w:overflowPunct w:val="false"/>
        <w:autoSpaceDE w:val="false"/>
        <w:autoSpaceDN w:val="false"/>
        <w:adjustRightInd w:val="false"/>
        <w:spacing w:after="0"/>
        <w:rPr>
          <w:rFonts w:cs="Times New Roman" w:eastAsia="Times New Roman"/>
          <w:noProof/>
          <w:szCs w:val="20"/>
          <w:lang w:eastAsia="hr-HR"/>
        </w:rPr>
      </w:pPr>
    </w:p>
    <w:p w:rsidRDefault="006D4D32" w:rsidP="006D4D32" w:rsidR="006D4D32" w:rsidRPr="006D4D32">
      <w:pPr>
        <w:overflowPunct w:val="false"/>
        <w:autoSpaceDE w:val="false"/>
        <w:autoSpaceDN w:val="false"/>
        <w:adjustRightInd w:val="false"/>
        <w:spacing w:after="0"/>
        <w:jc w:val="center"/>
        <w:outlineLvl w:val="0"/>
        <w:rPr>
          <w:rFonts w:cs="Times New Roman" w:eastAsia="Times New Roman"/>
          <w:noProof/>
          <w:szCs w:val="20"/>
          <w:lang w:eastAsia="hr-HR"/>
        </w:rPr>
      </w:pPr>
      <w:r w:rsidRPr="006D4D32">
        <w:rPr>
          <w:rFonts w:cs="Times New Roman" w:eastAsia="Times New Roman"/>
          <w:noProof/>
          <w:szCs w:val="20"/>
          <w:lang w:eastAsia="hr-HR"/>
        </w:rPr>
        <w:t>R J E Š E N J E</w:t>
      </w:r>
    </w:p>
    <w:p w:rsidRDefault="006D4D32" w:rsidP="006D4D32" w:rsidR="006D4D32" w:rsidRPr="006D4D32">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6D4D32" w:rsidP="006D4D32" w:rsidR="006D4D32" w:rsidRPr="006D4D32">
      <w:pPr>
        <w:overflowPunct w:val="false"/>
        <w:autoSpaceDE w:val="false"/>
        <w:autoSpaceDN w:val="false"/>
        <w:adjustRightInd w:val="false"/>
        <w:spacing w:after="0"/>
        <w:ind w:firstLine="851"/>
        <w:jc w:val="both"/>
        <w:rPr>
          <w:rFonts w:cs="Times New Roman" w:eastAsia="Times New Roman"/>
          <w:noProof/>
          <w:szCs w:val="20"/>
          <w:lang w:eastAsia="hr-HR"/>
        </w:rPr>
      </w:pPr>
      <w:r w:rsidRPr="006D4D32">
        <w:rPr>
          <w:rFonts w:cs="Times New Roman" w:eastAsia="Times New Roman"/>
          <w:noProof/>
          <w:szCs w:val="20"/>
          <w:lang w:eastAsia="hr-HR"/>
        </w:rPr>
        <w:t xml:space="preserve">Trgovački sud u Bjelovaru, po stečajnoj sutkinji Mariji Petrina Kubica, </w:t>
      </w:r>
      <w:r w:rsidRPr="006D4D32">
        <w:rPr>
          <w:rFonts w:cs="Times New Roman" w:eastAsia="Times New Roman"/>
          <w:szCs w:val="20"/>
          <w:lang w:eastAsia="hr-HR"/>
        </w:rPr>
        <w:t xml:space="preserve">povodom prijedloga FINANCIJSKE AGENCIJE, OIB:85821130368, RC ZAGREB, Podružnica Zagreb, Zagreb, Trg svibanjskih žrtava 1995. 1, za otvaranje stečajnog postupka nad dužnikom Alternative </w:t>
      </w:r>
      <w:proofErr w:type="spellStart"/>
      <w:r w:rsidRPr="006D4D32">
        <w:rPr>
          <w:rFonts w:cs="Times New Roman" w:eastAsia="Times New Roman"/>
          <w:szCs w:val="20"/>
          <w:lang w:eastAsia="hr-HR"/>
        </w:rPr>
        <w:t>Consulting</w:t>
      </w:r>
      <w:proofErr w:type="spellEnd"/>
      <w:r w:rsidRPr="006D4D32">
        <w:rPr>
          <w:rFonts w:cs="Times New Roman" w:eastAsia="Times New Roman"/>
          <w:szCs w:val="20"/>
          <w:lang w:eastAsia="hr-HR"/>
        </w:rPr>
        <w:t xml:space="preserve"> j.d.o.o. za projektiranje informacijskih sustava, Zagreb, Mandaličina 12B, MBS: 080891253, OIB: 00833920550, 18.   travnja 2018. </w:t>
      </w:r>
      <w:r w:rsidRPr="006D4D32">
        <w:rPr>
          <w:rFonts w:cs="Times New Roman" w:eastAsia="Times New Roman"/>
          <w:noProof/>
          <w:szCs w:val="20"/>
          <w:lang w:eastAsia="hr-HR"/>
        </w:rPr>
        <w:t xml:space="preserve"> </w:t>
      </w:r>
    </w:p>
    <w:p w:rsidRDefault="006D4D32" w:rsidP="006D4D32" w:rsidR="006D4D32" w:rsidRPr="006D4D32">
      <w:pPr>
        <w:overflowPunct w:val="false"/>
        <w:autoSpaceDE w:val="false"/>
        <w:autoSpaceDN w:val="false"/>
        <w:adjustRightInd w:val="false"/>
        <w:spacing w:after="0"/>
        <w:rPr>
          <w:rFonts w:cs="Times New Roman" w:eastAsia="Times New Roman"/>
          <w:szCs w:val="20"/>
          <w:lang w:eastAsia="hr-HR"/>
        </w:rPr>
      </w:pPr>
    </w:p>
    <w:p w:rsidRDefault="006D4D32" w:rsidP="006D4D32" w:rsidR="006D4D32" w:rsidRPr="006D4D32">
      <w:pPr>
        <w:overflowPunct w:val="false"/>
        <w:autoSpaceDE w:val="false"/>
        <w:autoSpaceDN w:val="false"/>
        <w:adjustRightInd w:val="false"/>
        <w:spacing w:after="0"/>
        <w:jc w:val="center"/>
        <w:rPr>
          <w:rFonts w:cs="Times New Roman" w:eastAsia="Times New Roman"/>
          <w:szCs w:val="20"/>
          <w:lang w:eastAsia="hr-HR"/>
        </w:rPr>
      </w:pPr>
      <w:r w:rsidRPr="006D4D32">
        <w:rPr>
          <w:rFonts w:cs="Times New Roman" w:eastAsia="Times New Roman"/>
          <w:szCs w:val="20"/>
          <w:lang w:eastAsia="hr-HR"/>
        </w:rPr>
        <w:t>r i j e š i o  j e</w:t>
      </w:r>
    </w:p>
    <w:p w:rsidRDefault="006D4D32" w:rsidP="006D4D32" w:rsidR="006D4D32" w:rsidRPr="006D4D32">
      <w:pPr>
        <w:overflowPunct w:val="false"/>
        <w:autoSpaceDE w:val="false"/>
        <w:autoSpaceDN w:val="false"/>
        <w:adjustRightInd w:val="false"/>
        <w:spacing w:after="0"/>
        <w:ind w:firstLine="851"/>
        <w:jc w:val="both"/>
        <w:rPr>
          <w:rFonts w:cs="Times New Roman" w:eastAsia="Times New Roman"/>
          <w:szCs w:val="20"/>
          <w:lang w:eastAsia="hr-HR"/>
        </w:rPr>
      </w:pPr>
    </w:p>
    <w:p w:rsidRDefault="006D4D32" w:rsidP="006D4D32" w:rsidR="006D4D32" w:rsidRPr="006D4D32">
      <w:pPr>
        <w:overflowPunct w:val="false"/>
        <w:autoSpaceDE w:val="false"/>
        <w:autoSpaceDN w:val="false"/>
        <w:adjustRightInd w:val="false"/>
        <w:spacing w:after="0"/>
        <w:ind w:firstLine="851"/>
        <w:jc w:val="both"/>
        <w:rPr>
          <w:rFonts w:cs="Times New Roman" w:eastAsia="Times New Roman"/>
          <w:szCs w:val="20"/>
          <w:lang w:eastAsia="hr-HR"/>
        </w:rPr>
      </w:pPr>
      <w:r w:rsidRPr="006D4D32">
        <w:rPr>
          <w:rFonts w:cs="Times New Roman" w:eastAsia="Times New Roman"/>
          <w:szCs w:val="20"/>
          <w:lang w:eastAsia="hr-HR"/>
        </w:rPr>
        <w:t xml:space="preserve">Odbija se prijedlog za otvaranje stečajnog postupka nad dužnikom Alternative </w:t>
      </w:r>
      <w:proofErr w:type="spellStart"/>
      <w:r w:rsidRPr="006D4D32">
        <w:rPr>
          <w:rFonts w:cs="Times New Roman" w:eastAsia="Times New Roman"/>
          <w:szCs w:val="20"/>
          <w:lang w:eastAsia="hr-HR"/>
        </w:rPr>
        <w:t>Consulting</w:t>
      </w:r>
      <w:proofErr w:type="spellEnd"/>
      <w:r w:rsidRPr="006D4D32">
        <w:rPr>
          <w:rFonts w:cs="Times New Roman" w:eastAsia="Times New Roman"/>
          <w:szCs w:val="20"/>
          <w:lang w:eastAsia="hr-HR"/>
        </w:rPr>
        <w:t xml:space="preserve"> j.d.o.o. za projektiranje informacijskih sustava, Zagreb, Mandaličina 12B, MBS: 080891253, OIB: 00833920550.   </w:t>
      </w:r>
    </w:p>
    <w:p w:rsidRDefault="006D4D32" w:rsidP="006D4D32" w:rsidR="006D4D32" w:rsidRPr="006D4D32">
      <w:pPr>
        <w:overflowPunct w:val="false"/>
        <w:autoSpaceDE w:val="false"/>
        <w:autoSpaceDN w:val="false"/>
        <w:adjustRightInd w:val="false"/>
        <w:spacing w:after="0"/>
        <w:ind w:firstLine="851"/>
        <w:rPr>
          <w:rFonts w:cs="Times New Roman" w:eastAsia="Times New Roman"/>
          <w:szCs w:val="20"/>
          <w:lang w:eastAsia="hr-HR"/>
        </w:rPr>
      </w:pPr>
    </w:p>
    <w:p w:rsidRDefault="006D4D32" w:rsidP="006D4D32" w:rsidR="006D4D32" w:rsidRPr="006D4D32">
      <w:pPr>
        <w:overflowPunct w:val="false"/>
        <w:autoSpaceDE w:val="false"/>
        <w:autoSpaceDN w:val="false"/>
        <w:adjustRightInd w:val="false"/>
        <w:spacing w:after="0"/>
        <w:jc w:val="center"/>
        <w:rPr>
          <w:rFonts w:cs="Times New Roman" w:eastAsia="Times New Roman"/>
          <w:szCs w:val="20"/>
          <w:lang w:eastAsia="hr-HR"/>
        </w:rPr>
      </w:pPr>
      <w:r w:rsidRPr="006D4D32">
        <w:rPr>
          <w:rFonts w:cs="Times New Roman" w:eastAsia="Times New Roman"/>
          <w:szCs w:val="20"/>
          <w:lang w:eastAsia="hr-HR"/>
        </w:rPr>
        <w:t>Obrazloženje</w:t>
      </w:r>
    </w:p>
    <w:p w:rsidRDefault="006D4D32" w:rsidP="006D4D32" w:rsidR="006D4D32" w:rsidRPr="006D4D32">
      <w:pPr>
        <w:overflowPunct w:val="false"/>
        <w:autoSpaceDE w:val="false"/>
        <w:autoSpaceDN w:val="false"/>
        <w:adjustRightInd w:val="false"/>
        <w:spacing w:after="0"/>
        <w:ind w:firstLine="851"/>
        <w:jc w:val="center"/>
        <w:rPr>
          <w:rFonts w:cs="Times New Roman" w:eastAsia="Times New Roman"/>
          <w:szCs w:val="20"/>
          <w:lang w:eastAsia="hr-HR"/>
        </w:rPr>
      </w:pPr>
    </w:p>
    <w:p w:rsidRDefault="006D4D32" w:rsidP="006D4D32" w:rsidR="006D4D32" w:rsidRPr="006D4D32">
      <w:pPr>
        <w:overflowPunct w:val="false"/>
        <w:autoSpaceDE w:val="false"/>
        <w:autoSpaceDN w:val="false"/>
        <w:adjustRightInd w:val="false"/>
        <w:spacing w:after="0"/>
        <w:ind w:firstLine="851"/>
        <w:jc w:val="both"/>
        <w:rPr>
          <w:rFonts w:cs="Times New Roman" w:eastAsia="Times New Roman"/>
          <w:noProof/>
          <w:szCs w:val="20"/>
          <w:lang w:eastAsia="hr-HR"/>
        </w:rPr>
      </w:pPr>
      <w:r w:rsidRPr="006D4D32">
        <w:rPr>
          <w:rFonts w:cs="Times New Roman" w:eastAsia="Times New Roman"/>
          <w:noProof/>
          <w:szCs w:val="20"/>
          <w:lang w:eastAsia="hr-HR"/>
        </w:rPr>
        <w:t>Financijska agencija je, temeljem odredbe čl.110. st.1. Stečajnog zakona ("Narodne novine" broj 71/15 i 104/17, dalje: SZ) podnijela Trgovačkom sudu u Zagrebu prijedlog za pokretanje stečajnog postupka nad dužnikom. Prijedlog je zaprimljen pod brojem St-5450/2016.</w:t>
      </w:r>
    </w:p>
    <w:p w:rsidRDefault="006D4D32" w:rsidP="006D4D32" w:rsidR="006D4D32" w:rsidRPr="006D4D32">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D4D32" w:rsidP="006D4D32" w:rsidR="006D4D32" w:rsidRPr="006D4D32">
      <w:pPr>
        <w:overflowPunct w:val="false"/>
        <w:autoSpaceDE w:val="false"/>
        <w:autoSpaceDN w:val="false"/>
        <w:adjustRightInd w:val="false"/>
        <w:spacing w:after="0"/>
        <w:ind w:firstLine="851"/>
        <w:jc w:val="both"/>
        <w:rPr>
          <w:rFonts w:cs="Times New Roman" w:eastAsia="Times New Roman"/>
          <w:szCs w:val="20"/>
          <w:lang w:eastAsia="hr-HR"/>
        </w:rPr>
      </w:pPr>
      <w:r w:rsidRPr="006D4D32">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St-5450/2016 ustupljen je Trgovačkom sudu u Bjelovaru na daljnji postupak. </w:t>
      </w:r>
    </w:p>
    <w:p w:rsidRDefault="006D4D32" w:rsidP="006D4D32" w:rsidR="006D4D32" w:rsidRPr="006D4D32">
      <w:pPr>
        <w:overflowPunct w:val="false"/>
        <w:autoSpaceDE w:val="false"/>
        <w:autoSpaceDN w:val="false"/>
        <w:adjustRightInd w:val="false"/>
        <w:spacing w:after="0"/>
        <w:ind w:firstLine="851"/>
        <w:jc w:val="both"/>
        <w:rPr>
          <w:rFonts w:cs="Times New Roman" w:eastAsia="Times New Roman"/>
          <w:szCs w:val="20"/>
          <w:lang w:eastAsia="hr-HR"/>
        </w:rPr>
      </w:pPr>
    </w:p>
    <w:p w:rsidRDefault="006D4D32" w:rsidP="006D4D32" w:rsidR="006D4D32" w:rsidRPr="006D4D32">
      <w:pPr>
        <w:overflowPunct w:val="false"/>
        <w:autoSpaceDE w:val="false"/>
        <w:autoSpaceDN w:val="false"/>
        <w:adjustRightInd w:val="false"/>
        <w:spacing w:after="0"/>
        <w:ind w:firstLine="851"/>
        <w:jc w:val="both"/>
        <w:rPr>
          <w:rFonts w:cs="Times New Roman" w:eastAsia="Times New Roman"/>
          <w:szCs w:val="20"/>
          <w:lang w:eastAsia="hr-HR"/>
        </w:rPr>
      </w:pPr>
      <w:r w:rsidRPr="006D4D32">
        <w:rPr>
          <w:rFonts w:cs="Times New Roman" w:eastAsia="Times New Roman"/>
          <w:szCs w:val="20"/>
          <w:lang w:eastAsia="hr-HR"/>
        </w:rPr>
        <w:t>Ovaj sud je temeljem čl.115. st.1. SZ-a p</w:t>
      </w:r>
      <w:r w:rsidRPr="006D4D32">
        <w:rPr>
          <w:rFonts w:cs="Times New Roman" w:eastAsia="Times New Roman"/>
          <w:noProof/>
          <w:szCs w:val="20"/>
          <w:lang w:eastAsia="hr-HR"/>
        </w:rPr>
        <w:t xml:space="preserve">o prijedlogu FINE </w:t>
      </w:r>
      <w:r w:rsidRPr="006D4D32">
        <w:rPr>
          <w:rFonts w:cs="Times New Roman" w:eastAsia="Times New Roman"/>
          <w:szCs w:val="20"/>
          <w:lang w:eastAsia="hr-HR"/>
        </w:rPr>
        <w:t xml:space="preserve">donio </w:t>
      </w:r>
      <w:r w:rsidRPr="006D4D32">
        <w:rPr>
          <w:rFonts w:cs="Times New Roman" w:eastAsia="Times New Roman"/>
          <w:noProof/>
          <w:szCs w:val="20"/>
          <w:lang w:eastAsia="hr-HR"/>
        </w:rPr>
        <w:t xml:space="preserve">28. prosinca 2017. </w:t>
      </w:r>
      <w:r w:rsidRPr="006D4D32">
        <w:rPr>
          <w:rFonts w:cs="Times New Roman" w:eastAsia="Times New Roman"/>
          <w:szCs w:val="20"/>
          <w:lang w:eastAsia="hr-HR"/>
        </w:rPr>
        <w:t xml:space="preserve">rješenje o pokretanju prethodnog postupka radi utvrđivanja pretpostavki za otvaranje stečajnog postupka. Temeljem </w:t>
      </w:r>
      <w:r w:rsidRPr="006D4D32">
        <w:rPr>
          <w:rFonts w:cs="Times New Roman" w:eastAsia="Times New Roman"/>
          <w:noProof/>
          <w:szCs w:val="20"/>
          <w:lang w:eastAsia="hr-HR"/>
        </w:rPr>
        <w:t xml:space="preserve">čl.118. SZ-a dužniku je postavljen privremeni stečajni upravitelj radi </w:t>
      </w:r>
      <w:r w:rsidRPr="006D4D32">
        <w:rPr>
          <w:rFonts w:cs="Times New Roman" w:eastAsia="Times New Roman"/>
          <w:szCs w:val="20"/>
          <w:lang w:eastAsia="hr-HR"/>
        </w:rPr>
        <w:t>ispitivanja postoji li razlog za otvaranje stečajnog postupka, kakvi su izgledi za nastavak poslovanja dužnika i mogu li se imovinom dužnika pokriti troškovi postupka.</w:t>
      </w:r>
    </w:p>
    <w:p w:rsidRDefault="006D4D32" w:rsidP="006D4D32" w:rsidR="006D4D32" w:rsidRPr="006D4D32">
      <w:pPr>
        <w:overflowPunct w:val="false"/>
        <w:autoSpaceDE w:val="false"/>
        <w:autoSpaceDN w:val="false"/>
        <w:adjustRightInd w:val="false"/>
        <w:spacing w:after="0"/>
        <w:ind w:firstLine="851"/>
        <w:jc w:val="both"/>
        <w:rPr>
          <w:rFonts w:cs="Times New Roman" w:eastAsia="Times New Roman"/>
          <w:szCs w:val="20"/>
          <w:lang w:eastAsia="hr-HR"/>
        </w:rPr>
      </w:pPr>
    </w:p>
    <w:p w:rsidRDefault="006D4D32" w:rsidP="006D4D32" w:rsidR="006D4D32" w:rsidRPr="006D4D32">
      <w:pPr>
        <w:overflowPunct w:val="false"/>
        <w:autoSpaceDE w:val="false"/>
        <w:autoSpaceDN w:val="false"/>
        <w:adjustRightInd w:val="false"/>
        <w:spacing w:after="0"/>
        <w:ind w:firstLine="851"/>
        <w:jc w:val="both"/>
        <w:rPr>
          <w:rFonts w:cs="Times New Roman" w:eastAsia="Times New Roman"/>
          <w:noProof/>
          <w:szCs w:val="20"/>
          <w:lang w:eastAsia="hr-HR"/>
        </w:rPr>
      </w:pPr>
      <w:r w:rsidRPr="006D4D32">
        <w:rPr>
          <w:rFonts w:cs="Times New Roman" w:eastAsia="Times New Roman"/>
          <w:noProof/>
          <w:szCs w:val="20"/>
          <w:lang w:eastAsia="hr-HR"/>
        </w:rPr>
        <w:t>Temeljem čl.123. st.1. i čl.128. st.1., 3. i 5. SZ-a zakazano je ročište na koje je pristupila privremena stečajna upraviteljica, dok nije pristupio zakonski zastupnik dužnika Laszlo Toth.</w:t>
      </w:r>
    </w:p>
    <w:p w:rsidRDefault="006D4D32" w:rsidP="006D4D32" w:rsidR="006D4D32" w:rsidRPr="006D4D32">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D4D32" w:rsidP="006D4D32" w:rsidR="006D4D32" w:rsidRPr="006D4D32">
      <w:pPr>
        <w:overflowPunct w:val="false"/>
        <w:autoSpaceDE w:val="false"/>
        <w:autoSpaceDN w:val="false"/>
        <w:adjustRightInd w:val="false"/>
        <w:spacing w:after="0"/>
        <w:ind w:firstLine="851"/>
        <w:jc w:val="both"/>
        <w:rPr>
          <w:rFonts w:cs="Times New Roman" w:eastAsia="Times New Roman"/>
          <w:szCs w:val="20"/>
          <w:lang w:eastAsia="hr-HR"/>
        </w:rPr>
      </w:pPr>
      <w:r w:rsidRPr="006D4D32">
        <w:rPr>
          <w:rFonts w:cs="Times New Roman" w:eastAsia="Times New Roman"/>
          <w:noProof/>
          <w:szCs w:val="20"/>
          <w:lang w:eastAsia="hr-HR"/>
        </w:rPr>
        <w:t xml:space="preserve">Iz navoda privremene stečajne upraviteljice i pribavljenog Uvjerenja Stanice za tehnički pregled vozila, Centar za vozila Hrvatske d.d. CVH STP „ZAGREB I“ od 24. </w:t>
      </w:r>
      <w:r w:rsidRPr="006D4D32">
        <w:rPr>
          <w:rFonts w:cs="Times New Roman" w:eastAsia="Times New Roman"/>
          <w:noProof/>
          <w:szCs w:val="20"/>
          <w:lang w:eastAsia="hr-HR"/>
        </w:rPr>
        <w:lastRenderedPageBreak/>
        <w:t xml:space="preserve">siječnja 2018. proizlazi da je dužnik </w:t>
      </w:r>
      <w:r w:rsidRPr="006D4D32">
        <w:rPr>
          <w:rFonts w:cs="Times New Roman" w:eastAsia="Times New Roman"/>
          <w:szCs w:val="20"/>
          <w:lang w:eastAsia="hr-HR"/>
        </w:rPr>
        <w:t xml:space="preserve">Alternative </w:t>
      </w:r>
      <w:proofErr w:type="spellStart"/>
      <w:r w:rsidRPr="006D4D32">
        <w:rPr>
          <w:rFonts w:cs="Times New Roman" w:eastAsia="Times New Roman"/>
          <w:szCs w:val="20"/>
          <w:lang w:eastAsia="hr-HR"/>
        </w:rPr>
        <w:t>Consulting</w:t>
      </w:r>
      <w:proofErr w:type="spellEnd"/>
      <w:r w:rsidRPr="006D4D32">
        <w:rPr>
          <w:rFonts w:cs="Times New Roman" w:eastAsia="Times New Roman"/>
          <w:szCs w:val="20"/>
          <w:lang w:eastAsia="hr-HR"/>
        </w:rPr>
        <w:t xml:space="preserve"> j.d.o.o. Zagreb </w:t>
      </w:r>
      <w:r w:rsidRPr="006D4D32">
        <w:rPr>
          <w:rFonts w:cs="Times New Roman" w:eastAsia="Times New Roman"/>
          <w:noProof/>
          <w:szCs w:val="20"/>
          <w:lang w:eastAsia="hr-HR"/>
        </w:rPr>
        <w:t xml:space="preserve">na dan 24. siječnja 2018. evidentiran kao vlasnik vozila M1, marka BMW 318 I, godina proizvodnje 2008, broj šasije WBAVF51020VF75624, reg. oznake ZG 8819 DL. Po prijedlogu </w:t>
      </w:r>
      <w:r w:rsidRPr="006D4D32">
        <w:rPr>
          <w:rFonts w:cs="Times New Roman" w:eastAsia="Times New Roman"/>
          <w:szCs w:val="20"/>
          <w:lang w:eastAsia="hr-HR"/>
        </w:rPr>
        <w:t xml:space="preserve">privremene stečajne upraviteljice sud je rješenjem od 8. veljače 2018. ovlastio privremenu stečajnu upraviteljicu preuzeti navedeno vozilo dužnika. </w:t>
      </w:r>
    </w:p>
    <w:p w:rsidRDefault="006D4D32" w:rsidP="006D4D32" w:rsidR="006D4D32" w:rsidRPr="006D4D32">
      <w:pPr>
        <w:overflowPunct w:val="false"/>
        <w:autoSpaceDE w:val="false"/>
        <w:autoSpaceDN w:val="false"/>
        <w:adjustRightInd w:val="false"/>
        <w:spacing w:after="0"/>
        <w:ind w:firstLine="851"/>
        <w:jc w:val="both"/>
        <w:rPr>
          <w:rFonts w:cs="Times New Roman" w:eastAsia="Times New Roman"/>
          <w:szCs w:val="20"/>
          <w:lang w:eastAsia="hr-HR"/>
        </w:rPr>
      </w:pPr>
    </w:p>
    <w:p w:rsidRDefault="006D4D32" w:rsidP="006D4D32" w:rsidR="006D4D32" w:rsidRPr="006D4D32">
      <w:pPr>
        <w:overflowPunct w:val="false"/>
        <w:autoSpaceDE w:val="false"/>
        <w:autoSpaceDN w:val="false"/>
        <w:adjustRightInd w:val="false"/>
        <w:spacing w:after="0"/>
        <w:ind w:firstLine="851"/>
        <w:jc w:val="both"/>
        <w:rPr>
          <w:rFonts w:cs="Times New Roman" w:eastAsia="Times New Roman"/>
          <w:szCs w:val="20"/>
          <w:lang w:eastAsia="hr-HR"/>
        </w:rPr>
      </w:pPr>
      <w:r w:rsidRPr="006D4D32">
        <w:rPr>
          <w:rFonts w:cs="Times New Roman" w:eastAsia="Times New Roman"/>
          <w:szCs w:val="20"/>
          <w:lang w:eastAsia="hr-HR"/>
        </w:rPr>
        <w:t xml:space="preserve">Nakon određene privremene mjere i oduzimanja vozila dužnika privremena stečajna upraviteljica je na spis je dostavila potvrdu Financijske agencije od 29. ožujka 2018. (list 67), iz koje proizlazi da dužnik na dan izdavanja potvrde na računima i novčanim sredstvima nema evidentiranih nepodmirenih obveza. </w:t>
      </w:r>
    </w:p>
    <w:p w:rsidRDefault="006D4D32" w:rsidP="006D4D32" w:rsidR="006D4D32" w:rsidRPr="006D4D32">
      <w:pPr>
        <w:overflowPunct w:val="false"/>
        <w:autoSpaceDE w:val="false"/>
        <w:autoSpaceDN w:val="false"/>
        <w:adjustRightInd w:val="false"/>
        <w:spacing w:after="0"/>
        <w:ind w:firstLine="851"/>
        <w:jc w:val="both"/>
        <w:rPr>
          <w:rFonts w:cs="Times New Roman" w:eastAsia="Times New Roman"/>
          <w:szCs w:val="20"/>
          <w:lang w:eastAsia="hr-HR"/>
        </w:rPr>
      </w:pPr>
    </w:p>
    <w:p w:rsidRDefault="006D4D32" w:rsidP="006D4D32" w:rsidR="006D4D32" w:rsidRPr="006D4D32">
      <w:pPr>
        <w:overflowPunct w:val="false"/>
        <w:autoSpaceDE w:val="false"/>
        <w:autoSpaceDN w:val="false"/>
        <w:adjustRightInd w:val="false"/>
        <w:spacing w:after="0"/>
        <w:ind w:firstLine="851"/>
        <w:jc w:val="both"/>
        <w:rPr>
          <w:rFonts w:cs="Times New Roman" w:eastAsia="Times New Roman"/>
          <w:szCs w:val="20"/>
          <w:lang w:eastAsia="hr-HR"/>
        </w:rPr>
      </w:pPr>
      <w:r w:rsidRPr="006D4D32">
        <w:rPr>
          <w:rFonts w:cs="Times New Roman" w:eastAsia="Times New Roman"/>
          <w:szCs w:val="20"/>
          <w:lang w:eastAsia="hr-HR"/>
        </w:rPr>
        <w:t>Budući da više ne postoji stečajni razlog nesposobnosti za plaćanje iz čl.6. SZ-a, sud je prijedlog za otvaranje stečajnog postupka odbio (čl.128. st.6. SZ-a).</w:t>
      </w:r>
    </w:p>
    <w:p w:rsidRDefault="006D4D32" w:rsidP="006D4D32" w:rsidR="006D4D32" w:rsidRPr="006D4D32">
      <w:pPr>
        <w:overflowPunct w:val="false"/>
        <w:autoSpaceDE w:val="false"/>
        <w:autoSpaceDN w:val="false"/>
        <w:adjustRightInd w:val="false"/>
        <w:spacing w:after="0"/>
        <w:jc w:val="both"/>
        <w:rPr>
          <w:rFonts w:cs="Times New Roman" w:eastAsia="Times New Roman"/>
          <w:szCs w:val="20"/>
          <w:lang w:eastAsia="hr-HR"/>
        </w:rPr>
      </w:pPr>
    </w:p>
    <w:p w:rsidRDefault="006D4D32" w:rsidP="006D4D32" w:rsidR="006D4D32" w:rsidRPr="006D4D32">
      <w:pPr>
        <w:overflowPunct w:val="false"/>
        <w:autoSpaceDE w:val="false"/>
        <w:autoSpaceDN w:val="false"/>
        <w:adjustRightInd w:val="false"/>
        <w:spacing w:after="0"/>
        <w:jc w:val="center"/>
        <w:rPr>
          <w:rFonts w:cs="Times New Roman" w:eastAsia="Times New Roman"/>
          <w:szCs w:val="20"/>
          <w:lang w:eastAsia="hr-HR"/>
        </w:rPr>
      </w:pPr>
      <w:r w:rsidRPr="006D4D32">
        <w:rPr>
          <w:rFonts w:cs="Times New Roman" w:eastAsia="Times New Roman"/>
          <w:szCs w:val="20"/>
          <w:lang w:eastAsia="hr-HR"/>
        </w:rPr>
        <w:t>U Bjelovaru 18. travnja 2018.</w:t>
      </w:r>
    </w:p>
    <w:p w:rsidRDefault="006D4D32" w:rsidP="006D4D32" w:rsidR="006D4D32" w:rsidRPr="006D4D32">
      <w:pPr>
        <w:overflowPunct w:val="false"/>
        <w:autoSpaceDE w:val="false"/>
        <w:autoSpaceDN w:val="false"/>
        <w:adjustRightInd w:val="false"/>
        <w:spacing w:after="0"/>
        <w:jc w:val="center"/>
        <w:rPr>
          <w:rFonts w:cs="Times New Roman" w:eastAsia="Times New Roman"/>
          <w:szCs w:val="20"/>
          <w:lang w:eastAsia="hr-HR"/>
        </w:rPr>
      </w:pPr>
    </w:p>
    <w:p w:rsidRDefault="006D4D32" w:rsidP="006D4D32" w:rsidR="006D4D32" w:rsidRPr="006D4D32">
      <w:pPr>
        <w:overflowPunct w:val="false"/>
        <w:autoSpaceDE w:val="false"/>
        <w:autoSpaceDN w:val="false"/>
        <w:adjustRightInd w:val="false"/>
        <w:spacing w:after="0"/>
        <w:jc w:val="both"/>
        <w:rPr>
          <w:rFonts w:cs="Times New Roman" w:eastAsia="Times New Roman"/>
          <w:szCs w:val="20"/>
          <w:lang w:eastAsia="hr-HR"/>
        </w:rPr>
      </w:pPr>
      <w:r w:rsidRPr="006D4D32">
        <w:rPr>
          <w:rFonts w:cs="Times New Roman" w:eastAsia="Times New Roman"/>
          <w:szCs w:val="20"/>
          <w:lang w:eastAsia="hr-HR"/>
        </w:rPr>
        <w:t xml:space="preserve">                                                                                 </w:t>
      </w:r>
      <w:r>
        <w:rPr>
          <w:rFonts w:cs="Times New Roman" w:eastAsia="Times New Roman"/>
          <w:szCs w:val="20"/>
          <w:lang w:eastAsia="hr-HR"/>
        </w:rPr>
        <w:t xml:space="preserve">       </w:t>
      </w:r>
      <w:r w:rsidRPr="006D4D32">
        <w:rPr>
          <w:rFonts w:cs="Times New Roman" w:eastAsia="Times New Roman"/>
          <w:szCs w:val="20"/>
          <w:lang w:eastAsia="hr-HR"/>
        </w:rPr>
        <w:t>Stečajna sutkinja</w:t>
      </w:r>
    </w:p>
    <w:p w:rsidRDefault="006D4D32" w:rsidP="006D4D32" w:rsidR="006D4D32" w:rsidRPr="006D4D32">
      <w:pPr>
        <w:overflowPunct w:val="false"/>
        <w:autoSpaceDE w:val="false"/>
        <w:autoSpaceDN w:val="false"/>
        <w:adjustRightInd w:val="false"/>
        <w:spacing w:after="0"/>
        <w:jc w:val="both"/>
        <w:rPr>
          <w:rFonts w:cs="Times New Roman" w:eastAsia="Times New Roman"/>
          <w:szCs w:val="20"/>
          <w:lang w:eastAsia="hr-HR"/>
        </w:rPr>
      </w:pPr>
      <w:r w:rsidRPr="006D4D32">
        <w:rPr>
          <w:rFonts w:cs="Times New Roman" w:eastAsia="Times New Roman"/>
          <w:szCs w:val="20"/>
          <w:lang w:eastAsia="hr-HR"/>
        </w:rPr>
        <w:t xml:space="preserve">                                                                        </w:t>
      </w:r>
      <w:r>
        <w:rPr>
          <w:rFonts w:cs="Times New Roman" w:eastAsia="Times New Roman"/>
          <w:szCs w:val="20"/>
          <w:lang w:eastAsia="hr-HR"/>
        </w:rPr>
        <w:t xml:space="preserve">   </w:t>
      </w:r>
      <w:r w:rsidRPr="006D4D32">
        <w:rPr>
          <w:rFonts w:cs="Times New Roman" w:eastAsia="Times New Roman"/>
          <w:szCs w:val="20"/>
          <w:lang w:eastAsia="hr-HR"/>
        </w:rPr>
        <w:t xml:space="preserve">  </w:t>
      </w:r>
      <w:r>
        <w:rPr>
          <w:rFonts w:cs="Times New Roman" w:eastAsia="Times New Roman"/>
          <w:szCs w:val="20"/>
          <w:lang w:eastAsia="hr-HR"/>
        </w:rPr>
        <w:t xml:space="preserve">   </w:t>
      </w:r>
      <w:bookmarkStart w:name="_GoBack" w:id="0"/>
      <w:bookmarkEnd w:id="0"/>
      <w:r w:rsidRPr="006D4D32">
        <w:rPr>
          <w:rFonts w:cs="Times New Roman" w:eastAsia="Times New Roman"/>
          <w:szCs w:val="20"/>
          <w:lang w:eastAsia="hr-HR"/>
        </w:rPr>
        <w:t xml:space="preserve"> Marija Petrina Kubica v.r.</w:t>
      </w:r>
    </w:p>
    <w:p w:rsidRDefault="006D4D32" w:rsidP="006D4D32" w:rsidR="006D4D32" w:rsidRPr="006D4D32">
      <w:pPr>
        <w:overflowPunct w:val="false"/>
        <w:autoSpaceDE w:val="false"/>
        <w:autoSpaceDN w:val="false"/>
        <w:adjustRightInd w:val="false"/>
        <w:spacing w:after="0"/>
        <w:jc w:val="both"/>
        <w:rPr>
          <w:rFonts w:cs="Times New Roman" w:eastAsia="Times New Roman"/>
          <w:szCs w:val="20"/>
          <w:lang w:eastAsia="hr-HR"/>
        </w:rPr>
      </w:pPr>
    </w:p>
    <w:p w:rsidRDefault="006D4D32" w:rsidP="006D4D32" w:rsidR="006D4D32" w:rsidRPr="006D4D32">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6D4D32">
        <w:rPr>
          <w:rFonts w:cs="Times New Roman" w:eastAsia="Times New Roman"/>
          <w:noProof/>
          <w:szCs w:val="20"/>
          <w:lang w:eastAsia="hr-HR"/>
        </w:rPr>
        <w:t>Za točnost otpravka - ovlašteni službenik</w:t>
      </w:r>
    </w:p>
    <w:p w:rsidRDefault="006D4D32" w:rsidP="006D4D32" w:rsidR="006D4D32" w:rsidRPr="006D4D32">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6D4D32">
        <w:rPr>
          <w:rFonts w:cs="Times New Roman" w:eastAsia="Times New Roman"/>
          <w:noProof/>
          <w:szCs w:val="20"/>
          <w:lang w:eastAsia="hr-HR"/>
        </w:rPr>
        <w:t xml:space="preserve">                  Željka Vitez</w:t>
      </w:r>
    </w:p>
    <w:p w:rsidRDefault="006D4D32" w:rsidP="006D4D32" w:rsidR="006D4D32" w:rsidRPr="006D4D32">
      <w:pPr>
        <w:overflowPunct w:val="false"/>
        <w:autoSpaceDE w:val="false"/>
        <w:autoSpaceDN w:val="false"/>
        <w:adjustRightInd w:val="false"/>
        <w:spacing w:after="0"/>
        <w:jc w:val="both"/>
        <w:rPr>
          <w:rFonts w:cs="Times New Roman" w:eastAsia="Times New Roman"/>
          <w:szCs w:val="20"/>
          <w:lang w:eastAsia="hr-HR"/>
        </w:rPr>
      </w:pPr>
    </w:p>
    <w:p w:rsidRDefault="006D4D32" w:rsidP="006D4D32" w:rsidR="006D4D32" w:rsidRPr="006D4D32">
      <w:pPr>
        <w:overflowPunct w:val="false"/>
        <w:autoSpaceDE w:val="false"/>
        <w:autoSpaceDN w:val="false"/>
        <w:adjustRightInd w:val="false"/>
        <w:spacing w:after="0"/>
        <w:rPr>
          <w:rFonts w:cs="Times New Roman" w:eastAsia="Times New Roman"/>
          <w:szCs w:val="20"/>
          <w:lang w:eastAsia="hr-HR"/>
        </w:rPr>
      </w:pPr>
    </w:p>
    <w:p w:rsidRDefault="006D4D32" w:rsidP="006D4D32" w:rsidR="006D4D32" w:rsidRPr="006D4D32">
      <w:pPr>
        <w:overflowPunct w:val="false"/>
        <w:autoSpaceDE w:val="false"/>
        <w:autoSpaceDN w:val="false"/>
        <w:adjustRightInd w:val="false"/>
        <w:spacing w:after="0"/>
        <w:rPr>
          <w:rFonts w:cs="Times New Roman" w:eastAsia="Times New Roman"/>
          <w:szCs w:val="20"/>
          <w:lang w:eastAsia="hr-HR"/>
        </w:rPr>
      </w:pPr>
    </w:p>
    <w:p w:rsidRDefault="006D4D32" w:rsidP="006D4D32" w:rsidR="006D4D32" w:rsidRPr="006D4D32">
      <w:pPr>
        <w:overflowPunct w:val="false"/>
        <w:autoSpaceDE w:val="false"/>
        <w:autoSpaceDN w:val="false"/>
        <w:adjustRightInd w:val="false"/>
        <w:spacing w:after="0"/>
        <w:rPr>
          <w:rFonts w:cs="Times New Roman" w:eastAsia="Times New Roman"/>
          <w:szCs w:val="20"/>
          <w:lang w:eastAsia="hr-HR"/>
        </w:rPr>
      </w:pPr>
    </w:p>
    <w:p w:rsidRDefault="006D4D32" w:rsidP="006D4D32" w:rsidR="006D4D32" w:rsidRPr="006D4D32">
      <w:pPr>
        <w:overflowPunct w:val="false"/>
        <w:autoSpaceDE w:val="false"/>
        <w:autoSpaceDN w:val="false"/>
        <w:adjustRightInd w:val="false"/>
        <w:spacing w:after="0"/>
        <w:rPr>
          <w:rFonts w:cs="Times New Roman" w:eastAsia="Times New Roman"/>
          <w:szCs w:val="20"/>
          <w:lang w:eastAsia="hr-HR"/>
        </w:rPr>
      </w:pPr>
    </w:p>
    <w:p w:rsidRDefault="006D4D32" w:rsidP="006D4D32" w:rsidR="006D4D32" w:rsidRPr="006D4D32">
      <w:pPr>
        <w:overflowPunct w:val="false"/>
        <w:autoSpaceDE w:val="false"/>
        <w:autoSpaceDN w:val="false"/>
        <w:adjustRightInd w:val="false"/>
        <w:spacing w:after="0"/>
        <w:jc w:val="both"/>
        <w:rPr>
          <w:rFonts w:cs="Times New Roman" w:eastAsia="Times New Roman"/>
          <w:szCs w:val="20"/>
          <w:lang w:eastAsia="hr-HR"/>
        </w:rPr>
      </w:pPr>
      <w:r w:rsidRPr="006D4D32">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AE649C" w:rsidP="004F27AE" w:rsidR="00AE649C" w:rsidRPr="00B76F3C">
      <w:pPr>
        <w:pStyle w:val="NormaleSPIS"/>
      </w:pPr>
    </w:p>
    <w:sectPr w:rsidSect="006D4D3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98368861"/>
      <w:docPartObj>
        <w:docPartGallery w:val="Page Numbers (Top of Page)"/>
        <w:docPartUnique/>
      </w:docPartObj>
    </w:sdtPr>
    <w:sdtContent>
      <w:p w:rsidRDefault="006D4D32" w:rsidP="006D4D32" w:rsidR="006D4D32">
        <w:pPr>
          <w:pStyle w:val="Zaglavlje"/>
          <w:spacing w:after="0"/>
          <w:jc w:val="center"/>
        </w:pPr>
        <w:r>
          <w:fldChar w:fldCharType="begin"/>
        </w:r>
        <w:r>
          <w:instrText>PAGE   \* MERGEFORMAT</w:instrText>
        </w:r>
        <w:r>
          <w:fldChar w:fldCharType="separate"/>
        </w:r>
        <w:r>
          <w:t>2</w:t>
        </w:r>
        <w:r>
          <w:fldChar w:fldCharType="end"/>
        </w:r>
      </w:p>
    </w:sdtContent>
  </w:sdt>
  <w:p w:rsidRDefault="006D4D32" w:rsidP="006D4D32" w:rsidR="008333A9">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6D4D32">
      <w:rPr>
        <w:rFonts w:cs="Times New Roman" w:eastAsia="Times New Roman"/>
        <w:noProof/>
        <w:szCs w:val="20"/>
        <w:lang w:eastAsia="hr-HR"/>
      </w:rPr>
      <w:t>Poslovni broj: 5 St-545/2017-21</w:t>
    </w:r>
  </w:p>
  <w:p w:rsidRDefault="006D4D32" w:rsidP="006D4D32" w:rsidR="006D4D32" w:rsidRPr="006D4D32">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4D32"/>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4905301">
      <w:bodyDiv w:val="true"/>
      <w:marLeft w:val="0"/>
      <w:marRight w:val="0"/>
      <w:marTop w:val="0"/>
      <w:marBottom w:val="0"/>
      <w:divBdr>
        <w:top w:space="0" w:sz="0" w:color="auto" w:val="none"/>
        <w:left w:space="0" w:sz="0" w:color="auto" w:val="none"/>
        <w:bottom w:space="0" w:sz="0" w:color="auto" w:val="none"/>
        <w:right w:space="0" w:sz="0" w:color="auto" w:val="none"/>
      </w:divBdr>
    </w:div>
    <w:div w:id="20370782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St-545/2017-21</izvorni_sadrzaj>
    <derivirana_varijabla naziv="DomainObject.Oznaka_1">St-545/2017-21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izvorni_sadrzaj>
    <derivirana_varijabla naziv="DomainObject.Predmet.Broj_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St-545/2017</izvorni_sadrzaj>
    <derivirana_varijabla naziv="DomainObject.Predmet.OznakaBroj_1">St-545/2017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Alternative Consulting j.d.o.o. za projektiranje informacijskih sustava</izvorni_sadrzaj>
    <derivirana_varijabla naziv="DomainObject.Predmet.ProtustrankaFormated_1">  Alternative Consulting j.d.o.o. za projektiranje informacijskih sustava</derivirana_varijabla>
  </DomainObject.Predmet.ProtustrankaFormated>
  <DomainObject.Predmet.ProtustrankaFormatedOIB>
    <izvorni_sadrzaj>  Alternative Consulting j.d.o.o. za projektiranje informacijskih sustava, OIB 00833920550</izvorni_sadrzaj>
    <derivirana_varijabla naziv="DomainObject.Predmet.ProtustrankaFormatedOIB_1">  Alternative Consulting j.d.o.o. za projektiranje informacijskih sustava, OIB 00833920550</derivirana_varijabla>
  </DomainObject.Predmet.ProtustrankaFormatedOIB>
  <DomainObject.Predmet.ProtustrankaFormatedWithAdress>
    <izvorni_sadrzaj> Alternative Consulting j.d.o.o. za projektiranje informacijskih sustava, Mandaličina 12 B, 10000 Zagreb</izvorni_sadrzaj>
    <derivirana_varijabla naziv="DomainObject.Predmet.ProtustrankaFormatedWithAdress_1"> Alternative Consulting j.d.o.o. za projektiranje informacijskih sustava, Mandaličina 12 B, 10000 Zagreb</derivirana_varijabla>
  </DomainObject.Predmet.ProtustrankaFormatedWithAdress>
  <DomainObject.Predmet.ProtustrankaFormatedWithAdressOIB>
    <izvorni_sadrzaj> Alternative Consulting j.d.o.o. za projektiranje informacijskih sustava, OIB 00833920550, Mandaličina 12 B, 10000 Zagreb</izvorni_sadrzaj>
    <derivirana_varijabla naziv="DomainObject.Predmet.ProtustrankaFormatedWithAdressOIB_1"> Alternative Consulting j.d.o.o. za projektiranje informacijskih sustava, OIB 00833920550, Mandaličina 12 B, 10000 Zagreb</derivirana_varijabla>
  </DomainObject.Predmet.ProtustrankaFormatedWithAdressOIB>
  <DomainObject.Predmet.ProtustrankaWithAdress>
    <izvorni_sadrzaj>Alternative Consulting j.d.o.o. za projektiranje informacijskih sustava Mandaličina 12 B, 10000 Zagreb</izvorni_sadrzaj>
    <derivirana_varijabla naziv="DomainObject.Predmet.ProtustrankaWithAdress_1">Alternative Consulting j.d.o.o. za projektiranje informacijskih sustava Mandaličina 12 B, 10000 Zagreb</derivirana_varijabla>
  </DomainObject.Predmet.ProtustrankaWithAdress>
  <DomainObject.Predmet.ProtustrankaWithAdressOIB>
    <izvorni_sadrzaj>Alternative Consulting j.d.o.o. za projektiranje informacijskih sustava, OIB 00833920550, Mandaličina 12 B, 10000 Zagreb</izvorni_sadrzaj>
    <derivirana_varijabla naziv="DomainObject.Predmet.ProtustrankaWithAdressOIB_1">Alternative Consulting j.d.o.o. za projektiranje informacijskih sustava, OIB 00833920550, Mandaličina 12 B, 10000 Zagreb</derivirana_varijabla>
  </DomainObject.Predmet.ProtustrankaWithAdressOIB>
  <DomainObject.Predmet.ProtustrankaNazivFormated>
    <izvorni_sadrzaj>Alternative Consulting j.d.o.o. za projektiranje informacijskih sustava</izvorni_sadrzaj>
    <derivirana_varijabla naziv="DomainObject.Predmet.ProtustrankaNazivFormated_1">Alternative Consulting j.d.o.o. za projektiranje informacijskih sustava</derivirana_varijabla>
  </DomainObject.Predmet.ProtustrankaNazivFormated>
  <DomainObject.Predmet.ProtustrankaNazivFormatedOIB>
    <izvorni_sadrzaj>Alternative Consulting j.d.o.o. za projektiranje informacijskih sustava, OIB 00833920550</izvorni_sadrzaj>
    <derivirana_varijabla naziv="DomainObject.Predmet.ProtustrankaNazivFormatedOIB_1">Alternative Consulting j.d.o.o. za projektiranje informacijskih sustava, OIB 00833920550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Alternative Consulting j.d.o.o. za projektiranje informacijskih sustava</item>
    </izvorni_sadrzaj>
    <derivirana_varijabla naziv="DomainObject.Predmet.ProtuStrankaListFormated_1">
      <item>Alternative Consulting j.d.o.o. za projektiranje informacijskih sustava</item>
    </derivirana_varijabla>
  </DomainObject.Predmet.ProtuStrankaListFormated>
  <DomainObject.Predmet.ProtuStrankaListFormatedOIB>
    <izvorni_sadrzaj>
      <item>Alternative Consulting j.d.o.o. za projektiranje informacijskih sustava, OIB 00833920550</item>
    </izvorni_sadrzaj>
    <derivirana_varijabla naziv="DomainObject.Predmet.ProtuStrankaListFormatedOIB_1">
      <item>Alternative Consulting j.d.o.o. za projektiranje informacijskih sustava, OIB 00833920550</item>
    </derivirana_varijabla>
  </DomainObject.Predmet.ProtuStrankaListFormatedOIB>
  <DomainObject.Predmet.ProtuStrankaListFormatedWithAdress>
    <izvorni_sadrzaj>
      <item>Alternative Consulting j.d.o.o. za projektiranje informacijskih sustava, Mandaličina 12 B, 10000 Zagreb</item>
    </izvorni_sadrzaj>
    <derivirana_varijabla naziv="DomainObject.Predmet.ProtuStrankaListFormatedWithAdress_1">
      <item>Alternative Consulting j.d.o.o. za projektiranje informacijskih sustava, Mandaličina 12 B, 10000 Zagreb</item>
    </derivirana_varijabla>
  </DomainObject.Predmet.ProtuStrankaListFormatedWithAdress>
  <DomainObject.Predmet.ProtuStrankaListFormatedWithAdressOIB>
    <izvorni_sadrzaj>
      <item>Alternative Consulting j.d.o.o. za projektiranje informacijskih sustava, OIB 00833920550, Mandaličina 12 B, 10000 Zagreb</item>
    </izvorni_sadrzaj>
    <derivirana_varijabla naziv="DomainObject.Predmet.ProtuStrankaListFormatedWithAdressOIB_1">
      <item>Alternative Consulting j.d.o.o. za projektiranje informacijskih sustava, OIB 00833920550, Mandaličina 12 B, 10000 Zagreb</item>
    </derivirana_varijabla>
  </DomainObject.Predmet.ProtuStrankaListFormatedWithAdressOIB>
  <DomainObject.Predmet.ProtuStrankaListNazivFormated>
    <izvorni_sadrzaj>
      <item>Alternative Consulting j.d.o.o. za projektiranje informacijskih sustava</item>
    </izvorni_sadrzaj>
    <derivirana_varijabla naziv="DomainObject.Predmet.ProtuStrankaListNazivFormated_1">
      <item>Alternative Consulting j.d.o.o. za projektiranje informacijskih sustava</item>
    </derivirana_varijabla>
  </DomainObject.Predmet.ProtuStrankaListNazivFormated>
  <DomainObject.Predmet.ProtuStrankaListNazivFormatedOIB>
    <izvorni_sadrzaj>
      <item>Alternative Consulting j.d.o.o. za projektiranje informacijskih sustava, OIB 00833920550</item>
    </izvorni_sadrzaj>
    <derivirana_varijabla naziv="DomainObject.Predmet.ProtuStrankaListNazivFormatedOIB_1">
      <item>Alternative Consulting j.d.o.o. za projektiranje informacijskih sustava, OIB 00833920550</item>
    </derivirana_varijabla>
  </DomainObject.Predmet.ProtuStrankaListNazivFormatedOIB>
  <DomainObject.Predmet.OstaliListFormated>
    <izvorni_sadrzaj>
      <item>Laszlo Toth</item>
      <item>Daša Panjaković Senjić</item>
    </izvorni_sadrzaj>
    <derivirana_varijabla naziv="DomainObject.Predmet.OstaliListFormated_1">
      <item>Laszlo Toth</item>
      <item>Daša Panjaković Senjić</item>
    </derivirana_varijabla>
  </DomainObject.Predmet.OstaliListFormated>
  <DomainObject.Predmet.OstaliListFormatedOIB>
    <izvorni_sadrzaj>
      <item>Laszlo Toth, OIB 22211626810</item>
      <item>Daša Panjaković Senjić, OIB 39849053592</item>
    </izvorni_sadrzaj>
    <derivirana_varijabla naziv="DomainObject.Predmet.OstaliListFormatedOIB_1">
      <item>Laszlo Toth, OIB 22211626810</item>
      <item>Daša Panjaković Senjić, OIB 39849053592</item>
    </derivirana_varijabla>
  </DomainObject.Predmet.OstaliListFormatedOIB>
  <DomainObject.Predmet.OstaliListFormatedWithAdress>
    <izvorni_sadrzaj>
      <item>Laszlo Toth, Hrvoja Macanovića 25, 10000 Zagreb</item>
      <item>Daša Panjaković Senjić, Gornjodravska obala 89a, 31000 Osijek</item>
    </izvorni_sadrzaj>
    <derivirana_varijabla naziv="DomainObject.Predmet.OstaliListFormatedWithAdress_1">
      <item>Laszlo Toth, Hrvoja Macanovića 25, 10000 Zagreb</item>
      <item>Daša Panjaković Senjić, Gornjodravska obala 89a, 31000 Osijek</item>
    </derivirana_varijabla>
  </DomainObject.Predmet.OstaliListFormatedWithAdress>
  <DomainObject.Predmet.OstaliListFormatedWithAdressOIB>
    <izvorni_sadrzaj>
      <item>Laszlo Toth, OIB 22211626810, Hrvoja Macanovića 25, 10000 Zagreb</item>
      <item>Daša Panjaković Senjić, OIB 39849053592, Gornjodravska obala 89a, 31000 Osijek</item>
    </izvorni_sadrzaj>
    <derivirana_varijabla naziv="DomainObject.Predmet.OstaliListFormatedWithAdressOIB_1">
      <item>Laszlo Toth, OIB 22211626810, Hrvoja Macanovića 25, 10000 Zagreb</item>
      <item>Daša Panjaković Senjić, OIB 39849053592, Gornjodravska obala 89a, 31000 Osijek</item>
    </derivirana_varijabla>
  </DomainObject.Predmet.OstaliListFormatedWithAdressOIB>
  <DomainObject.Predmet.OstaliListNazivFormated>
    <izvorni_sadrzaj>
      <item>Laszlo Toth</item>
      <item>Daša Panjaković Senjić</item>
    </izvorni_sadrzaj>
    <derivirana_varijabla naziv="DomainObject.Predmet.OstaliListNazivFormated_1">
      <item>Laszlo Toth</item>
      <item>Daša Panjaković Senjić</item>
    </derivirana_varijabla>
  </DomainObject.Predmet.OstaliListNazivFormated>
  <DomainObject.Predmet.OstaliListNazivFormatedOIB>
    <izvorni_sadrzaj>
      <item>Laszlo Toth, OIB 22211626810</item>
      <item>Daša Panjaković Senjić, OIB 39849053592</item>
    </izvorni_sadrzaj>
    <derivirana_varijabla naziv="DomainObject.Predmet.OstaliListNazivFormatedOIB_1">
      <item>Laszlo Toth, OIB 22211626810</item>
      <item>Daša Panjaković Senjić, OIB 39849053592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St-545/2017-21</izvorni_sadrzaj>
    <derivirana_varijabla naziv="DomainObject.PoslovniBrojDokumenta_1">St-545/2017-21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Alternative Consulting j.d.o.o. za projektiranje informacijskih sustava</izvorni_sadrzaj>
    <derivirana_varijabla naziv="DomainObject.Predmet.ProtustrankaIDrugi_1">Alternative Consulting j.d.o.o. za projektiranje informacijskih sustava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Alternative Consulting j.d.o.o. za projektiranje informacijskih sustava, OIB 00833920550, Mandaličina 12 B, 10000 Zagreb</izvorni_sadrzaj>
    <derivirana_varijabla naziv="DomainObject.Predmet.ProtustrankaIDrugiAdressOIB_1">Alternative Consulting j.d.o.o. za projektiranje informacijskih sustava, OIB 00833920550, Mandaličina 12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Alternative Consulting j.d.o.o. za projektiranje informacijskih sustava</item>
      <item>FINA Regionalni centar Zagreb</item>
      <item>Laszlo Toth</item>
      <item>Daša Panjaković Senjić</item>
    </izvorni_sadrzaj>
    <derivirana_varijabla naziv="DomainObject.Predmet.SudioniciListNaziv_1">
      <item>Alternative Consulting j.d.o.o. za projektiranje informacijskih sustava</item>
      <item>FINA Regionalni centar Zagreb</item>
      <item>Laszlo Toth</item>
      <item>Daša Panjaković Senjić</item>
    </derivirana_varijabla>
  </DomainObject.Predmet.SudioniciListNaziv>
  <DomainObject.Predmet.SudioniciListAdressOIB>
    <izvorni_sadrzaj>
      <item>Alternative Consulting j.d.o.o. za projektiranje informacijskih sustava, OIB 00833920550, Mandaličina 12 B,10000 Zagreb</item>
      <item>FINA Regionalni centar Zagreb, OIB 85821130368, Trg svibanjskih žrtava 1995. br. 1,10000 Zagreb</item>
      <item>Laszlo Toth, OIB 22211626810, Hrvoja Macanovića 25,10000 Zagreb</item>
      <item>Daša Panjaković Senjić, OIB 39849053592, Gornjodravska obala 89a,31000 Osijek</item>
    </izvorni_sadrzaj>
    <derivirana_varijabla naziv="DomainObject.Predmet.SudioniciListAdressOIB_1">
      <item>Alternative Consulting j.d.o.o. za projektiranje informacijskih sustava, OIB 00833920550, Mandaličina 12 B,10000 Zagreb</item>
      <item>FINA Regionalni centar Zagreb, OIB 85821130368, Trg svibanjskih žrtava 1995. br. 1,10000 Zagreb</item>
      <item>Laszlo Toth, OIB 22211626810, Hrvoja Macanovića 25,10000 Zagreb</item>
      <item>Daša Panjaković Senjić, OIB 39849053592, Gornjodravska obala 89a,31000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851956-28AF-4280-8613-C812D986A0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506</properties:Words>
  <properties:Characters>2919</properties:Characters>
  <properties:Lines>79</properties:Lines>
  <properties:Paragraphs>23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2018-04-18T12:55:00Z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St-545/2017-21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