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d1fa07" w14:paraId="4d1fa07" w:rsidRDefault="000D6BA8" w:rsidP="00C62C16" w:rsidR="000D6BA8" w:rsidRPr="00110B5F">
      <w:pPr>
        <w:jc w:val="both"/>
        <w15:collapsed w:val="false"/>
        <w:rPr>
          <w:bCs/>
          <w:sz w:val="24"/>
          <w:szCs w:val="24"/>
        </w:rPr>
      </w:pPr>
      <w:bookmarkStart w:name="_GoBack" w:id="0"/>
      <w:bookmarkEnd w:id="0"/>
      <w:r w:rsidRPr="00110B5F">
        <w:rPr>
          <w:bCs/>
          <w:noProof/>
          <w:sz w:val="24"/>
          <w:szCs w:val="24"/>
        </w:rPr>
        <w:drawing>
          <wp:inline distR="0" distL="0" distB="0" distT="0">
            <wp:extent cy="963295" cx="719455"/>
            <wp:effectExtent b="8255" r="444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r w:rsidR="00071633" w:rsidRPr="00110B5F">
        <w:rPr>
          <w:bCs/>
          <w:sz w:val="24"/>
          <w:szCs w:val="24"/>
        </w:rPr>
        <w:t xml:space="preserve">                                                                                                                             </w:t>
      </w:r>
    </w:p>
    <w:p w:rsidRDefault="00071633" w:rsidP="00C62C16" w:rsidR="00071633" w:rsidRPr="00110B5F">
      <w:pPr>
        <w:jc w:val="both"/>
        <w:rPr>
          <w:bCs/>
          <w:sz w:val="24"/>
          <w:szCs w:val="24"/>
        </w:rPr>
      </w:pPr>
      <w:r w:rsidRPr="00110B5F">
        <w:rPr>
          <w:bCs/>
          <w:sz w:val="24"/>
          <w:szCs w:val="24"/>
        </w:rPr>
        <w:t xml:space="preserve">REPUBLIKA HRVATSKA </w:t>
      </w:r>
    </w:p>
    <w:p w:rsidRDefault="00071633" w:rsidP="00C62C16" w:rsidR="00071633" w:rsidRPr="00110B5F">
      <w:pPr>
        <w:jc w:val="both"/>
        <w:rPr>
          <w:bCs/>
          <w:sz w:val="24"/>
          <w:szCs w:val="24"/>
        </w:rPr>
      </w:pPr>
      <w:r w:rsidRPr="00110B5F">
        <w:rPr>
          <w:bCs/>
          <w:sz w:val="24"/>
          <w:szCs w:val="24"/>
        </w:rPr>
        <w:t>TRGOVAČKI SUD U ZAGREBU</w:t>
      </w:r>
    </w:p>
    <w:p w:rsidRDefault="00071633" w:rsidP="00C6522F" w:rsidR="00853FF6" w:rsidRPr="00110B5F">
      <w:pPr>
        <w:jc w:val="right"/>
        <w:rPr>
          <w:bCs/>
          <w:sz w:val="24"/>
          <w:szCs w:val="24"/>
        </w:rPr>
      </w:pPr>
      <w:r w:rsidRPr="00110B5F">
        <w:rPr>
          <w:bCs/>
          <w:sz w:val="24"/>
          <w:szCs w:val="24"/>
        </w:rPr>
        <w:t>Zagreb, Amruševa 2/II</w:t>
      </w:r>
      <w:r w:rsidR="005568C5" w:rsidRPr="00110B5F">
        <w:rPr>
          <w:bCs/>
          <w:sz w:val="24"/>
          <w:szCs w:val="24"/>
        </w:rPr>
        <w:tab/>
      </w:r>
      <w:r w:rsidR="005568C5" w:rsidRPr="00110B5F">
        <w:rPr>
          <w:bCs/>
          <w:sz w:val="24"/>
          <w:szCs w:val="24"/>
        </w:rPr>
        <w:tab/>
      </w:r>
      <w:r w:rsidR="005568C5" w:rsidRPr="00110B5F">
        <w:rPr>
          <w:bCs/>
          <w:sz w:val="24"/>
          <w:szCs w:val="24"/>
        </w:rPr>
        <w:tab/>
      </w:r>
      <w:r w:rsidR="005568C5" w:rsidRPr="00110B5F">
        <w:rPr>
          <w:bCs/>
          <w:sz w:val="24"/>
          <w:szCs w:val="24"/>
        </w:rPr>
        <w:tab/>
        <w:t xml:space="preserve">        </w:t>
      </w:r>
      <w:r w:rsidR="0089076F" w:rsidRPr="00110B5F">
        <w:rPr>
          <w:bCs/>
          <w:sz w:val="24"/>
          <w:szCs w:val="24"/>
        </w:rPr>
        <w:tab/>
      </w:r>
      <w:r w:rsidR="0089076F" w:rsidRPr="00110B5F">
        <w:rPr>
          <w:bCs/>
          <w:sz w:val="24"/>
          <w:szCs w:val="24"/>
        </w:rPr>
        <w:tab/>
      </w:r>
      <w:r w:rsidR="0089076F" w:rsidRPr="00110B5F">
        <w:rPr>
          <w:bCs/>
          <w:sz w:val="24"/>
          <w:szCs w:val="24"/>
        </w:rPr>
        <w:tab/>
      </w:r>
      <w:r w:rsidR="0089076F" w:rsidRPr="00110B5F">
        <w:rPr>
          <w:bCs/>
          <w:sz w:val="24"/>
          <w:szCs w:val="24"/>
        </w:rPr>
        <w:tab/>
      </w:r>
      <w:r w:rsidR="0089076F" w:rsidRPr="00110B5F">
        <w:rPr>
          <w:bCs/>
          <w:sz w:val="24"/>
          <w:szCs w:val="24"/>
        </w:rPr>
        <w:tab/>
      </w:r>
      <w:r w:rsidR="0089076F" w:rsidRPr="00110B5F">
        <w:rPr>
          <w:bCs/>
          <w:sz w:val="24"/>
          <w:szCs w:val="24"/>
        </w:rPr>
        <w:tab/>
      </w:r>
      <w:r w:rsidR="0089076F" w:rsidRPr="00110B5F">
        <w:rPr>
          <w:bCs/>
          <w:sz w:val="24"/>
          <w:szCs w:val="24"/>
        </w:rPr>
        <w:tab/>
      </w:r>
      <w:r w:rsidRPr="00110B5F">
        <w:rPr>
          <w:bCs/>
          <w:sz w:val="24"/>
          <w:szCs w:val="24"/>
        </w:rPr>
        <w:t xml:space="preserve">                                                                           48</w:t>
      </w:r>
      <w:r w:rsidR="00EA2F22" w:rsidRPr="00110B5F">
        <w:rPr>
          <w:bCs/>
          <w:sz w:val="24"/>
          <w:szCs w:val="24"/>
        </w:rPr>
        <w:t>.</w:t>
      </w:r>
      <w:r w:rsidR="00B84EFD" w:rsidRPr="00110B5F">
        <w:rPr>
          <w:bCs/>
          <w:sz w:val="24"/>
          <w:szCs w:val="24"/>
        </w:rPr>
        <w:t xml:space="preserve"> St-</w:t>
      </w:r>
      <w:r w:rsidR="00C947C4" w:rsidRPr="00110B5F">
        <w:rPr>
          <w:bCs/>
          <w:sz w:val="24"/>
          <w:szCs w:val="24"/>
        </w:rPr>
        <w:t>6287/16</w:t>
      </w:r>
    </w:p>
    <w:p w:rsidRDefault="00853FF6" w:rsidP="00C62C16" w:rsidR="00853FF6" w:rsidRPr="00110B5F">
      <w:pPr>
        <w:jc w:val="both"/>
        <w:rPr>
          <w:bCs/>
          <w:sz w:val="24"/>
          <w:szCs w:val="24"/>
        </w:rPr>
      </w:pPr>
    </w:p>
    <w:p w:rsidRDefault="00853FF6" w:rsidP="00C6522F" w:rsidR="00853FF6" w:rsidRPr="00110B5F">
      <w:pPr>
        <w:pStyle w:val="Naslov3"/>
        <w:rPr>
          <w:b w:val="false"/>
          <w:bCs/>
          <w:szCs w:val="24"/>
        </w:rPr>
      </w:pPr>
      <w:r w:rsidRPr="00110B5F">
        <w:rPr>
          <w:b w:val="false"/>
          <w:bCs/>
          <w:szCs w:val="24"/>
        </w:rPr>
        <w:t>Z A P I S N I K</w:t>
      </w:r>
    </w:p>
    <w:p w:rsidRDefault="00071633" w:rsidP="00C6522F" w:rsidR="00853FF6" w:rsidRPr="00110B5F">
      <w:pPr>
        <w:pStyle w:val="Naslov1"/>
        <w:jc w:val="center"/>
        <w:rPr>
          <w:b w:val="false"/>
          <w:bCs/>
          <w:szCs w:val="24"/>
        </w:rPr>
      </w:pPr>
      <w:r w:rsidRPr="00110B5F">
        <w:rPr>
          <w:b w:val="false"/>
          <w:bCs/>
          <w:szCs w:val="24"/>
        </w:rPr>
        <w:t>S</w:t>
      </w:r>
      <w:r w:rsidR="00853FF6" w:rsidRPr="00110B5F">
        <w:rPr>
          <w:b w:val="false"/>
          <w:bCs/>
          <w:szCs w:val="24"/>
        </w:rPr>
        <w:t xml:space="preserve"> ISPITNOG ROČIŠTA</w:t>
      </w:r>
    </w:p>
    <w:p w:rsidRDefault="005A3188" w:rsidP="00C62C16" w:rsidR="005A3188" w:rsidRPr="00110B5F">
      <w:pPr>
        <w:jc w:val="both"/>
        <w:rPr>
          <w:sz w:val="24"/>
          <w:szCs w:val="24"/>
        </w:rPr>
      </w:pPr>
    </w:p>
    <w:p w:rsidRDefault="009919F7" w:rsidP="00C62C16" w:rsidR="00491322">
      <w:pPr>
        <w:pStyle w:val="Bezproreda"/>
        <w:jc w:val="both"/>
        <w:rPr>
          <w:rFonts w:hAnsi="Times New Roman" w:ascii="Times New Roman"/>
          <w:sz w:val="24"/>
          <w:szCs w:val="24"/>
        </w:rPr>
      </w:pPr>
      <w:r w:rsidRPr="00110B5F">
        <w:rPr>
          <w:rFonts w:hAnsi="Times New Roman" w:ascii="Times New Roman"/>
          <w:bCs/>
          <w:sz w:val="24"/>
          <w:szCs w:val="24"/>
        </w:rPr>
        <w:t xml:space="preserve">održanog dana </w:t>
      </w:r>
      <w:r w:rsidR="00C947C4" w:rsidRPr="00110B5F">
        <w:rPr>
          <w:rFonts w:hAnsi="Times New Roman" w:ascii="Times New Roman"/>
          <w:bCs/>
          <w:sz w:val="24"/>
          <w:szCs w:val="24"/>
        </w:rPr>
        <w:t>16</w:t>
      </w:r>
      <w:r w:rsidR="00B30A32" w:rsidRPr="00110B5F">
        <w:rPr>
          <w:rFonts w:hAnsi="Times New Roman" w:ascii="Times New Roman"/>
          <w:bCs/>
          <w:sz w:val="24"/>
          <w:szCs w:val="24"/>
        </w:rPr>
        <w:t>. siječnja 2019</w:t>
      </w:r>
      <w:r w:rsidRPr="00110B5F">
        <w:rPr>
          <w:rFonts w:hAnsi="Times New Roman" w:ascii="Times New Roman"/>
          <w:bCs/>
          <w:sz w:val="24"/>
          <w:szCs w:val="24"/>
        </w:rPr>
        <w:t>. na Trgovačkom sudu u Zagrebu, Amruševa</w:t>
      </w:r>
      <w:r w:rsidR="00B30A32" w:rsidRPr="00110B5F">
        <w:rPr>
          <w:rFonts w:hAnsi="Times New Roman" w:ascii="Times New Roman"/>
          <w:bCs/>
          <w:sz w:val="24"/>
          <w:szCs w:val="24"/>
        </w:rPr>
        <w:t xml:space="preserve"> 2/II, soba 93/II kat, UZ</w:t>
      </w:r>
      <w:r w:rsidRPr="00110B5F">
        <w:rPr>
          <w:rFonts w:hAnsi="Times New Roman" w:ascii="Times New Roman"/>
          <w:bCs/>
          <w:sz w:val="24"/>
          <w:szCs w:val="24"/>
        </w:rPr>
        <w:t xml:space="preserve"> u stečajnom predmetu nad </w:t>
      </w:r>
      <w:r w:rsidR="0038417C" w:rsidRPr="00110B5F">
        <w:rPr>
          <w:rFonts w:hAnsi="Times New Roman" w:ascii="Times New Roman"/>
          <w:bCs/>
          <w:sz w:val="24"/>
          <w:szCs w:val="24"/>
        </w:rPr>
        <w:t xml:space="preserve">stečajnim dužnikom </w:t>
      </w:r>
      <w:r w:rsidR="00C947C4" w:rsidRPr="00110B5F">
        <w:rPr>
          <w:rFonts w:hAnsi="Times New Roman" w:ascii="Times New Roman"/>
          <w:sz w:val="24"/>
          <w:szCs w:val="24"/>
        </w:rPr>
        <w:t>H.G. NEKRETNINE d.o.o. u stečaju, Zagreb, Budmanijeva 1, OIB: 72513857988</w:t>
      </w:r>
    </w:p>
    <w:p w:rsidRDefault="00D552D1" w:rsidP="00C62C16" w:rsidR="00D552D1" w:rsidRPr="00110B5F">
      <w:pPr>
        <w:pStyle w:val="Bezproreda"/>
        <w:jc w:val="both"/>
        <w:rPr>
          <w:rFonts w:hAnsi="Times New Roman" w:ascii="Times New Roman"/>
          <w:sz w:val="24"/>
          <w:szCs w:val="24"/>
        </w:rPr>
      </w:pPr>
    </w:p>
    <w:p w:rsidRDefault="00853FF6" w:rsidP="00C62C16" w:rsidR="00853FF6" w:rsidRPr="00110B5F">
      <w:pPr>
        <w:pStyle w:val="Bezproreda"/>
        <w:jc w:val="both"/>
        <w:rPr>
          <w:rFonts w:hAnsi="Times New Roman" w:ascii="Times New Roman"/>
          <w:bCs/>
          <w:sz w:val="24"/>
          <w:szCs w:val="24"/>
        </w:rPr>
      </w:pPr>
      <w:r w:rsidRPr="00110B5F">
        <w:rPr>
          <w:rFonts w:hAnsi="Times New Roman" w:ascii="Times New Roman"/>
          <w:bCs/>
          <w:sz w:val="24"/>
          <w:szCs w:val="24"/>
        </w:rPr>
        <w:t>Nazočni od suda:</w:t>
      </w:r>
    </w:p>
    <w:p w:rsidRDefault="00071633" w:rsidP="00C62C16" w:rsidR="00853FF6" w:rsidRPr="00110B5F">
      <w:pPr>
        <w:jc w:val="both"/>
        <w:rPr>
          <w:bCs/>
          <w:sz w:val="24"/>
          <w:szCs w:val="24"/>
        </w:rPr>
      </w:pPr>
      <w:r w:rsidRPr="00110B5F">
        <w:rPr>
          <w:bCs/>
          <w:sz w:val="24"/>
          <w:szCs w:val="24"/>
        </w:rPr>
        <w:t>Vesna Sremac Šoštar</w:t>
      </w:r>
      <w:r w:rsidR="004642DE" w:rsidRPr="00110B5F">
        <w:rPr>
          <w:bCs/>
          <w:sz w:val="24"/>
          <w:szCs w:val="24"/>
        </w:rPr>
        <w:t xml:space="preserve">, </w:t>
      </w:r>
      <w:r w:rsidR="00853FF6" w:rsidRPr="00110B5F">
        <w:rPr>
          <w:bCs/>
          <w:sz w:val="24"/>
          <w:szCs w:val="24"/>
        </w:rPr>
        <w:t>sudac</w:t>
      </w:r>
    </w:p>
    <w:p w:rsidRDefault="0075064E" w:rsidP="00126873" w:rsidR="00853FF6" w:rsidRPr="00110B5F">
      <w:pPr>
        <w:tabs>
          <w:tab w:pos="8364" w:val="left"/>
        </w:tabs>
        <w:jc w:val="both"/>
        <w:rPr>
          <w:bCs/>
          <w:sz w:val="24"/>
          <w:szCs w:val="24"/>
        </w:rPr>
      </w:pPr>
      <w:r w:rsidRPr="00110B5F">
        <w:rPr>
          <w:bCs/>
          <w:sz w:val="24"/>
          <w:szCs w:val="24"/>
        </w:rPr>
        <w:t>Matea Bizjak</w:t>
      </w:r>
      <w:r w:rsidR="00853FF6" w:rsidRPr="00110B5F">
        <w:rPr>
          <w:bCs/>
          <w:sz w:val="24"/>
          <w:szCs w:val="24"/>
        </w:rPr>
        <w:t>, zapisničar</w:t>
      </w:r>
      <w:r w:rsidR="00126873" w:rsidRPr="00110B5F">
        <w:rPr>
          <w:bCs/>
          <w:sz w:val="24"/>
          <w:szCs w:val="24"/>
        </w:rPr>
        <w:tab/>
      </w:r>
    </w:p>
    <w:p w:rsidRDefault="00853FF6" w:rsidP="00C62C16" w:rsidR="00853FF6" w:rsidRPr="00110B5F">
      <w:pPr>
        <w:jc w:val="both"/>
        <w:rPr>
          <w:bCs/>
          <w:sz w:val="24"/>
          <w:szCs w:val="24"/>
        </w:rPr>
      </w:pPr>
    </w:p>
    <w:p w:rsidRDefault="00853FF6" w:rsidP="00C62C16" w:rsidR="009835DE" w:rsidRPr="00110B5F">
      <w:pPr>
        <w:jc w:val="both"/>
        <w:rPr>
          <w:sz w:val="24"/>
          <w:szCs w:val="24"/>
        </w:rPr>
      </w:pPr>
      <w:r w:rsidRPr="00110B5F">
        <w:rPr>
          <w:sz w:val="24"/>
          <w:szCs w:val="24"/>
        </w:rPr>
        <w:t>Utvrđuje se da je pristu</w:t>
      </w:r>
      <w:r w:rsidR="002A3A8D" w:rsidRPr="00110B5F">
        <w:rPr>
          <w:sz w:val="24"/>
          <w:szCs w:val="24"/>
        </w:rPr>
        <w:t>pio</w:t>
      </w:r>
      <w:r w:rsidRPr="00110B5F">
        <w:rPr>
          <w:sz w:val="24"/>
          <w:szCs w:val="24"/>
        </w:rPr>
        <w:t xml:space="preserve"> stečajn</w:t>
      </w:r>
      <w:r w:rsidR="002A3A8D" w:rsidRPr="00110B5F">
        <w:rPr>
          <w:sz w:val="24"/>
          <w:szCs w:val="24"/>
        </w:rPr>
        <w:t>i</w:t>
      </w:r>
      <w:r w:rsidR="00DC6824" w:rsidRPr="00110B5F">
        <w:rPr>
          <w:sz w:val="24"/>
          <w:szCs w:val="24"/>
        </w:rPr>
        <w:t xml:space="preserve"> </w:t>
      </w:r>
      <w:r w:rsidR="00A63F46" w:rsidRPr="00110B5F">
        <w:rPr>
          <w:sz w:val="24"/>
          <w:szCs w:val="24"/>
        </w:rPr>
        <w:t>upravitelj</w:t>
      </w:r>
      <w:r w:rsidR="00532F34" w:rsidRPr="00110B5F">
        <w:rPr>
          <w:sz w:val="24"/>
          <w:szCs w:val="24"/>
        </w:rPr>
        <w:t xml:space="preserve"> </w:t>
      </w:r>
      <w:r w:rsidR="00001868">
        <w:rPr>
          <w:sz w:val="24"/>
          <w:szCs w:val="24"/>
        </w:rPr>
        <w:t>Iva Pinj</w:t>
      </w:r>
      <w:r w:rsidR="00C947C4" w:rsidRPr="00110B5F">
        <w:rPr>
          <w:sz w:val="24"/>
          <w:szCs w:val="24"/>
        </w:rPr>
        <w:t>uh Stjepović</w:t>
      </w:r>
    </w:p>
    <w:p w:rsidRDefault="00B23978" w:rsidP="00C62C16" w:rsidR="00954230" w:rsidRPr="00110B5F">
      <w:pPr>
        <w:tabs>
          <w:tab w:pos="7741" w:val="left"/>
        </w:tabs>
        <w:jc w:val="both"/>
        <w:rPr>
          <w:bCs/>
          <w:sz w:val="24"/>
          <w:szCs w:val="24"/>
        </w:rPr>
      </w:pPr>
      <w:r w:rsidRPr="00110B5F">
        <w:rPr>
          <w:bCs/>
          <w:sz w:val="24"/>
          <w:szCs w:val="24"/>
        </w:rPr>
        <w:tab/>
      </w:r>
    </w:p>
    <w:p w:rsidRDefault="00071633" w:rsidP="00C62C16" w:rsidR="00D4581C" w:rsidRPr="00110B5F">
      <w:pPr>
        <w:jc w:val="both"/>
        <w:rPr>
          <w:bCs/>
          <w:sz w:val="24"/>
          <w:szCs w:val="24"/>
        </w:rPr>
      </w:pPr>
      <w:r w:rsidRPr="00110B5F">
        <w:rPr>
          <w:bCs/>
          <w:sz w:val="24"/>
          <w:szCs w:val="24"/>
        </w:rPr>
        <w:t xml:space="preserve">Započeto u </w:t>
      </w:r>
      <w:r w:rsidR="00B30A32" w:rsidRPr="00110B5F">
        <w:rPr>
          <w:bCs/>
          <w:sz w:val="24"/>
          <w:szCs w:val="24"/>
        </w:rPr>
        <w:t>10,00</w:t>
      </w:r>
      <w:r w:rsidR="00956688" w:rsidRPr="00110B5F">
        <w:rPr>
          <w:bCs/>
          <w:sz w:val="24"/>
          <w:szCs w:val="24"/>
        </w:rPr>
        <w:t xml:space="preserve"> </w:t>
      </w:r>
      <w:r w:rsidR="00853FF6" w:rsidRPr="00110B5F">
        <w:rPr>
          <w:bCs/>
          <w:sz w:val="24"/>
          <w:szCs w:val="24"/>
        </w:rPr>
        <w:t>sati.</w:t>
      </w:r>
    </w:p>
    <w:p w:rsidRDefault="00D4581C" w:rsidP="00C62C16" w:rsidR="00D4581C" w:rsidRPr="00110B5F">
      <w:pPr>
        <w:jc w:val="both"/>
        <w:rPr>
          <w:bCs/>
          <w:sz w:val="24"/>
          <w:szCs w:val="24"/>
        </w:rPr>
      </w:pPr>
    </w:p>
    <w:p w:rsidRDefault="00853FF6" w:rsidP="00C62C16" w:rsidR="00071633" w:rsidRPr="00110B5F">
      <w:pPr>
        <w:jc w:val="both"/>
        <w:rPr>
          <w:bCs/>
          <w:sz w:val="24"/>
          <w:szCs w:val="24"/>
        </w:rPr>
      </w:pPr>
      <w:r w:rsidRPr="00110B5F">
        <w:rPr>
          <w:bCs/>
          <w:sz w:val="24"/>
          <w:szCs w:val="24"/>
        </w:rPr>
        <w:t>Ročište je javno.</w:t>
      </w:r>
    </w:p>
    <w:p w:rsidRDefault="00071633" w:rsidP="00C62C16" w:rsidR="00071633" w:rsidRPr="00110B5F">
      <w:pPr>
        <w:jc w:val="both"/>
        <w:rPr>
          <w:bCs/>
          <w:sz w:val="24"/>
          <w:szCs w:val="24"/>
        </w:rPr>
      </w:pPr>
    </w:p>
    <w:p w:rsidRDefault="00853FF6" w:rsidP="00C62C16" w:rsidR="00853FF6" w:rsidRPr="00110B5F">
      <w:pPr>
        <w:jc w:val="both"/>
        <w:rPr>
          <w:bCs/>
          <w:sz w:val="24"/>
          <w:szCs w:val="24"/>
        </w:rPr>
      </w:pPr>
      <w:r w:rsidRPr="00110B5F">
        <w:rPr>
          <w:bCs/>
          <w:sz w:val="24"/>
          <w:szCs w:val="24"/>
        </w:rPr>
        <w:t>Utvrđuje se da su p</w:t>
      </w:r>
      <w:r w:rsidR="009E0988" w:rsidRPr="00110B5F">
        <w:rPr>
          <w:bCs/>
          <w:sz w:val="24"/>
          <w:szCs w:val="24"/>
        </w:rPr>
        <w:t>ristupili sl</w:t>
      </w:r>
      <w:r w:rsidRPr="00110B5F">
        <w:rPr>
          <w:bCs/>
          <w:sz w:val="24"/>
          <w:szCs w:val="24"/>
        </w:rPr>
        <w:t>jedeći vjerovnici:</w:t>
      </w:r>
    </w:p>
    <w:p w:rsidRDefault="000D7C0F" w:rsidP="00C62C16" w:rsidR="000D7C0F" w:rsidRPr="00110B5F">
      <w:pPr>
        <w:jc w:val="both"/>
        <w:rPr>
          <w:bCs/>
          <w:sz w:val="24"/>
          <w:szCs w:val="24"/>
        </w:rPr>
      </w:pPr>
    </w:p>
    <w:p w:rsidRDefault="00A130EB" w:rsidP="006C618A" w:rsidR="00F04834">
      <w:pPr>
        <w:jc w:val="both"/>
        <w:rPr>
          <w:bCs/>
          <w:sz w:val="24"/>
          <w:szCs w:val="24"/>
        </w:rPr>
      </w:pPr>
      <w:r w:rsidRPr="00110B5F">
        <w:rPr>
          <w:bCs/>
          <w:sz w:val="24"/>
          <w:szCs w:val="24"/>
        </w:rPr>
        <w:t>RH, MF, Porezna uprava</w:t>
      </w:r>
      <w:r w:rsidR="00F60031" w:rsidRPr="00110B5F">
        <w:rPr>
          <w:bCs/>
          <w:sz w:val="24"/>
          <w:szCs w:val="24"/>
        </w:rPr>
        <w:t xml:space="preserve">, </w:t>
      </w:r>
      <w:r w:rsidR="00B53A13" w:rsidRPr="00110B5F">
        <w:rPr>
          <w:bCs/>
          <w:sz w:val="24"/>
          <w:szCs w:val="24"/>
        </w:rPr>
        <w:t xml:space="preserve">zastupano </w:t>
      </w:r>
      <w:r w:rsidR="006C618A" w:rsidRPr="00110B5F">
        <w:rPr>
          <w:bCs/>
          <w:sz w:val="24"/>
          <w:szCs w:val="24"/>
        </w:rPr>
        <w:t>po</w:t>
      </w:r>
      <w:r w:rsidR="00001868">
        <w:rPr>
          <w:bCs/>
          <w:sz w:val="24"/>
          <w:szCs w:val="24"/>
        </w:rPr>
        <w:t xml:space="preserve"> Martin Blajić, savjetnik, ŽDO Zagreb</w:t>
      </w:r>
    </w:p>
    <w:p w:rsidRDefault="004921CA" w:rsidP="004921CA" w:rsidR="004921CA" w:rsidRPr="004921CA">
      <w:pPr>
        <w:jc w:val="both"/>
        <w:rPr>
          <w:bCs/>
          <w:sz w:val="24"/>
          <w:szCs w:val="24"/>
        </w:rPr>
      </w:pPr>
      <w:r>
        <w:rPr>
          <w:bCs/>
          <w:sz w:val="24"/>
          <w:szCs w:val="24"/>
        </w:rPr>
        <w:t xml:space="preserve">DDM INVEST I AG, OIB: 41627324374, </w:t>
      </w:r>
      <w:r w:rsidRPr="004921CA">
        <w:rPr>
          <w:bCs/>
          <w:sz w:val="24"/>
          <w:szCs w:val="24"/>
        </w:rPr>
        <w:t>Schochenmulestrasse 4, 6340 Baar, Švicarska</w:t>
      </w:r>
      <w:r w:rsidR="004A33CA">
        <w:rPr>
          <w:bCs/>
          <w:sz w:val="24"/>
          <w:szCs w:val="24"/>
        </w:rPr>
        <w:t>, zastupano po Dino Miše, odvj. vježbenik po punomoći</w:t>
      </w:r>
    </w:p>
    <w:p w:rsidRDefault="004921CA" w:rsidP="004921CA" w:rsidR="004921CA" w:rsidRPr="004921CA">
      <w:pPr>
        <w:jc w:val="both"/>
        <w:rPr>
          <w:bCs/>
          <w:sz w:val="24"/>
          <w:szCs w:val="24"/>
        </w:rPr>
      </w:pPr>
      <w:r>
        <w:rPr>
          <w:bCs/>
          <w:sz w:val="24"/>
          <w:szCs w:val="24"/>
        </w:rPr>
        <w:t xml:space="preserve">UPIMOL 2000 d.o.o., OIB: 65759966884, </w:t>
      </w:r>
      <w:r w:rsidRPr="004921CA">
        <w:rPr>
          <w:bCs/>
          <w:sz w:val="24"/>
          <w:szCs w:val="24"/>
        </w:rPr>
        <w:t>Partizanska 39, 2310 Slovenska Bistrica, Slovenija</w:t>
      </w:r>
      <w:r w:rsidR="00000AD1">
        <w:rPr>
          <w:bCs/>
          <w:sz w:val="24"/>
          <w:szCs w:val="24"/>
        </w:rPr>
        <w:t>, zastupano po Jurica Ton</w:t>
      </w:r>
      <w:r w:rsidR="00001868">
        <w:rPr>
          <w:bCs/>
          <w:sz w:val="24"/>
          <w:szCs w:val="24"/>
        </w:rPr>
        <w:t xml:space="preserve">čić, prema punomoći </w:t>
      </w:r>
    </w:p>
    <w:p w:rsidRDefault="00683A8B" w:rsidP="00683A8B" w:rsidR="00683A8B" w:rsidRPr="00110B5F">
      <w:pPr>
        <w:jc w:val="both"/>
        <w:rPr>
          <w:bCs/>
          <w:sz w:val="24"/>
          <w:szCs w:val="24"/>
        </w:rPr>
      </w:pPr>
    </w:p>
    <w:p w:rsidRDefault="0038417C" w:rsidP="0038417C" w:rsidR="0038417C" w:rsidRPr="00110B5F">
      <w:pPr>
        <w:pStyle w:val="Naslov1"/>
        <w:ind w:firstLine="360"/>
        <w:jc w:val="both"/>
        <w:rPr>
          <w:szCs w:val="24"/>
        </w:rPr>
      </w:pPr>
      <w:r w:rsidRPr="00110B5F">
        <w:rPr>
          <w:b w:val="false"/>
          <w:szCs w:val="24"/>
        </w:rPr>
        <w:t xml:space="preserve">Utvrđuje se da je rješenje o otvaranju stečajnog postupka nad dužnikom od </w:t>
      </w:r>
      <w:r w:rsidR="00B30A32" w:rsidRPr="00110B5F">
        <w:rPr>
          <w:b w:val="false"/>
          <w:szCs w:val="24"/>
        </w:rPr>
        <w:t>27. kolovoza</w:t>
      </w:r>
      <w:r w:rsidRPr="00110B5F">
        <w:rPr>
          <w:b w:val="false"/>
          <w:szCs w:val="24"/>
        </w:rPr>
        <w:t xml:space="preserve"> 2018., broj gornji, kojim je određeno današnje ispitno i izvještajno ročište objavljeno na mrežnoj stranici e-oglasna ploča Trgovačkog suda u Zagrebu istog dana, tj. </w:t>
      </w:r>
      <w:r w:rsidR="00B30A32" w:rsidRPr="00110B5F">
        <w:rPr>
          <w:b w:val="false"/>
          <w:szCs w:val="24"/>
        </w:rPr>
        <w:t>27. kolovoza</w:t>
      </w:r>
      <w:r w:rsidRPr="00110B5F">
        <w:rPr>
          <w:b w:val="false"/>
          <w:szCs w:val="24"/>
        </w:rPr>
        <w:t xml:space="preserve"> 2018</w:t>
      </w:r>
      <w:r w:rsidRPr="00110B5F">
        <w:rPr>
          <w:szCs w:val="24"/>
        </w:rPr>
        <w:t>.</w:t>
      </w:r>
    </w:p>
    <w:p w:rsidRDefault="0038417C" w:rsidP="0038417C" w:rsidR="0038417C" w:rsidRPr="00110B5F">
      <w:pPr>
        <w:rPr>
          <w:bCs/>
          <w:sz w:val="24"/>
          <w:szCs w:val="24"/>
        </w:rPr>
      </w:pPr>
    </w:p>
    <w:p w:rsidRDefault="0038417C" w:rsidP="0038417C" w:rsidR="0038417C" w:rsidRPr="00110B5F">
      <w:pPr>
        <w:ind w:firstLine="360"/>
        <w:jc w:val="both"/>
        <w:rPr>
          <w:sz w:val="24"/>
          <w:szCs w:val="24"/>
        </w:rPr>
      </w:pPr>
      <w:r w:rsidRPr="00110B5F">
        <w:rPr>
          <w:sz w:val="24"/>
          <w:szCs w:val="24"/>
        </w:rPr>
        <w:t>Sud otvara ročište i objavljuje da je predmet današnjeg ročišta ispitivanje prijavljenih tražbina prema iznosima i isplatnom redu kako su uneseni u tablice koje je sastavio stečajni upravitelj i koje tablice su sukladno odredbi čl. 259. Stečajnog zakona ( u daljnjem tekstu SZ-a, NN 71/15) bile objavljene na mrežnoj stranici e-oglasna ploča Trgovačkog suda u Zagrebu i n</w:t>
      </w:r>
      <w:r w:rsidR="003C1DCA" w:rsidRPr="00110B5F">
        <w:rPr>
          <w:sz w:val="24"/>
          <w:szCs w:val="24"/>
        </w:rPr>
        <w:t>alazile su se na uvidu u sobi 93</w:t>
      </w:r>
      <w:r w:rsidR="003C1DCA" w:rsidRPr="00110B5F">
        <w:rPr>
          <w:bCs/>
          <w:sz w:val="24"/>
          <w:szCs w:val="24"/>
        </w:rPr>
        <w:t>/</w:t>
      </w:r>
      <w:r w:rsidRPr="00110B5F">
        <w:rPr>
          <w:bCs/>
          <w:sz w:val="24"/>
          <w:szCs w:val="24"/>
        </w:rPr>
        <w:t>II (</w:t>
      </w:r>
      <w:r w:rsidR="003C1DCA" w:rsidRPr="00110B5F">
        <w:rPr>
          <w:bCs/>
          <w:sz w:val="24"/>
          <w:szCs w:val="24"/>
        </w:rPr>
        <w:t xml:space="preserve">ulična </w:t>
      </w:r>
      <w:r w:rsidRPr="00110B5F">
        <w:rPr>
          <w:bCs/>
          <w:sz w:val="24"/>
          <w:szCs w:val="24"/>
        </w:rPr>
        <w:t xml:space="preserve">zgrada) </w:t>
      </w:r>
      <w:r w:rsidRPr="00110B5F">
        <w:rPr>
          <w:sz w:val="24"/>
          <w:szCs w:val="24"/>
        </w:rPr>
        <w:t xml:space="preserve">u Trgovačkom sudu u Zagrebu.    </w:t>
      </w:r>
    </w:p>
    <w:p w:rsidRDefault="0038417C" w:rsidP="0038417C" w:rsidR="0038417C" w:rsidRPr="00110B5F">
      <w:pPr>
        <w:jc w:val="both"/>
        <w:rPr>
          <w:sz w:val="24"/>
          <w:szCs w:val="24"/>
        </w:rPr>
      </w:pPr>
    </w:p>
    <w:p w:rsidRDefault="0038417C" w:rsidP="0038417C" w:rsidR="0038417C" w:rsidRPr="00110B5F">
      <w:pPr>
        <w:ind w:firstLine="360"/>
        <w:jc w:val="both"/>
        <w:rPr>
          <w:sz w:val="24"/>
          <w:szCs w:val="24"/>
        </w:rPr>
      </w:pPr>
      <w:r w:rsidRPr="00110B5F">
        <w:rPr>
          <w:sz w:val="24"/>
          <w:szCs w:val="24"/>
        </w:rPr>
        <w:t xml:space="preserve">Uz tablice su bile izložene i prijave svih vjerovnika koje su stigle u roku objave koji je određen rješenjem o otvaranju stečajnog postupka nad dužnikom od </w:t>
      </w:r>
      <w:r w:rsidR="00B30A32" w:rsidRPr="00110B5F">
        <w:rPr>
          <w:sz w:val="24"/>
          <w:szCs w:val="24"/>
        </w:rPr>
        <w:t>27. kolovoza</w:t>
      </w:r>
      <w:r w:rsidRPr="00110B5F">
        <w:rPr>
          <w:sz w:val="24"/>
          <w:szCs w:val="24"/>
        </w:rPr>
        <w:t xml:space="preserve"> 2018</w:t>
      </w:r>
      <w:r w:rsidRPr="00110B5F">
        <w:rPr>
          <w:bCs/>
          <w:sz w:val="24"/>
          <w:szCs w:val="24"/>
        </w:rPr>
        <w:t>.</w:t>
      </w:r>
    </w:p>
    <w:p w:rsidRDefault="0038417C" w:rsidP="0038417C" w:rsidR="0038417C" w:rsidRPr="00110B5F">
      <w:pPr>
        <w:jc w:val="both"/>
        <w:rPr>
          <w:sz w:val="24"/>
          <w:szCs w:val="24"/>
        </w:rPr>
      </w:pPr>
    </w:p>
    <w:p w:rsidRDefault="0038417C" w:rsidP="0038417C" w:rsidR="0038417C" w:rsidRPr="00110B5F">
      <w:pPr>
        <w:ind w:firstLine="360"/>
        <w:jc w:val="both"/>
        <w:rPr>
          <w:sz w:val="24"/>
          <w:szCs w:val="24"/>
        </w:rPr>
      </w:pPr>
      <w:r w:rsidRPr="00110B5F">
        <w:rPr>
          <w:sz w:val="24"/>
          <w:szCs w:val="24"/>
        </w:rPr>
        <w:lastRenderedPageBreak/>
        <w:t>Sud obavještava vjerovnike da sukladno čl. 265. SZ-a oni vjerovnici kojima je tražbina priznata neće dobiti poseban otpravak rješenja o utvrđenoj tražbini, osim ako to posebno ne zatraže i plate trošak rješenja.</w:t>
      </w:r>
    </w:p>
    <w:p w:rsidRDefault="0038417C" w:rsidP="0038417C" w:rsidR="0038417C" w:rsidRPr="00110B5F">
      <w:pPr>
        <w:ind w:firstLine="360"/>
        <w:jc w:val="both"/>
        <w:rPr>
          <w:sz w:val="24"/>
          <w:szCs w:val="24"/>
        </w:rPr>
      </w:pPr>
    </w:p>
    <w:p w:rsidRDefault="000D28B2" w:rsidP="00C62C16" w:rsidR="000D28B2" w:rsidRPr="00110B5F">
      <w:pPr>
        <w:ind w:firstLine="360"/>
        <w:jc w:val="both"/>
        <w:rPr>
          <w:sz w:val="24"/>
          <w:szCs w:val="24"/>
        </w:rPr>
      </w:pPr>
      <w:r w:rsidRPr="00110B5F">
        <w:rPr>
          <w:sz w:val="24"/>
          <w:szCs w:val="24"/>
        </w:rPr>
        <w:t>Rješenje o utvrđenim</w:t>
      </w:r>
      <w:r w:rsidR="009045A8" w:rsidRPr="00110B5F">
        <w:rPr>
          <w:sz w:val="24"/>
          <w:szCs w:val="24"/>
        </w:rPr>
        <w:t xml:space="preserve"> i osporenim tražbinama objavit</w:t>
      </w:r>
      <w:r w:rsidRPr="00110B5F">
        <w:rPr>
          <w:sz w:val="24"/>
          <w:szCs w:val="24"/>
        </w:rPr>
        <w:t xml:space="preserve"> će se na mrežnoj stranici e-oglasna pl</w:t>
      </w:r>
      <w:r w:rsidR="009045A8" w:rsidRPr="00110B5F">
        <w:rPr>
          <w:sz w:val="24"/>
          <w:szCs w:val="24"/>
        </w:rPr>
        <w:t>oča sudova (čl. 265. st. 2. SZ</w:t>
      </w:r>
      <w:r w:rsidRPr="00110B5F">
        <w:rPr>
          <w:sz w:val="24"/>
          <w:szCs w:val="24"/>
        </w:rPr>
        <w:t xml:space="preserve">). </w:t>
      </w:r>
    </w:p>
    <w:p w:rsidRDefault="000D28B2" w:rsidP="00C62C16" w:rsidR="000D28B2" w:rsidRPr="00110B5F">
      <w:pPr>
        <w:ind w:firstLine="360"/>
        <w:jc w:val="both"/>
        <w:rPr>
          <w:sz w:val="24"/>
          <w:szCs w:val="24"/>
        </w:rPr>
      </w:pPr>
    </w:p>
    <w:p w:rsidRDefault="000D28B2" w:rsidP="00C62C16" w:rsidR="000D28B2" w:rsidRPr="00110B5F">
      <w:pPr>
        <w:ind w:firstLine="360"/>
        <w:jc w:val="both"/>
        <w:rPr>
          <w:sz w:val="24"/>
          <w:szCs w:val="24"/>
        </w:rPr>
      </w:pPr>
      <w:r w:rsidRPr="00110B5F">
        <w:rPr>
          <w:sz w:val="24"/>
          <w:szCs w:val="24"/>
        </w:rPr>
        <w:t>Vjerovnici čije tražbine budu osporene (čl. 266. SZ</w:t>
      </w:r>
      <w:r w:rsidR="009045A8" w:rsidRPr="00110B5F">
        <w:rPr>
          <w:sz w:val="24"/>
          <w:szCs w:val="24"/>
        </w:rPr>
        <w:t xml:space="preserve">) bit </w:t>
      </w:r>
      <w:r w:rsidRPr="00110B5F">
        <w:rPr>
          <w:sz w:val="24"/>
          <w:szCs w:val="24"/>
        </w:rPr>
        <w:t>će upućeni na parnicu u roku od 8 dana od dana pravomoćnosti rješenja o upućivanju u parnicu, odnosno primitka drugostupanjs</w:t>
      </w:r>
      <w:r w:rsidR="009045A8" w:rsidRPr="00110B5F">
        <w:rPr>
          <w:sz w:val="24"/>
          <w:szCs w:val="24"/>
        </w:rPr>
        <w:t>ke odluke (čl. 267. st. 1. SZ.</w:t>
      </w:r>
      <w:r w:rsidRPr="00110B5F">
        <w:rPr>
          <w:sz w:val="24"/>
          <w:szCs w:val="24"/>
        </w:rPr>
        <w:t xml:space="preserve">). </w:t>
      </w:r>
    </w:p>
    <w:p w:rsidRDefault="00DF1CEC" w:rsidP="00C62C16" w:rsidR="00DF1CEC" w:rsidRPr="00110B5F">
      <w:pPr>
        <w:jc w:val="both"/>
        <w:rPr>
          <w:sz w:val="24"/>
          <w:szCs w:val="24"/>
        </w:rPr>
      </w:pPr>
    </w:p>
    <w:p w:rsidRDefault="000D28B2" w:rsidP="00C62C16" w:rsidR="00BA2A64" w:rsidRPr="00110B5F">
      <w:pPr>
        <w:ind w:firstLine="360"/>
        <w:jc w:val="both"/>
        <w:rPr>
          <w:sz w:val="24"/>
          <w:szCs w:val="24"/>
        </w:rPr>
      </w:pPr>
      <w:r w:rsidRPr="00110B5F">
        <w:rPr>
          <w:sz w:val="24"/>
          <w:szCs w:val="24"/>
        </w:rPr>
        <w:t>Poziva se stečajni upravitelj određeno očitovati osporava li ili priznaje svaku prijavljenu tražbinu</w:t>
      </w:r>
      <w:r w:rsidR="002A3A8D" w:rsidRPr="00110B5F">
        <w:rPr>
          <w:sz w:val="24"/>
          <w:szCs w:val="24"/>
        </w:rPr>
        <w:t xml:space="preserve"> </w:t>
      </w:r>
      <w:r w:rsidR="009045A8" w:rsidRPr="00110B5F">
        <w:rPr>
          <w:sz w:val="24"/>
          <w:szCs w:val="24"/>
        </w:rPr>
        <w:t>(čl. 260. st. 2. SZ</w:t>
      </w:r>
      <w:r w:rsidRPr="00110B5F">
        <w:rPr>
          <w:sz w:val="24"/>
          <w:szCs w:val="24"/>
        </w:rPr>
        <w:t>).</w:t>
      </w:r>
      <w:r w:rsidR="00BA2A64" w:rsidRPr="00110B5F">
        <w:rPr>
          <w:sz w:val="24"/>
          <w:szCs w:val="24"/>
        </w:rPr>
        <w:t xml:space="preserve"> </w:t>
      </w:r>
    </w:p>
    <w:p w:rsidRDefault="00C76C38" w:rsidP="00C62C16" w:rsidR="00C76C38" w:rsidRPr="00110B5F">
      <w:pPr>
        <w:jc w:val="both"/>
        <w:rPr>
          <w:sz w:val="24"/>
          <w:szCs w:val="24"/>
        </w:rPr>
      </w:pPr>
    </w:p>
    <w:p w:rsidRDefault="007657B8" w:rsidP="00C62C16" w:rsidR="007657B8" w:rsidRPr="00110B5F">
      <w:pPr>
        <w:ind w:firstLine="360"/>
        <w:jc w:val="both"/>
        <w:rPr>
          <w:sz w:val="24"/>
          <w:szCs w:val="24"/>
        </w:rPr>
      </w:pPr>
      <w:r w:rsidRPr="00110B5F">
        <w:rPr>
          <w:sz w:val="24"/>
          <w:szCs w:val="24"/>
        </w:rPr>
        <w:t>Prelazi se na ispitivanje svake pojedine tražbine.</w:t>
      </w:r>
    </w:p>
    <w:p w:rsidRDefault="007657B8" w:rsidP="00C62C16" w:rsidR="007657B8" w:rsidRPr="00110B5F">
      <w:pPr>
        <w:jc w:val="both"/>
        <w:rPr>
          <w:sz w:val="24"/>
          <w:szCs w:val="24"/>
        </w:rPr>
      </w:pPr>
    </w:p>
    <w:p w:rsidRDefault="0064196D" w:rsidP="00C62C16" w:rsidR="00C76C38" w:rsidRPr="00110B5F">
      <w:pPr>
        <w:ind w:firstLine="360"/>
        <w:jc w:val="both"/>
        <w:rPr>
          <w:sz w:val="24"/>
          <w:szCs w:val="24"/>
        </w:rPr>
      </w:pPr>
      <w:r w:rsidRPr="00110B5F">
        <w:rPr>
          <w:sz w:val="24"/>
          <w:szCs w:val="24"/>
        </w:rPr>
        <w:t>Stečajni</w:t>
      </w:r>
      <w:r w:rsidR="00C76C38" w:rsidRPr="00110B5F">
        <w:rPr>
          <w:sz w:val="24"/>
          <w:szCs w:val="24"/>
        </w:rPr>
        <w:t xml:space="preserve"> upravitelj izjavljuje da </w:t>
      </w:r>
      <w:r w:rsidR="0089076F" w:rsidRPr="00110B5F">
        <w:rPr>
          <w:sz w:val="24"/>
          <w:szCs w:val="24"/>
        </w:rPr>
        <w:t xml:space="preserve">u ovom stečajnom postupku </w:t>
      </w:r>
      <w:r w:rsidR="00320681" w:rsidRPr="00110B5F">
        <w:rPr>
          <w:sz w:val="24"/>
          <w:szCs w:val="24"/>
        </w:rPr>
        <w:t xml:space="preserve">ima </w:t>
      </w:r>
      <w:r w:rsidR="0089076F" w:rsidRPr="00110B5F">
        <w:rPr>
          <w:sz w:val="24"/>
          <w:szCs w:val="24"/>
        </w:rPr>
        <w:t>vjerovnika</w:t>
      </w:r>
      <w:r w:rsidR="001953DB" w:rsidRPr="00110B5F">
        <w:rPr>
          <w:sz w:val="24"/>
          <w:szCs w:val="24"/>
        </w:rPr>
        <w:t xml:space="preserve"> </w:t>
      </w:r>
      <w:r w:rsidR="000457CD" w:rsidRPr="00110B5F">
        <w:rPr>
          <w:sz w:val="24"/>
          <w:szCs w:val="24"/>
        </w:rPr>
        <w:t xml:space="preserve">II. </w:t>
      </w:r>
      <w:r w:rsidR="0089076F" w:rsidRPr="00110B5F">
        <w:rPr>
          <w:sz w:val="24"/>
          <w:szCs w:val="24"/>
        </w:rPr>
        <w:t>višeg isplatnog reda</w:t>
      </w:r>
      <w:r w:rsidR="007762AC" w:rsidRPr="00110B5F">
        <w:rPr>
          <w:sz w:val="24"/>
          <w:szCs w:val="24"/>
        </w:rPr>
        <w:t>.</w:t>
      </w:r>
      <w:r w:rsidR="0089076F" w:rsidRPr="00110B5F">
        <w:rPr>
          <w:sz w:val="24"/>
          <w:szCs w:val="24"/>
        </w:rPr>
        <w:t xml:space="preserve"> </w:t>
      </w:r>
    </w:p>
    <w:p w:rsidRDefault="009857F6" w:rsidP="00C62C16" w:rsidR="009857F6" w:rsidRPr="00110B5F">
      <w:pPr>
        <w:jc w:val="both"/>
        <w:rPr>
          <w:bCs/>
          <w:sz w:val="24"/>
          <w:szCs w:val="24"/>
        </w:rPr>
      </w:pPr>
    </w:p>
    <w:p w:rsidRDefault="0064196D" w:rsidP="00C62C16" w:rsidR="00F972B8" w:rsidRPr="00110B5F">
      <w:pPr>
        <w:ind w:firstLine="360"/>
        <w:jc w:val="both"/>
        <w:rPr>
          <w:sz w:val="24"/>
          <w:szCs w:val="24"/>
        </w:rPr>
      </w:pPr>
      <w:r w:rsidRPr="00110B5F">
        <w:rPr>
          <w:sz w:val="24"/>
          <w:szCs w:val="24"/>
        </w:rPr>
        <w:t>Stečajni</w:t>
      </w:r>
      <w:r w:rsidR="00DF0F9D" w:rsidRPr="00110B5F">
        <w:rPr>
          <w:sz w:val="24"/>
          <w:szCs w:val="24"/>
        </w:rPr>
        <w:t xml:space="preserve"> upravitelj čita pr</w:t>
      </w:r>
      <w:r w:rsidRPr="00110B5F">
        <w:rPr>
          <w:sz w:val="24"/>
          <w:szCs w:val="24"/>
        </w:rPr>
        <w:t>ijavljene</w:t>
      </w:r>
      <w:r w:rsidR="00150D16" w:rsidRPr="00110B5F">
        <w:rPr>
          <w:sz w:val="24"/>
          <w:szCs w:val="24"/>
        </w:rPr>
        <w:t xml:space="preserve"> tražbine vjerovnika</w:t>
      </w:r>
      <w:r w:rsidR="001953DB" w:rsidRPr="00110B5F">
        <w:rPr>
          <w:sz w:val="24"/>
          <w:szCs w:val="24"/>
        </w:rPr>
        <w:t xml:space="preserve"> </w:t>
      </w:r>
      <w:r w:rsidR="000457CD" w:rsidRPr="00110B5F">
        <w:rPr>
          <w:sz w:val="24"/>
          <w:szCs w:val="24"/>
        </w:rPr>
        <w:t xml:space="preserve">II. </w:t>
      </w:r>
      <w:r w:rsidR="00DF0F9D" w:rsidRPr="00110B5F">
        <w:rPr>
          <w:sz w:val="24"/>
          <w:szCs w:val="24"/>
        </w:rPr>
        <w:t>višeg isplatnog reda</w:t>
      </w:r>
      <w:r w:rsidR="007762AC" w:rsidRPr="00110B5F">
        <w:rPr>
          <w:sz w:val="24"/>
          <w:szCs w:val="24"/>
        </w:rPr>
        <w:t>.</w:t>
      </w:r>
    </w:p>
    <w:p w:rsidRDefault="007762AC" w:rsidP="00C62C16" w:rsidR="007762AC" w:rsidRPr="00110B5F">
      <w:pPr>
        <w:ind w:firstLine="360"/>
        <w:jc w:val="both"/>
        <w:rPr>
          <w:sz w:val="24"/>
          <w:szCs w:val="24"/>
        </w:rPr>
      </w:pPr>
    </w:p>
    <w:p w:rsidRDefault="007762AC" w:rsidP="006C618A" w:rsidR="00F53451" w:rsidRPr="00110B5F">
      <w:pPr>
        <w:ind w:firstLine="360"/>
        <w:jc w:val="both"/>
        <w:rPr>
          <w:sz w:val="24"/>
          <w:szCs w:val="24"/>
        </w:rPr>
      </w:pPr>
      <w:r w:rsidRPr="00110B5F">
        <w:rPr>
          <w:sz w:val="24"/>
          <w:szCs w:val="24"/>
        </w:rPr>
        <w:t>Stečajni upravitelj priznaje sljedeće prijavljene tražbine vjerovnika</w:t>
      </w:r>
      <w:r w:rsidR="00EA2E04" w:rsidRPr="00110B5F">
        <w:rPr>
          <w:sz w:val="24"/>
          <w:szCs w:val="24"/>
        </w:rPr>
        <w:t xml:space="preserve"> </w:t>
      </w:r>
      <w:r w:rsidR="000457CD" w:rsidRPr="00110B5F">
        <w:rPr>
          <w:sz w:val="24"/>
          <w:szCs w:val="24"/>
        </w:rPr>
        <w:t xml:space="preserve">II. </w:t>
      </w:r>
      <w:r w:rsidRPr="00110B5F">
        <w:rPr>
          <w:sz w:val="24"/>
          <w:szCs w:val="24"/>
        </w:rPr>
        <w:t>višeg isplatnog reda upisane u tablici :</w:t>
      </w:r>
    </w:p>
    <w:p w:rsidRDefault="006C618A" w:rsidP="006C618A" w:rsidR="006C618A" w:rsidRPr="00110B5F">
      <w:pPr>
        <w:ind w:firstLine="360"/>
        <w:jc w:val="both"/>
        <w:rPr>
          <w:sz w:val="24"/>
          <w:szCs w:val="24"/>
        </w:rPr>
      </w:pPr>
    </w:p>
    <w:p w:rsidRDefault="006C618A" w:rsidP="00C947C4" w:rsidR="006C618A" w:rsidRPr="00110B5F">
      <w:pPr>
        <w:jc w:val="both"/>
        <w:rPr>
          <w:sz w:val="24"/>
          <w:szCs w:val="24"/>
        </w:rPr>
      </w:pPr>
    </w:p>
    <w:p w:rsidRDefault="00C947C4" w:rsidP="00C947C4" w:rsidR="00C947C4" w:rsidRPr="00110B5F">
      <w:pPr>
        <w:jc w:val="both"/>
        <w:rPr>
          <w:sz w:val="24"/>
          <w:szCs w:val="24"/>
        </w:rPr>
        <w:sectPr w:rsidSect="00F53451" w:rsidR="00C947C4" w:rsidRPr="00110B5F">
          <w:headerReference w:type="even" r:id="rId11"/>
          <w:headerReference w:type="default" r:id="rId12"/>
          <w:headerReference w:type="first" r:id="rId13"/>
          <w:pgSz w:h="15840" w:w="12240"/>
          <w:pgMar w:gutter="0" w:footer="709" w:header="709" w:left="1418" w:bottom="958" w:right="1418" w:top="567"/>
          <w:cols w:space="708"/>
          <w:titlePg/>
          <w:docGrid w:linePitch="360"/>
        </w:sectPr>
      </w:pPr>
    </w:p>
    <w:p w:rsidRDefault="00F53451" w:rsidP="00C62C16" w:rsidR="00F53451" w:rsidRPr="00110B5F">
      <w:pPr>
        <w:jc w:val="both"/>
        <w:rPr>
          <w:sz w:val="24"/>
          <w:szCs w:val="24"/>
        </w:rPr>
      </w:pPr>
    </w:p>
    <w:p w:rsidRDefault="006C618A" w:rsidP="00C62C16" w:rsidR="006C618A" w:rsidRPr="00110B5F">
      <w:pPr>
        <w:jc w:val="both"/>
        <w:rPr>
          <w:sz w:val="24"/>
          <w:szCs w:val="24"/>
        </w:rPr>
      </w:pPr>
      <w:r w:rsidRPr="00110B5F">
        <w:rPr>
          <w:sz w:val="24"/>
          <w:szCs w:val="24"/>
        </w:rPr>
        <w:t xml:space="preserve">II. viši isplatni red: </w:t>
      </w:r>
    </w:p>
    <w:p w:rsidRDefault="006C618A" w:rsidP="006C618A" w:rsidR="006C618A" w:rsidRPr="00110B5F">
      <w:pPr>
        <w:jc w:val="both"/>
        <w:rPr>
          <w:sz w:val="24"/>
          <w:szCs w:val="24"/>
        </w:rPr>
      </w:pPr>
    </w:p>
    <w:tbl>
      <w:tblPr>
        <w:tblW w:type="pct" w:w="5000"/>
        <w:tblLook w:val="04A0" w:noVBand="1" w:noHBand="0" w:lastColumn="0" w:firstColumn="1" w:lastRow="0" w:firstRow="1"/>
      </w:tblPr>
      <w:tblGrid>
        <w:gridCol w:w="659"/>
        <w:gridCol w:w="1508"/>
        <w:gridCol w:w="1171"/>
        <w:gridCol w:w="1701"/>
        <w:gridCol w:w="1214"/>
        <w:gridCol w:w="1624"/>
        <w:gridCol w:w="1214"/>
        <w:gridCol w:w="1624"/>
        <w:gridCol w:w="1127"/>
        <w:gridCol w:w="1132"/>
        <w:gridCol w:w="1557"/>
      </w:tblGrid>
      <w:tr w:rsidTr="00C947C4" w:rsidR="00C947C4" w:rsidRPr="00110B5F">
        <w:trPr>
          <w:trHeight w:val="330"/>
        </w:trPr>
        <w:tc>
          <w:tcPr>
            <w:tcW w:type="pct" w:w="1106"/>
            <w:gridSpan w:val="3"/>
            <w:tcBorders>
              <w:top w:val="nil"/>
              <w:left w:val="nil"/>
              <w:bottom w:val="nil"/>
              <w:right w:val="nil"/>
            </w:tcBorders>
            <w:shd w:fill="auto" w:color="auto" w:val="clear"/>
            <w:noWrap/>
            <w:vAlign w:val="center"/>
            <w:hideMark/>
          </w:tcPr>
          <w:p w:rsidRDefault="00C947C4" w:rsidP="00C947C4" w:rsidR="00C947C4" w:rsidRPr="00C947C4">
            <w:pPr>
              <w:overflowPunct/>
              <w:autoSpaceDE/>
              <w:autoSpaceDN/>
              <w:adjustRightInd/>
              <w:textAlignment w:val="auto"/>
              <w:rPr>
                <w:b/>
                <w:bCs/>
                <w:color w:val="000000"/>
                <w:sz w:val="24"/>
                <w:szCs w:val="24"/>
              </w:rPr>
            </w:pPr>
          </w:p>
        </w:tc>
        <w:tc>
          <w:tcPr>
            <w:tcW w:type="pct" w:w="615"/>
            <w:tcBorders>
              <w:top w:val="nil"/>
              <w:left w:val="nil"/>
              <w:bottom w:val="nil"/>
              <w:right w:val="nil"/>
            </w:tcBorders>
            <w:shd w:fill="auto" w:color="auto" w:val="clear"/>
            <w:noWrap/>
            <w:vAlign w:val="bottom"/>
            <w:hideMark/>
          </w:tcPr>
          <w:p w:rsidRDefault="00C947C4" w:rsidP="00C947C4" w:rsidR="00C947C4" w:rsidRPr="00C947C4">
            <w:pPr>
              <w:overflowPunct/>
              <w:autoSpaceDE/>
              <w:autoSpaceDN/>
              <w:adjustRightInd/>
              <w:textAlignment w:val="auto"/>
              <w:rPr>
                <w:color w:val="000000"/>
                <w:sz w:val="24"/>
                <w:szCs w:val="24"/>
              </w:rPr>
            </w:pPr>
          </w:p>
        </w:tc>
        <w:tc>
          <w:tcPr>
            <w:tcW w:type="pct" w:w="421"/>
            <w:tcBorders>
              <w:top w:val="nil"/>
              <w:left w:val="nil"/>
              <w:bottom w:val="nil"/>
              <w:right w:val="nil"/>
            </w:tcBorders>
            <w:shd w:fill="auto" w:color="auto" w:val="clear"/>
            <w:noWrap/>
            <w:vAlign w:val="bottom"/>
            <w:hideMark/>
          </w:tcPr>
          <w:p w:rsidRDefault="00C947C4" w:rsidP="00C947C4" w:rsidR="00C947C4" w:rsidRPr="00C947C4">
            <w:pPr>
              <w:overflowPunct/>
              <w:autoSpaceDE/>
              <w:autoSpaceDN/>
              <w:adjustRightInd/>
              <w:textAlignment w:val="auto"/>
              <w:rPr>
                <w:color w:val="000000"/>
                <w:sz w:val="24"/>
                <w:szCs w:val="24"/>
              </w:rPr>
            </w:pPr>
          </w:p>
        </w:tc>
        <w:tc>
          <w:tcPr>
            <w:tcW w:type="pct" w:w="552"/>
            <w:tcBorders>
              <w:top w:val="nil"/>
              <w:left w:val="nil"/>
              <w:bottom w:val="nil"/>
              <w:right w:val="nil"/>
            </w:tcBorders>
            <w:shd w:fill="auto" w:color="auto" w:val="clear"/>
            <w:noWrap/>
            <w:vAlign w:val="bottom"/>
            <w:hideMark/>
          </w:tcPr>
          <w:p w:rsidRDefault="00C947C4" w:rsidP="00C947C4" w:rsidR="00C947C4" w:rsidRPr="00C947C4">
            <w:pPr>
              <w:overflowPunct/>
              <w:autoSpaceDE/>
              <w:autoSpaceDN/>
              <w:adjustRightInd/>
              <w:textAlignment w:val="auto"/>
              <w:rPr>
                <w:color w:val="000000"/>
                <w:sz w:val="24"/>
                <w:szCs w:val="24"/>
              </w:rPr>
            </w:pPr>
          </w:p>
        </w:tc>
        <w:tc>
          <w:tcPr>
            <w:tcW w:type="pct" w:w="421"/>
            <w:tcBorders>
              <w:top w:val="nil"/>
              <w:left w:val="nil"/>
              <w:bottom w:val="nil"/>
              <w:right w:val="nil"/>
            </w:tcBorders>
            <w:shd w:fill="auto" w:color="auto" w:val="clear"/>
            <w:noWrap/>
            <w:vAlign w:val="bottom"/>
            <w:hideMark/>
          </w:tcPr>
          <w:p w:rsidRDefault="00C947C4" w:rsidP="00C947C4" w:rsidR="00C947C4" w:rsidRPr="00C947C4">
            <w:pPr>
              <w:overflowPunct/>
              <w:autoSpaceDE/>
              <w:autoSpaceDN/>
              <w:adjustRightInd/>
              <w:textAlignment w:val="auto"/>
              <w:rPr>
                <w:color w:val="000000"/>
                <w:sz w:val="24"/>
                <w:szCs w:val="24"/>
              </w:rPr>
            </w:pPr>
          </w:p>
        </w:tc>
        <w:tc>
          <w:tcPr>
            <w:tcW w:type="pct" w:w="552"/>
            <w:tcBorders>
              <w:top w:val="nil"/>
              <w:left w:val="nil"/>
              <w:bottom w:val="nil"/>
              <w:right w:val="nil"/>
            </w:tcBorders>
            <w:shd w:fill="auto" w:color="auto" w:val="clear"/>
            <w:noWrap/>
            <w:vAlign w:val="bottom"/>
            <w:hideMark/>
          </w:tcPr>
          <w:p w:rsidRDefault="00C947C4" w:rsidP="00C947C4" w:rsidR="00C947C4" w:rsidRPr="00C947C4">
            <w:pPr>
              <w:overflowPunct/>
              <w:autoSpaceDE/>
              <w:autoSpaceDN/>
              <w:adjustRightInd/>
              <w:textAlignment w:val="auto"/>
              <w:rPr>
                <w:color w:val="000000"/>
                <w:sz w:val="24"/>
                <w:szCs w:val="24"/>
              </w:rPr>
            </w:pPr>
          </w:p>
        </w:tc>
        <w:tc>
          <w:tcPr>
            <w:tcW w:type="pct" w:w="389"/>
            <w:tcBorders>
              <w:top w:val="nil"/>
              <w:left w:val="nil"/>
              <w:bottom w:val="nil"/>
              <w:right w:val="nil"/>
            </w:tcBorders>
            <w:shd w:fill="auto" w:color="auto" w:val="clear"/>
            <w:noWrap/>
            <w:vAlign w:val="bottom"/>
            <w:hideMark/>
          </w:tcPr>
          <w:p w:rsidRDefault="00C947C4" w:rsidP="00C947C4" w:rsidR="00C947C4" w:rsidRPr="00C947C4">
            <w:pPr>
              <w:overflowPunct/>
              <w:autoSpaceDE/>
              <w:autoSpaceDN/>
              <w:adjustRightInd/>
              <w:textAlignment w:val="auto"/>
              <w:rPr>
                <w:color w:val="000000"/>
                <w:sz w:val="24"/>
                <w:szCs w:val="24"/>
              </w:rPr>
            </w:pPr>
          </w:p>
        </w:tc>
        <w:tc>
          <w:tcPr>
            <w:tcW w:type="pct" w:w="393"/>
            <w:tcBorders>
              <w:top w:val="nil"/>
              <w:left w:val="nil"/>
              <w:bottom w:val="nil"/>
              <w:right w:val="nil"/>
            </w:tcBorders>
            <w:shd w:fill="auto" w:color="auto" w:val="clear"/>
            <w:noWrap/>
            <w:vAlign w:val="bottom"/>
            <w:hideMark/>
          </w:tcPr>
          <w:p w:rsidRDefault="00C947C4" w:rsidP="00C947C4" w:rsidR="00C947C4" w:rsidRPr="00C947C4">
            <w:pPr>
              <w:overflowPunct/>
              <w:autoSpaceDE/>
              <w:autoSpaceDN/>
              <w:adjustRightInd/>
              <w:textAlignment w:val="auto"/>
              <w:rPr>
                <w:color w:val="000000"/>
                <w:sz w:val="24"/>
                <w:szCs w:val="24"/>
              </w:rPr>
            </w:pPr>
          </w:p>
        </w:tc>
        <w:tc>
          <w:tcPr>
            <w:tcW w:type="pct" w:w="552"/>
            <w:tcBorders>
              <w:top w:val="nil"/>
              <w:left w:val="nil"/>
              <w:bottom w:val="nil"/>
              <w:right w:val="nil"/>
            </w:tcBorders>
            <w:shd w:fill="auto" w:color="auto" w:val="clear"/>
            <w:noWrap/>
            <w:vAlign w:val="bottom"/>
            <w:hideMark/>
          </w:tcPr>
          <w:p w:rsidRDefault="00C947C4" w:rsidP="00C947C4" w:rsidR="00C947C4" w:rsidRPr="00C947C4">
            <w:pPr>
              <w:overflowPunct/>
              <w:autoSpaceDE/>
              <w:autoSpaceDN/>
              <w:adjustRightInd/>
              <w:textAlignment w:val="auto"/>
              <w:rPr>
                <w:color w:val="000000"/>
                <w:sz w:val="24"/>
                <w:szCs w:val="24"/>
              </w:rPr>
            </w:pPr>
          </w:p>
        </w:tc>
      </w:tr>
      <w:tr w:rsidTr="00C947C4" w:rsidR="00C947C4" w:rsidRPr="00110B5F">
        <w:trPr>
          <w:trHeight w:val="315"/>
        </w:trPr>
        <w:tc>
          <w:tcPr>
            <w:tcW w:type="pct" w:w="217"/>
            <w:vMerge w:val="restart"/>
            <w:tcBorders>
              <w:top w:space="0" w:sz="8" w:color="auto" w:val="single"/>
              <w:left w:space="0" w:sz="8" w:color="auto" w:val="single"/>
              <w:bottom w:space="0" w:sz="4" w:color="auto" w:val="single"/>
              <w:right w:space="0" w:sz="4" w:color="auto" w:val="single"/>
            </w:tcBorders>
            <w:shd w:fill="auto" w:color="auto" w:val="clear"/>
            <w:vAlign w:val="center"/>
            <w:hideMark/>
          </w:tcPr>
          <w:p w:rsidRDefault="00C947C4" w:rsidP="00C947C4" w:rsidR="00C947C4" w:rsidRPr="00C947C4">
            <w:pPr>
              <w:overflowPunct/>
              <w:autoSpaceDE/>
              <w:autoSpaceDN/>
              <w:adjustRightInd/>
              <w:jc w:val="center"/>
              <w:textAlignment w:val="auto"/>
              <w:rPr>
                <w:b/>
                <w:bCs/>
                <w:color w:val="000000"/>
                <w:sz w:val="24"/>
                <w:szCs w:val="24"/>
              </w:rPr>
            </w:pPr>
            <w:r w:rsidRPr="00C947C4">
              <w:rPr>
                <w:b/>
                <w:bCs/>
                <w:color w:val="000000"/>
                <w:sz w:val="24"/>
                <w:szCs w:val="24"/>
              </w:rPr>
              <w:t>Redni broj</w:t>
            </w:r>
          </w:p>
        </w:tc>
        <w:tc>
          <w:tcPr>
            <w:tcW w:type="pct" w:w="483"/>
            <w:vMerge w:val="restart"/>
            <w:tcBorders>
              <w:top w:space="0" w:sz="8" w:color="auto" w:val="single"/>
              <w:left w:space="0" w:sz="4" w:color="auto" w:val="single"/>
              <w:bottom w:space="0" w:sz="4" w:color="auto" w:val="single"/>
              <w:right w:space="0" w:sz="4" w:color="auto" w:val="single"/>
            </w:tcBorders>
            <w:shd w:fill="auto" w:color="auto" w:val="clear"/>
            <w:vAlign w:val="center"/>
            <w:hideMark/>
          </w:tcPr>
          <w:p w:rsidRDefault="00C947C4" w:rsidP="00C947C4" w:rsidR="00C947C4" w:rsidRPr="00C947C4">
            <w:pPr>
              <w:overflowPunct/>
              <w:autoSpaceDE/>
              <w:autoSpaceDN/>
              <w:adjustRightInd/>
              <w:jc w:val="center"/>
              <w:textAlignment w:val="auto"/>
              <w:rPr>
                <w:b/>
                <w:bCs/>
                <w:color w:val="000000"/>
                <w:sz w:val="24"/>
                <w:szCs w:val="24"/>
              </w:rPr>
            </w:pPr>
            <w:r w:rsidRPr="00C947C4">
              <w:rPr>
                <w:b/>
                <w:bCs/>
                <w:color w:val="000000"/>
                <w:sz w:val="24"/>
                <w:szCs w:val="24"/>
              </w:rPr>
              <w:t>Ime i prezime / tvrtka ili naziv vjerovnika</w:t>
            </w:r>
          </w:p>
        </w:tc>
        <w:tc>
          <w:tcPr>
            <w:tcW w:type="pct" w:w="405"/>
            <w:vMerge w:val="restart"/>
            <w:tcBorders>
              <w:top w:space="0" w:sz="8" w:color="auto" w:val="single"/>
              <w:left w:space="0" w:sz="4" w:color="auto" w:val="single"/>
              <w:bottom w:space="0" w:sz="4" w:color="auto" w:val="single"/>
              <w:right w:space="0" w:sz="4" w:color="auto" w:val="single"/>
            </w:tcBorders>
            <w:shd w:fill="auto" w:color="auto" w:val="clear"/>
            <w:vAlign w:val="center"/>
            <w:hideMark/>
          </w:tcPr>
          <w:p w:rsidRDefault="00C947C4" w:rsidP="00C947C4" w:rsidR="00C947C4" w:rsidRPr="00C947C4">
            <w:pPr>
              <w:overflowPunct/>
              <w:autoSpaceDE/>
              <w:autoSpaceDN/>
              <w:adjustRightInd/>
              <w:jc w:val="center"/>
              <w:textAlignment w:val="auto"/>
              <w:rPr>
                <w:b/>
                <w:bCs/>
                <w:color w:val="000000"/>
                <w:sz w:val="24"/>
                <w:szCs w:val="24"/>
              </w:rPr>
            </w:pPr>
            <w:r w:rsidRPr="00C947C4">
              <w:rPr>
                <w:b/>
                <w:bCs/>
                <w:color w:val="000000"/>
                <w:sz w:val="24"/>
                <w:szCs w:val="24"/>
              </w:rPr>
              <w:t>OIB vjerovnika</w:t>
            </w:r>
          </w:p>
        </w:tc>
        <w:tc>
          <w:tcPr>
            <w:tcW w:type="pct" w:w="615"/>
            <w:vMerge w:val="restart"/>
            <w:tcBorders>
              <w:top w:space="0" w:sz="8" w:color="auto" w:val="single"/>
              <w:left w:space="0" w:sz="4" w:color="auto" w:val="single"/>
              <w:bottom w:space="0" w:sz="4" w:color="auto" w:val="single"/>
              <w:right w:space="0" w:sz="4" w:color="auto" w:val="single"/>
            </w:tcBorders>
            <w:shd w:fill="auto" w:color="auto" w:val="clear"/>
            <w:vAlign w:val="center"/>
            <w:hideMark/>
          </w:tcPr>
          <w:p w:rsidRDefault="00C947C4" w:rsidP="00C947C4" w:rsidR="00C947C4" w:rsidRPr="00C947C4">
            <w:pPr>
              <w:overflowPunct/>
              <w:autoSpaceDE/>
              <w:autoSpaceDN/>
              <w:adjustRightInd/>
              <w:jc w:val="center"/>
              <w:textAlignment w:val="auto"/>
              <w:rPr>
                <w:b/>
                <w:bCs/>
                <w:color w:val="000000"/>
                <w:sz w:val="24"/>
                <w:szCs w:val="24"/>
              </w:rPr>
            </w:pPr>
            <w:r w:rsidRPr="00C947C4">
              <w:rPr>
                <w:b/>
                <w:bCs/>
                <w:color w:val="000000"/>
                <w:sz w:val="24"/>
                <w:szCs w:val="24"/>
              </w:rPr>
              <w:t>Adresa / sjedište vjerovnika</w:t>
            </w:r>
          </w:p>
        </w:tc>
        <w:tc>
          <w:tcPr>
            <w:tcW w:type="pct" w:w="421"/>
            <w:vMerge w:val="restart"/>
            <w:tcBorders>
              <w:top w:space="0" w:sz="8" w:color="auto" w:val="single"/>
              <w:left w:space="0" w:sz="4" w:color="auto" w:val="single"/>
              <w:bottom w:space="0" w:sz="4" w:color="auto" w:val="single"/>
              <w:right w:space="0" w:sz="4" w:color="auto" w:val="single"/>
            </w:tcBorders>
            <w:shd w:fill="auto" w:color="auto" w:val="clear"/>
            <w:vAlign w:val="center"/>
            <w:hideMark/>
          </w:tcPr>
          <w:p w:rsidRDefault="00C947C4" w:rsidP="00C947C4" w:rsidR="00C947C4" w:rsidRPr="00C947C4">
            <w:pPr>
              <w:overflowPunct/>
              <w:autoSpaceDE/>
              <w:autoSpaceDN/>
              <w:adjustRightInd/>
              <w:jc w:val="center"/>
              <w:textAlignment w:val="auto"/>
              <w:rPr>
                <w:b/>
                <w:bCs/>
                <w:color w:val="000000"/>
                <w:sz w:val="24"/>
                <w:szCs w:val="24"/>
              </w:rPr>
            </w:pPr>
            <w:r w:rsidRPr="00C947C4">
              <w:rPr>
                <w:b/>
                <w:bCs/>
                <w:color w:val="000000"/>
                <w:sz w:val="24"/>
                <w:szCs w:val="24"/>
              </w:rPr>
              <w:t>Iznos prijavljene tražbine                                                  (kn)</w:t>
            </w:r>
          </w:p>
        </w:tc>
        <w:tc>
          <w:tcPr>
            <w:tcW w:type="pct" w:w="552"/>
            <w:vMerge w:val="restart"/>
            <w:tcBorders>
              <w:top w:space="0" w:sz="8" w:color="auto" w:val="single"/>
              <w:left w:space="0" w:sz="4" w:color="auto" w:val="single"/>
              <w:bottom w:space="0" w:sz="4" w:color="auto" w:val="single"/>
              <w:right w:space="0" w:sz="4" w:color="auto" w:val="single"/>
            </w:tcBorders>
            <w:shd w:fill="auto" w:color="auto" w:val="clear"/>
            <w:vAlign w:val="center"/>
            <w:hideMark/>
          </w:tcPr>
          <w:p w:rsidRDefault="00C947C4" w:rsidP="00C947C4" w:rsidR="00C947C4" w:rsidRPr="00C947C4">
            <w:pPr>
              <w:overflowPunct/>
              <w:autoSpaceDE/>
              <w:autoSpaceDN/>
              <w:adjustRightInd/>
              <w:jc w:val="center"/>
              <w:textAlignment w:val="auto"/>
              <w:rPr>
                <w:b/>
                <w:bCs/>
                <w:color w:val="000000"/>
                <w:sz w:val="24"/>
                <w:szCs w:val="24"/>
              </w:rPr>
            </w:pPr>
            <w:r w:rsidRPr="00C947C4">
              <w:rPr>
                <w:b/>
                <w:bCs/>
                <w:color w:val="000000"/>
                <w:sz w:val="24"/>
                <w:szCs w:val="24"/>
              </w:rPr>
              <w:t>Pravna osnova prijavljene tražbine</w:t>
            </w:r>
          </w:p>
        </w:tc>
        <w:tc>
          <w:tcPr>
            <w:tcW w:type="pct" w:w="421"/>
            <w:vMerge w:val="restart"/>
            <w:tcBorders>
              <w:top w:space="0" w:sz="8" w:color="auto" w:val="single"/>
              <w:left w:space="0" w:sz="4" w:color="auto" w:val="single"/>
              <w:bottom w:space="0" w:sz="4" w:color="auto" w:val="single"/>
              <w:right w:space="0" w:sz="4" w:color="auto" w:val="single"/>
            </w:tcBorders>
            <w:shd w:fill="auto" w:color="auto" w:val="clear"/>
            <w:vAlign w:val="center"/>
            <w:hideMark/>
          </w:tcPr>
          <w:p w:rsidRDefault="00C947C4" w:rsidP="00C947C4" w:rsidR="00C947C4" w:rsidRPr="00C947C4">
            <w:pPr>
              <w:overflowPunct/>
              <w:autoSpaceDE/>
              <w:autoSpaceDN/>
              <w:adjustRightInd/>
              <w:jc w:val="center"/>
              <w:textAlignment w:val="auto"/>
              <w:rPr>
                <w:b/>
                <w:bCs/>
                <w:color w:val="000000"/>
                <w:sz w:val="24"/>
                <w:szCs w:val="24"/>
              </w:rPr>
            </w:pPr>
            <w:r w:rsidRPr="00C947C4">
              <w:rPr>
                <w:b/>
                <w:bCs/>
                <w:color w:val="000000"/>
                <w:sz w:val="24"/>
                <w:szCs w:val="24"/>
              </w:rPr>
              <w:t>Iznos priznate tražbine                                 (kn)</w:t>
            </w:r>
          </w:p>
        </w:tc>
        <w:tc>
          <w:tcPr>
            <w:tcW w:type="pct" w:w="552"/>
            <w:vMerge w:val="restart"/>
            <w:tcBorders>
              <w:top w:space="0" w:sz="8" w:color="auto" w:val="single"/>
              <w:left w:space="0" w:sz="4" w:color="auto" w:val="single"/>
              <w:bottom w:space="0" w:sz="4" w:color="auto" w:val="single"/>
              <w:right w:space="0" w:sz="4" w:color="auto" w:val="single"/>
            </w:tcBorders>
            <w:shd w:fill="auto" w:color="auto" w:val="clear"/>
            <w:vAlign w:val="center"/>
            <w:hideMark/>
          </w:tcPr>
          <w:p w:rsidRDefault="00C947C4" w:rsidP="00C947C4" w:rsidR="00C947C4" w:rsidRPr="00C947C4">
            <w:pPr>
              <w:overflowPunct/>
              <w:autoSpaceDE/>
              <w:autoSpaceDN/>
              <w:adjustRightInd/>
              <w:jc w:val="center"/>
              <w:textAlignment w:val="auto"/>
              <w:rPr>
                <w:b/>
                <w:bCs/>
                <w:color w:val="000000"/>
                <w:sz w:val="24"/>
                <w:szCs w:val="24"/>
              </w:rPr>
            </w:pPr>
            <w:r w:rsidRPr="00C947C4">
              <w:rPr>
                <w:b/>
                <w:bCs/>
                <w:color w:val="000000"/>
                <w:sz w:val="24"/>
                <w:szCs w:val="24"/>
              </w:rPr>
              <w:t>Pravna osnova priznate tražbine</w:t>
            </w:r>
          </w:p>
        </w:tc>
        <w:tc>
          <w:tcPr>
            <w:tcW w:type="pct" w:w="389"/>
            <w:vMerge w:val="restart"/>
            <w:tcBorders>
              <w:top w:space="0" w:sz="8" w:color="auto" w:val="single"/>
              <w:left w:space="0" w:sz="4" w:color="auto" w:val="single"/>
              <w:bottom w:space="0" w:sz="4" w:color="auto" w:val="single"/>
              <w:right w:space="0" w:sz="4" w:color="auto" w:val="single"/>
            </w:tcBorders>
            <w:shd w:fill="auto" w:color="auto" w:val="clear"/>
            <w:vAlign w:val="center"/>
            <w:hideMark/>
          </w:tcPr>
          <w:p w:rsidRDefault="00C947C4" w:rsidP="00C947C4" w:rsidR="00C947C4" w:rsidRPr="00C947C4">
            <w:pPr>
              <w:overflowPunct/>
              <w:autoSpaceDE/>
              <w:autoSpaceDN/>
              <w:adjustRightInd/>
              <w:jc w:val="center"/>
              <w:textAlignment w:val="auto"/>
              <w:rPr>
                <w:b/>
                <w:bCs/>
                <w:color w:val="000000"/>
                <w:sz w:val="24"/>
                <w:szCs w:val="24"/>
              </w:rPr>
            </w:pPr>
            <w:r w:rsidRPr="00C947C4">
              <w:rPr>
                <w:b/>
                <w:bCs/>
                <w:color w:val="000000"/>
                <w:sz w:val="24"/>
                <w:szCs w:val="24"/>
              </w:rPr>
              <w:t>Iznos osporene tražbine                                 (kn)</w:t>
            </w:r>
          </w:p>
        </w:tc>
        <w:tc>
          <w:tcPr>
            <w:tcW w:type="pct" w:w="393"/>
            <w:vMerge w:val="restart"/>
            <w:tcBorders>
              <w:top w:space="0" w:sz="8" w:color="auto" w:val="single"/>
              <w:left w:space="0" w:sz="4" w:color="auto" w:val="single"/>
              <w:bottom w:space="0" w:sz="4" w:color="auto" w:val="single"/>
              <w:right w:space="0" w:sz="4" w:color="auto" w:val="single"/>
            </w:tcBorders>
            <w:shd w:fill="auto" w:color="auto" w:val="clear"/>
            <w:vAlign w:val="center"/>
            <w:hideMark/>
          </w:tcPr>
          <w:p w:rsidRDefault="00C947C4" w:rsidP="00C947C4" w:rsidR="00C947C4" w:rsidRPr="00C947C4">
            <w:pPr>
              <w:overflowPunct/>
              <w:autoSpaceDE/>
              <w:autoSpaceDN/>
              <w:adjustRightInd/>
              <w:jc w:val="center"/>
              <w:textAlignment w:val="auto"/>
              <w:rPr>
                <w:b/>
                <w:bCs/>
                <w:color w:val="000000"/>
                <w:sz w:val="24"/>
                <w:szCs w:val="24"/>
              </w:rPr>
            </w:pPr>
            <w:r w:rsidRPr="00C947C4">
              <w:rPr>
                <w:b/>
                <w:bCs/>
                <w:color w:val="000000"/>
                <w:sz w:val="24"/>
                <w:szCs w:val="24"/>
              </w:rPr>
              <w:t>Razlog osporavanja tražbine</w:t>
            </w:r>
          </w:p>
        </w:tc>
        <w:tc>
          <w:tcPr>
            <w:tcW w:type="pct" w:w="552"/>
            <w:vMerge w:val="restart"/>
            <w:tcBorders>
              <w:top w:space="0" w:sz="8" w:color="auto" w:val="single"/>
              <w:left w:space="0" w:sz="4" w:color="auto" w:val="single"/>
              <w:bottom w:space="0" w:sz="4" w:color="auto" w:val="single"/>
              <w:right w:space="0" w:sz="8" w:color="auto" w:val="single"/>
            </w:tcBorders>
            <w:shd w:fill="auto" w:color="auto" w:val="clear"/>
            <w:vAlign w:val="center"/>
            <w:hideMark/>
          </w:tcPr>
          <w:p w:rsidRDefault="00C947C4" w:rsidP="00C947C4" w:rsidR="00C947C4" w:rsidRPr="00C947C4">
            <w:pPr>
              <w:overflowPunct/>
              <w:autoSpaceDE/>
              <w:autoSpaceDN/>
              <w:adjustRightInd/>
              <w:jc w:val="center"/>
              <w:textAlignment w:val="auto"/>
              <w:rPr>
                <w:b/>
                <w:bCs/>
                <w:color w:val="000000"/>
                <w:sz w:val="24"/>
                <w:szCs w:val="24"/>
              </w:rPr>
            </w:pPr>
            <w:r w:rsidRPr="00C947C4">
              <w:rPr>
                <w:b/>
                <w:bCs/>
                <w:color w:val="000000"/>
                <w:sz w:val="24"/>
                <w:szCs w:val="24"/>
              </w:rPr>
              <w:t>Oznaka ovršne isprave ako se tražbina zasniva na ovršnoj ispravi</w:t>
            </w:r>
          </w:p>
        </w:tc>
      </w:tr>
      <w:tr w:rsidTr="00C947C4" w:rsidR="00C947C4" w:rsidRPr="00110B5F">
        <w:trPr>
          <w:trHeight w:val="315"/>
        </w:trPr>
        <w:tc>
          <w:tcPr>
            <w:tcW w:type="pct" w:w="217"/>
            <w:vMerge/>
            <w:tcBorders>
              <w:top w:space="0" w:sz="8" w:color="auto" w:val="single"/>
              <w:left w:space="0" w:sz="8" w:color="auto" w:val="single"/>
              <w:bottom w:space="0" w:sz="4" w:color="auto" w:val="single"/>
              <w:right w:space="0" w:sz="4" w:color="auto" w:val="single"/>
            </w:tcBorders>
            <w:vAlign w:val="center"/>
            <w:hideMark/>
          </w:tcPr>
          <w:p w:rsidRDefault="00C947C4" w:rsidP="00C947C4" w:rsidR="00C947C4" w:rsidRPr="00C947C4">
            <w:pPr>
              <w:overflowPunct/>
              <w:autoSpaceDE/>
              <w:autoSpaceDN/>
              <w:adjustRightInd/>
              <w:textAlignment w:val="auto"/>
              <w:rPr>
                <w:b/>
                <w:bCs/>
                <w:color w:val="000000"/>
                <w:sz w:val="24"/>
                <w:szCs w:val="24"/>
              </w:rPr>
            </w:pPr>
          </w:p>
        </w:tc>
        <w:tc>
          <w:tcPr>
            <w:tcW w:type="pct" w:w="483"/>
            <w:vMerge/>
            <w:tcBorders>
              <w:top w:space="0" w:sz="8" w:color="auto" w:val="single"/>
              <w:left w:space="0" w:sz="4" w:color="auto" w:val="single"/>
              <w:bottom w:space="0" w:sz="4" w:color="auto" w:val="single"/>
              <w:right w:space="0" w:sz="4" w:color="auto" w:val="single"/>
            </w:tcBorders>
            <w:vAlign w:val="center"/>
            <w:hideMark/>
          </w:tcPr>
          <w:p w:rsidRDefault="00C947C4" w:rsidP="00C947C4" w:rsidR="00C947C4" w:rsidRPr="00C947C4">
            <w:pPr>
              <w:overflowPunct/>
              <w:autoSpaceDE/>
              <w:autoSpaceDN/>
              <w:adjustRightInd/>
              <w:textAlignment w:val="auto"/>
              <w:rPr>
                <w:b/>
                <w:bCs/>
                <w:color w:val="000000"/>
                <w:sz w:val="24"/>
                <w:szCs w:val="24"/>
              </w:rPr>
            </w:pPr>
          </w:p>
        </w:tc>
        <w:tc>
          <w:tcPr>
            <w:tcW w:type="pct" w:w="405"/>
            <w:vMerge/>
            <w:tcBorders>
              <w:top w:space="0" w:sz="8" w:color="auto" w:val="single"/>
              <w:left w:space="0" w:sz="4" w:color="auto" w:val="single"/>
              <w:bottom w:space="0" w:sz="4" w:color="auto" w:val="single"/>
              <w:right w:space="0" w:sz="4" w:color="auto" w:val="single"/>
            </w:tcBorders>
            <w:vAlign w:val="center"/>
            <w:hideMark/>
          </w:tcPr>
          <w:p w:rsidRDefault="00C947C4" w:rsidP="00C947C4" w:rsidR="00C947C4" w:rsidRPr="00C947C4">
            <w:pPr>
              <w:overflowPunct/>
              <w:autoSpaceDE/>
              <w:autoSpaceDN/>
              <w:adjustRightInd/>
              <w:textAlignment w:val="auto"/>
              <w:rPr>
                <w:b/>
                <w:bCs/>
                <w:color w:val="000000"/>
                <w:sz w:val="24"/>
                <w:szCs w:val="24"/>
              </w:rPr>
            </w:pPr>
          </w:p>
        </w:tc>
        <w:tc>
          <w:tcPr>
            <w:tcW w:type="pct" w:w="615"/>
            <w:vMerge/>
            <w:tcBorders>
              <w:top w:space="0" w:sz="8" w:color="auto" w:val="single"/>
              <w:left w:space="0" w:sz="4" w:color="auto" w:val="single"/>
              <w:bottom w:space="0" w:sz="4" w:color="auto" w:val="single"/>
              <w:right w:space="0" w:sz="4" w:color="auto" w:val="single"/>
            </w:tcBorders>
            <w:vAlign w:val="center"/>
            <w:hideMark/>
          </w:tcPr>
          <w:p w:rsidRDefault="00C947C4" w:rsidP="00C947C4" w:rsidR="00C947C4" w:rsidRPr="00C947C4">
            <w:pPr>
              <w:overflowPunct/>
              <w:autoSpaceDE/>
              <w:autoSpaceDN/>
              <w:adjustRightInd/>
              <w:textAlignment w:val="auto"/>
              <w:rPr>
                <w:b/>
                <w:bCs/>
                <w:color w:val="000000"/>
                <w:sz w:val="24"/>
                <w:szCs w:val="24"/>
              </w:rPr>
            </w:pPr>
          </w:p>
        </w:tc>
        <w:tc>
          <w:tcPr>
            <w:tcW w:type="pct" w:w="421"/>
            <w:vMerge/>
            <w:tcBorders>
              <w:top w:space="0" w:sz="8" w:color="auto" w:val="single"/>
              <w:left w:space="0" w:sz="4" w:color="auto" w:val="single"/>
              <w:bottom w:space="0" w:sz="4" w:color="auto" w:val="single"/>
              <w:right w:space="0" w:sz="4" w:color="auto" w:val="single"/>
            </w:tcBorders>
            <w:vAlign w:val="center"/>
            <w:hideMark/>
          </w:tcPr>
          <w:p w:rsidRDefault="00C947C4" w:rsidP="00C947C4" w:rsidR="00C947C4" w:rsidRPr="00C947C4">
            <w:pPr>
              <w:overflowPunct/>
              <w:autoSpaceDE/>
              <w:autoSpaceDN/>
              <w:adjustRightInd/>
              <w:textAlignment w:val="auto"/>
              <w:rPr>
                <w:b/>
                <w:bCs/>
                <w:color w:val="000000"/>
                <w:sz w:val="24"/>
                <w:szCs w:val="24"/>
              </w:rPr>
            </w:pPr>
          </w:p>
        </w:tc>
        <w:tc>
          <w:tcPr>
            <w:tcW w:type="pct" w:w="552"/>
            <w:vMerge/>
            <w:tcBorders>
              <w:top w:space="0" w:sz="8" w:color="auto" w:val="single"/>
              <w:left w:space="0" w:sz="4" w:color="auto" w:val="single"/>
              <w:bottom w:space="0" w:sz="4" w:color="auto" w:val="single"/>
              <w:right w:space="0" w:sz="4" w:color="auto" w:val="single"/>
            </w:tcBorders>
            <w:vAlign w:val="center"/>
            <w:hideMark/>
          </w:tcPr>
          <w:p w:rsidRDefault="00C947C4" w:rsidP="00C947C4" w:rsidR="00C947C4" w:rsidRPr="00C947C4">
            <w:pPr>
              <w:overflowPunct/>
              <w:autoSpaceDE/>
              <w:autoSpaceDN/>
              <w:adjustRightInd/>
              <w:textAlignment w:val="auto"/>
              <w:rPr>
                <w:b/>
                <w:bCs/>
                <w:color w:val="000000"/>
                <w:sz w:val="24"/>
                <w:szCs w:val="24"/>
              </w:rPr>
            </w:pPr>
          </w:p>
        </w:tc>
        <w:tc>
          <w:tcPr>
            <w:tcW w:type="pct" w:w="421"/>
            <w:vMerge/>
            <w:tcBorders>
              <w:top w:space="0" w:sz="8" w:color="auto" w:val="single"/>
              <w:left w:space="0" w:sz="4" w:color="auto" w:val="single"/>
              <w:bottom w:space="0" w:sz="4" w:color="auto" w:val="single"/>
              <w:right w:space="0" w:sz="4" w:color="auto" w:val="single"/>
            </w:tcBorders>
            <w:vAlign w:val="center"/>
            <w:hideMark/>
          </w:tcPr>
          <w:p w:rsidRDefault="00C947C4" w:rsidP="00C947C4" w:rsidR="00C947C4" w:rsidRPr="00C947C4">
            <w:pPr>
              <w:overflowPunct/>
              <w:autoSpaceDE/>
              <w:autoSpaceDN/>
              <w:adjustRightInd/>
              <w:textAlignment w:val="auto"/>
              <w:rPr>
                <w:b/>
                <w:bCs/>
                <w:color w:val="000000"/>
                <w:sz w:val="24"/>
                <w:szCs w:val="24"/>
              </w:rPr>
            </w:pPr>
          </w:p>
        </w:tc>
        <w:tc>
          <w:tcPr>
            <w:tcW w:type="pct" w:w="552"/>
            <w:vMerge/>
            <w:tcBorders>
              <w:top w:space="0" w:sz="8" w:color="auto" w:val="single"/>
              <w:left w:space="0" w:sz="4" w:color="auto" w:val="single"/>
              <w:bottom w:space="0" w:sz="4" w:color="auto" w:val="single"/>
              <w:right w:space="0" w:sz="4" w:color="auto" w:val="single"/>
            </w:tcBorders>
            <w:vAlign w:val="center"/>
            <w:hideMark/>
          </w:tcPr>
          <w:p w:rsidRDefault="00C947C4" w:rsidP="00C947C4" w:rsidR="00C947C4" w:rsidRPr="00C947C4">
            <w:pPr>
              <w:overflowPunct/>
              <w:autoSpaceDE/>
              <w:autoSpaceDN/>
              <w:adjustRightInd/>
              <w:textAlignment w:val="auto"/>
              <w:rPr>
                <w:b/>
                <w:bCs/>
                <w:color w:val="000000"/>
                <w:sz w:val="24"/>
                <w:szCs w:val="24"/>
              </w:rPr>
            </w:pPr>
          </w:p>
        </w:tc>
        <w:tc>
          <w:tcPr>
            <w:tcW w:type="pct" w:w="389"/>
            <w:vMerge/>
            <w:tcBorders>
              <w:top w:space="0" w:sz="8" w:color="auto" w:val="single"/>
              <w:left w:space="0" w:sz="4" w:color="auto" w:val="single"/>
              <w:bottom w:space="0" w:sz="4" w:color="auto" w:val="single"/>
              <w:right w:space="0" w:sz="4" w:color="auto" w:val="single"/>
            </w:tcBorders>
            <w:vAlign w:val="center"/>
            <w:hideMark/>
          </w:tcPr>
          <w:p w:rsidRDefault="00C947C4" w:rsidP="00C947C4" w:rsidR="00C947C4" w:rsidRPr="00C947C4">
            <w:pPr>
              <w:overflowPunct/>
              <w:autoSpaceDE/>
              <w:autoSpaceDN/>
              <w:adjustRightInd/>
              <w:textAlignment w:val="auto"/>
              <w:rPr>
                <w:b/>
                <w:bCs/>
                <w:color w:val="000000"/>
                <w:sz w:val="24"/>
                <w:szCs w:val="24"/>
              </w:rPr>
            </w:pPr>
          </w:p>
        </w:tc>
        <w:tc>
          <w:tcPr>
            <w:tcW w:type="pct" w:w="393"/>
            <w:vMerge/>
            <w:tcBorders>
              <w:top w:space="0" w:sz="8" w:color="auto" w:val="single"/>
              <w:left w:space="0" w:sz="4" w:color="auto" w:val="single"/>
              <w:bottom w:space="0" w:sz="4" w:color="auto" w:val="single"/>
              <w:right w:space="0" w:sz="4" w:color="auto" w:val="single"/>
            </w:tcBorders>
            <w:vAlign w:val="center"/>
            <w:hideMark/>
          </w:tcPr>
          <w:p w:rsidRDefault="00C947C4" w:rsidP="00C947C4" w:rsidR="00C947C4" w:rsidRPr="00C947C4">
            <w:pPr>
              <w:overflowPunct/>
              <w:autoSpaceDE/>
              <w:autoSpaceDN/>
              <w:adjustRightInd/>
              <w:textAlignment w:val="auto"/>
              <w:rPr>
                <w:b/>
                <w:bCs/>
                <w:color w:val="000000"/>
                <w:sz w:val="24"/>
                <w:szCs w:val="24"/>
              </w:rPr>
            </w:pPr>
          </w:p>
        </w:tc>
        <w:tc>
          <w:tcPr>
            <w:tcW w:type="pct" w:w="552"/>
            <w:vMerge/>
            <w:tcBorders>
              <w:top w:space="0" w:sz="8" w:color="auto" w:val="single"/>
              <w:left w:space="0" w:sz="4" w:color="auto" w:val="single"/>
              <w:bottom w:space="0" w:sz="4" w:color="auto" w:val="single"/>
              <w:right w:space="0" w:sz="8" w:color="auto" w:val="single"/>
            </w:tcBorders>
            <w:vAlign w:val="center"/>
            <w:hideMark/>
          </w:tcPr>
          <w:p w:rsidRDefault="00C947C4" w:rsidP="00C947C4" w:rsidR="00C947C4" w:rsidRPr="00C947C4">
            <w:pPr>
              <w:overflowPunct/>
              <w:autoSpaceDE/>
              <w:autoSpaceDN/>
              <w:adjustRightInd/>
              <w:textAlignment w:val="auto"/>
              <w:rPr>
                <w:b/>
                <w:bCs/>
                <w:color w:val="000000"/>
                <w:sz w:val="24"/>
                <w:szCs w:val="24"/>
              </w:rPr>
            </w:pPr>
          </w:p>
        </w:tc>
      </w:tr>
      <w:tr w:rsidTr="00C947C4" w:rsidR="00C947C4" w:rsidRPr="00110B5F">
        <w:trPr>
          <w:trHeight w:val="390"/>
        </w:trPr>
        <w:tc>
          <w:tcPr>
            <w:tcW w:type="pct" w:w="217"/>
            <w:vMerge/>
            <w:tcBorders>
              <w:top w:space="0" w:sz="8" w:color="auto" w:val="single"/>
              <w:left w:space="0" w:sz="8" w:color="auto" w:val="single"/>
              <w:bottom w:space="0" w:sz="4" w:color="auto" w:val="single"/>
              <w:right w:space="0" w:sz="4" w:color="auto" w:val="single"/>
            </w:tcBorders>
            <w:vAlign w:val="center"/>
            <w:hideMark/>
          </w:tcPr>
          <w:p w:rsidRDefault="00C947C4" w:rsidP="00C947C4" w:rsidR="00C947C4" w:rsidRPr="00C947C4">
            <w:pPr>
              <w:overflowPunct/>
              <w:autoSpaceDE/>
              <w:autoSpaceDN/>
              <w:adjustRightInd/>
              <w:textAlignment w:val="auto"/>
              <w:rPr>
                <w:b/>
                <w:bCs/>
                <w:color w:val="000000"/>
                <w:sz w:val="24"/>
                <w:szCs w:val="24"/>
              </w:rPr>
            </w:pPr>
          </w:p>
        </w:tc>
        <w:tc>
          <w:tcPr>
            <w:tcW w:type="pct" w:w="483"/>
            <w:vMerge/>
            <w:tcBorders>
              <w:top w:space="0" w:sz="8" w:color="auto" w:val="single"/>
              <w:left w:space="0" w:sz="4" w:color="auto" w:val="single"/>
              <w:bottom w:space="0" w:sz="4" w:color="auto" w:val="single"/>
              <w:right w:space="0" w:sz="4" w:color="auto" w:val="single"/>
            </w:tcBorders>
            <w:vAlign w:val="center"/>
            <w:hideMark/>
          </w:tcPr>
          <w:p w:rsidRDefault="00C947C4" w:rsidP="00C947C4" w:rsidR="00C947C4" w:rsidRPr="00C947C4">
            <w:pPr>
              <w:overflowPunct/>
              <w:autoSpaceDE/>
              <w:autoSpaceDN/>
              <w:adjustRightInd/>
              <w:textAlignment w:val="auto"/>
              <w:rPr>
                <w:b/>
                <w:bCs/>
                <w:color w:val="000000"/>
                <w:sz w:val="24"/>
                <w:szCs w:val="24"/>
              </w:rPr>
            </w:pPr>
          </w:p>
        </w:tc>
        <w:tc>
          <w:tcPr>
            <w:tcW w:type="pct" w:w="405"/>
            <w:vMerge/>
            <w:tcBorders>
              <w:top w:space="0" w:sz="8" w:color="auto" w:val="single"/>
              <w:left w:space="0" w:sz="4" w:color="auto" w:val="single"/>
              <w:bottom w:space="0" w:sz="4" w:color="auto" w:val="single"/>
              <w:right w:space="0" w:sz="4" w:color="auto" w:val="single"/>
            </w:tcBorders>
            <w:vAlign w:val="center"/>
            <w:hideMark/>
          </w:tcPr>
          <w:p w:rsidRDefault="00C947C4" w:rsidP="00C947C4" w:rsidR="00C947C4" w:rsidRPr="00C947C4">
            <w:pPr>
              <w:overflowPunct/>
              <w:autoSpaceDE/>
              <w:autoSpaceDN/>
              <w:adjustRightInd/>
              <w:textAlignment w:val="auto"/>
              <w:rPr>
                <w:b/>
                <w:bCs/>
                <w:color w:val="000000"/>
                <w:sz w:val="24"/>
                <w:szCs w:val="24"/>
              </w:rPr>
            </w:pPr>
          </w:p>
        </w:tc>
        <w:tc>
          <w:tcPr>
            <w:tcW w:type="pct" w:w="615"/>
            <w:vMerge/>
            <w:tcBorders>
              <w:top w:space="0" w:sz="8" w:color="auto" w:val="single"/>
              <w:left w:space="0" w:sz="4" w:color="auto" w:val="single"/>
              <w:bottom w:space="0" w:sz="4" w:color="auto" w:val="single"/>
              <w:right w:space="0" w:sz="4" w:color="auto" w:val="single"/>
            </w:tcBorders>
            <w:vAlign w:val="center"/>
            <w:hideMark/>
          </w:tcPr>
          <w:p w:rsidRDefault="00C947C4" w:rsidP="00C947C4" w:rsidR="00C947C4" w:rsidRPr="00C947C4">
            <w:pPr>
              <w:overflowPunct/>
              <w:autoSpaceDE/>
              <w:autoSpaceDN/>
              <w:adjustRightInd/>
              <w:textAlignment w:val="auto"/>
              <w:rPr>
                <w:b/>
                <w:bCs/>
                <w:color w:val="000000"/>
                <w:sz w:val="24"/>
                <w:szCs w:val="24"/>
              </w:rPr>
            </w:pPr>
          </w:p>
        </w:tc>
        <w:tc>
          <w:tcPr>
            <w:tcW w:type="pct" w:w="421"/>
            <w:vMerge/>
            <w:tcBorders>
              <w:top w:space="0" w:sz="8" w:color="auto" w:val="single"/>
              <w:left w:space="0" w:sz="4" w:color="auto" w:val="single"/>
              <w:bottom w:space="0" w:sz="4" w:color="auto" w:val="single"/>
              <w:right w:space="0" w:sz="4" w:color="auto" w:val="single"/>
            </w:tcBorders>
            <w:vAlign w:val="center"/>
            <w:hideMark/>
          </w:tcPr>
          <w:p w:rsidRDefault="00C947C4" w:rsidP="00C947C4" w:rsidR="00C947C4" w:rsidRPr="00C947C4">
            <w:pPr>
              <w:overflowPunct/>
              <w:autoSpaceDE/>
              <w:autoSpaceDN/>
              <w:adjustRightInd/>
              <w:textAlignment w:val="auto"/>
              <w:rPr>
                <w:b/>
                <w:bCs/>
                <w:color w:val="000000"/>
                <w:sz w:val="24"/>
                <w:szCs w:val="24"/>
              </w:rPr>
            </w:pPr>
          </w:p>
        </w:tc>
        <w:tc>
          <w:tcPr>
            <w:tcW w:type="pct" w:w="552"/>
            <w:vMerge/>
            <w:tcBorders>
              <w:top w:space="0" w:sz="8" w:color="auto" w:val="single"/>
              <w:left w:space="0" w:sz="4" w:color="auto" w:val="single"/>
              <w:bottom w:space="0" w:sz="4" w:color="auto" w:val="single"/>
              <w:right w:space="0" w:sz="4" w:color="auto" w:val="single"/>
            </w:tcBorders>
            <w:vAlign w:val="center"/>
            <w:hideMark/>
          </w:tcPr>
          <w:p w:rsidRDefault="00C947C4" w:rsidP="00C947C4" w:rsidR="00C947C4" w:rsidRPr="00C947C4">
            <w:pPr>
              <w:overflowPunct/>
              <w:autoSpaceDE/>
              <w:autoSpaceDN/>
              <w:adjustRightInd/>
              <w:textAlignment w:val="auto"/>
              <w:rPr>
                <w:b/>
                <w:bCs/>
                <w:color w:val="000000"/>
                <w:sz w:val="24"/>
                <w:szCs w:val="24"/>
              </w:rPr>
            </w:pPr>
          </w:p>
        </w:tc>
        <w:tc>
          <w:tcPr>
            <w:tcW w:type="pct" w:w="421"/>
            <w:vMerge/>
            <w:tcBorders>
              <w:top w:space="0" w:sz="8" w:color="auto" w:val="single"/>
              <w:left w:space="0" w:sz="4" w:color="auto" w:val="single"/>
              <w:bottom w:space="0" w:sz="4" w:color="auto" w:val="single"/>
              <w:right w:space="0" w:sz="4" w:color="auto" w:val="single"/>
            </w:tcBorders>
            <w:vAlign w:val="center"/>
            <w:hideMark/>
          </w:tcPr>
          <w:p w:rsidRDefault="00C947C4" w:rsidP="00C947C4" w:rsidR="00C947C4" w:rsidRPr="00C947C4">
            <w:pPr>
              <w:overflowPunct/>
              <w:autoSpaceDE/>
              <w:autoSpaceDN/>
              <w:adjustRightInd/>
              <w:textAlignment w:val="auto"/>
              <w:rPr>
                <w:b/>
                <w:bCs/>
                <w:color w:val="000000"/>
                <w:sz w:val="24"/>
                <w:szCs w:val="24"/>
              </w:rPr>
            </w:pPr>
          </w:p>
        </w:tc>
        <w:tc>
          <w:tcPr>
            <w:tcW w:type="pct" w:w="552"/>
            <w:vMerge/>
            <w:tcBorders>
              <w:top w:space="0" w:sz="8" w:color="auto" w:val="single"/>
              <w:left w:space="0" w:sz="4" w:color="auto" w:val="single"/>
              <w:bottom w:space="0" w:sz="4" w:color="auto" w:val="single"/>
              <w:right w:space="0" w:sz="4" w:color="auto" w:val="single"/>
            </w:tcBorders>
            <w:vAlign w:val="center"/>
            <w:hideMark/>
          </w:tcPr>
          <w:p w:rsidRDefault="00C947C4" w:rsidP="00C947C4" w:rsidR="00C947C4" w:rsidRPr="00C947C4">
            <w:pPr>
              <w:overflowPunct/>
              <w:autoSpaceDE/>
              <w:autoSpaceDN/>
              <w:adjustRightInd/>
              <w:textAlignment w:val="auto"/>
              <w:rPr>
                <w:b/>
                <w:bCs/>
                <w:color w:val="000000"/>
                <w:sz w:val="24"/>
                <w:szCs w:val="24"/>
              </w:rPr>
            </w:pPr>
          </w:p>
        </w:tc>
        <w:tc>
          <w:tcPr>
            <w:tcW w:type="pct" w:w="389"/>
            <w:vMerge/>
            <w:tcBorders>
              <w:top w:space="0" w:sz="8" w:color="auto" w:val="single"/>
              <w:left w:space="0" w:sz="4" w:color="auto" w:val="single"/>
              <w:bottom w:space="0" w:sz="4" w:color="auto" w:val="single"/>
              <w:right w:space="0" w:sz="4" w:color="auto" w:val="single"/>
            </w:tcBorders>
            <w:vAlign w:val="center"/>
            <w:hideMark/>
          </w:tcPr>
          <w:p w:rsidRDefault="00C947C4" w:rsidP="00C947C4" w:rsidR="00C947C4" w:rsidRPr="00C947C4">
            <w:pPr>
              <w:overflowPunct/>
              <w:autoSpaceDE/>
              <w:autoSpaceDN/>
              <w:adjustRightInd/>
              <w:textAlignment w:val="auto"/>
              <w:rPr>
                <w:b/>
                <w:bCs/>
                <w:color w:val="000000"/>
                <w:sz w:val="24"/>
                <w:szCs w:val="24"/>
              </w:rPr>
            </w:pPr>
          </w:p>
        </w:tc>
        <w:tc>
          <w:tcPr>
            <w:tcW w:type="pct" w:w="393"/>
            <w:vMerge/>
            <w:tcBorders>
              <w:top w:space="0" w:sz="8" w:color="auto" w:val="single"/>
              <w:left w:space="0" w:sz="4" w:color="auto" w:val="single"/>
              <w:bottom w:space="0" w:sz="4" w:color="auto" w:val="single"/>
              <w:right w:space="0" w:sz="4" w:color="auto" w:val="single"/>
            </w:tcBorders>
            <w:vAlign w:val="center"/>
            <w:hideMark/>
          </w:tcPr>
          <w:p w:rsidRDefault="00C947C4" w:rsidP="00C947C4" w:rsidR="00C947C4" w:rsidRPr="00C947C4">
            <w:pPr>
              <w:overflowPunct/>
              <w:autoSpaceDE/>
              <w:autoSpaceDN/>
              <w:adjustRightInd/>
              <w:textAlignment w:val="auto"/>
              <w:rPr>
                <w:b/>
                <w:bCs/>
                <w:color w:val="000000"/>
                <w:sz w:val="24"/>
                <w:szCs w:val="24"/>
              </w:rPr>
            </w:pPr>
          </w:p>
        </w:tc>
        <w:tc>
          <w:tcPr>
            <w:tcW w:type="pct" w:w="552"/>
            <w:vMerge/>
            <w:tcBorders>
              <w:top w:space="0" w:sz="8" w:color="auto" w:val="single"/>
              <w:left w:space="0" w:sz="4" w:color="auto" w:val="single"/>
              <w:bottom w:space="0" w:sz="4" w:color="auto" w:val="single"/>
              <w:right w:space="0" w:sz="8" w:color="auto" w:val="single"/>
            </w:tcBorders>
            <w:vAlign w:val="center"/>
            <w:hideMark/>
          </w:tcPr>
          <w:p w:rsidRDefault="00C947C4" w:rsidP="00C947C4" w:rsidR="00C947C4" w:rsidRPr="00C947C4">
            <w:pPr>
              <w:overflowPunct/>
              <w:autoSpaceDE/>
              <w:autoSpaceDN/>
              <w:adjustRightInd/>
              <w:textAlignment w:val="auto"/>
              <w:rPr>
                <w:b/>
                <w:bCs/>
                <w:color w:val="000000"/>
                <w:sz w:val="24"/>
                <w:szCs w:val="24"/>
              </w:rPr>
            </w:pPr>
          </w:p>
        </w:tc>
      </w:tr>
      <w:tr w:rsidTr="00C947C4" w:rsidR="00C947C4" w:rsidRPr="00110B5F">
        <w:trPr>
          <w:trHeight w:val="765"/>
        </w:trPr>
        <w:tc>
          <w:tcPr>
            <w:tcW w:type="pct" w:w="217"/>
            <w:tcBorders>
              <w:top w:space="0" w:sz="8" w:color="auto" w:val="single"/>
              <w:left w:space="0" w:sz="8" w:color="auto" w:val="single"/>
              <w:bottom w:space="0" w:sz="4" w:color="auto" w:val="single"/>
              <w:right w:space="0" w:sz="4" w:color="auto" w:val="single"/>
            </w:tcBorders>
            <w:shd w:fill="auto" w:color="auto" w:val="clear"/>
            <w:vAlign w:val="center"/>
            <w:hideMark/>
          </w:tcPr>
          <w:p w:rsidRDefault="00C947C4" w:rsidP="00C947C4" w:rsidR="00C947C4" w:rsidRPr="00C947C4">
            <w:pPr>
              <w:overflowPunct/>
              <w:autoSpaceDE/>
              <w:autoSpaceDN/>
              <w:adjustRightInd/>
              <w:jc w:val="center"/>
              <w:textAlignment w:val="auto"/>
              <w:rPr>
                <w:color w:val="000000"/>
                <w:sz w:val="24"/>
                <w:szCs w:val="24"/>
              </w:rPr>
            </w:pPr>
            <w:r w:rsidRPr="00C947C4">
              <w:rPr>
                <w:color w:val="000000"/>
                <w:sz w:val="24"/>
                <w:szCs w:val="24"/>
              </w:rPr>
              <w:t>1</w:t>
            </w:r>
          </w:p>
        </w:tc>
        <w:tc>
          <w:tcPr>
            <w:tcW w:type="pct" w:w="483"/>
            <w:tcBorders>
              <w:top w:space="0" w:sz="8" w:color="auto" w:val="single"/>
              <w:left w:val="nil"/>
              <w:bottom w:space="0" w:sz="4" w:color="auto" w:val="single"/>
              <w:right w:space="0" w:sz="4" w:color="auto" w:val="single"/>
            </w:tcBorders>
            <w:shd w:fill="auto" w:color="auto" w:val="clear"/>
            <w:vAlign w:val="center"/>
            <w:hideMark/>
          </w:tcPr>
          <w:p w:rsidRDefault="00C947C4" w:rsidP="00C947C4" w:rsidR="00C947C4" w:rsidRPr="00C947C4">
            <w:pPr>
              <w:overflowPunct/>
              <w:autoSpaceDE/>
              <w:autoSpaceDN/>
              <w:adjustRightInd/>
              <w:jc w:val="center"/>
              <w:textAlignment w:val="auto"/>
              <w:rPr>
                <w:color w:val="000000"/>
                <w:sz w:val="24"/>
                <w:szCs w:val="24"/>
              </w:rPr>
            </w:pPr>
            <w:r w:rsidRPr="00C947C4">
              <w:rPr>
                <w:color w:val="000000"/>
                <w:sz w:val="24"/>
                <w:szCs w:val="24"/>
              </w:rPr>
              <w:t>DDM INVEST I AG</w:t>
            </w:r>
          </w:p>
        </w:tc>
        <w:tc>
          <w:tcPr>
            <w:tcW w:type="pct" w:w="405"/>
            <w:tcBorders>
              <w:top w:space="0" w:sz="8" w:color="auto" w:val="single"/>
              <w:left w:val="nil"/>
              <w:bottom w:space="0" w:sz="4" w:color="auto" w:val="single"/>
              <w:right w:space="0" w:sz="4" w:color="auto" w:val="single"/>
            </w:tcBorders>
            <w:shd w:fill="auto" w:color="auto" w:val="clear"/>
            <w:vAlign w:val="center"/>
            <w:hideMark/>
          </w:tcPr>
          <w:p w:rsidRDefault="00C947C4" w:rsidP="00C947C4" w:rsidR="00C947C4" w:rsidRPr="00C947C4">
            <w:pPr>
              <w:overflowPunct/>
              <w:autoSpaceDE/>
              <w:autoSpaceDN/>
              <w:adjustRightInd/>
              <w:jc w:val="center"/>
              <w:textAlignment w:val="auto"/>
              <w:rPr>
                <w:color w:val="000000"/>
                <w:sz w:val="24"/>
                <w:szCs w:val="24"/>
              </w:rPr>
            </w:pPr>
            <w:r w:rsidRPr="00C947C4">
              <w:rPr>
                <w:color w:val="000000"/>
                <w:sz w:val="24"/>
                <w:szCs w:val="24"/>
              </w:rPr>
              <w:t>41627324374</w:t>
            </w:r>
          </w:p>
        </w:tc>
        <w:tc>
          <w:tcPr>
            <w:tcW w:type="pct" w:w="615"/>
            <w:tcBorders>
              <w:top w:space="0" w:sz="8" w:color="auto" w:val="single"/>
              <w:left w:val="nil"/>
              <w:bottom w:space="0" w:sz="4" w:color="auto" w:val="single"/>
              <w:right w:space="0" w:sz="4" w:color="auto" w:val="single"/>
            </w:tcBorders>
            <w:shd w:fill="auto" w:color="auto" w:val="clear"/>
            <w:vAlign w:val="center"/>
            <w:hideMark/>
          </w:tcPr>
          <w:p w:rsidRDefault="00C947C4" w:rsidP="00C947C4" w:rsidR="00C947C4" w:rsidRPr="00C947C4">
            <w:pPr>
              <w:overflowPunct/>
              <w:autoSpaceDE/>
              <w:autoSpaceDN/>
              <w:adjustRightInd/>
              <w:jc w:val="center"/>
              <w:textAlignment w:val="auto"/>
              <w:rPr>
                <w:color w:val="000000"/>
                <w:sz w:val="24"/>
                <w:szCs w:val="24"/>
              </w:rPr>
            </w:pPr>
            <w:r w:rsidRPr="00C947C4">
              <w:rPr>
                <w:color w:val="000000"/>
                <w:sz w:val="24"/>
                <w:szCs w:val="24"/>
              </w:rPr>
              <w:t>Schochenmulestrasse 4, 6340 Baar, Švicarska</w:t>
            </w:r>
          </w:p>
        </w:tc>
        <w:tc>
          <w:tcPr>
            <w:tcW w:type="pct" w:w="421"/>
            <w:tcBorders>
              <w:top w:space="0" w:sz="8" w:color="auto" w:val="single"/>
              <w:left w:val="nil"/>
              <w:bottom w:space="0" w:sz="4" w:color="auto" w:val="single"/>
              <w:right w:space="0" w:sz="4" w:color="auto" w:val="single"/>
            </w:tcBorders>
            <w:shd w:fill="auto" w:color="auto" w:val="clear"/>
            <w:vAlign w:val="center"/>
            <w:hideMark/>
          </w:tcPr>
          <w:p w:rsidRDefault="00C947C4" w:rsidP="00C947C4" w:rsidR="00C947C4" w:rsidRPr="00C947C4">
            <w:pPr>
              <w:overflowPunct/>
              <w:autoSpaceDE/>
              <w:autoSpaceDN/>
              <w:adjustRightInd/>
              <w:jc w:val="right"/>
              <w:textAlignment w:val="auto"/>
              <w:rPr>
                <w:color w:val="000000"/>
                <w:sz w:val="24"/>
                <w:szCs w:val="24"/>
              </w:rPr>
            </w:pPr>
            <w:r w:rsidRPr="00C947C4">
              <w:rPr>
                <w:color w:val="000000"/>
                <w:sz w:val="24"/>
                <w:szCs w:val="24"/>
              </w:rPr>
              <w:t>13.314.998,17</w:t>
            </w:r>
          </w:p>
        </w:tc>
        <w:tc>
          <w:tcPr>
            <w:tcW w:type="pct" w:w="552"/>
            <w:tcBorders>
              <w:top w:space="0" w:sz="8" w:color="auto" w:val="single"/>
              <w:left w:val="nil"/>
              <w:bottom w:val="nil"/>
              <w:right w:space="0" w:sz="4" w:color="auto" w:val="single"/>
            </w:tcBorders>
            <w:shd w:fill="auto" w:color="auto" w:val="clear"/>
            <w:vAlign w:val="center"/>
            <w:hideMark/>
          </w:tcPr>
          <w:p w:rsidRDefault="00C947C4" w:rsidP="00C947C4" w:rsidR="00C947C4" w:rsidRPr="00C947C4">
            <w:pPr>
              <w:overflowPunct/>
              <w:autoSpaceDE/>
              <w:autoSpaceDN/>
              <w:adjustRightInd/>
              <w:jc w:val="center"/>
              <w:textAlignment w:val="auto"/>
              <w:rPr>
                <w:color w:val="000000"/>
                <w:sz w:val="24"/>
                <w:szCs w:val="24"/>
              </w:rPr>
            </w:pPr>
            <w:r w:rsidRPr="00C947C4">
              <w:rPr>
                <w:color w:val="000000"/>
                <w:sz w:val="24"/>
                <w:szCs w:val="24"/>
              </w:rPr>
              <w:t>Ugovor o kreditu</w:t>
            </w:r>
          </w:p>
        </w:tc>
        <w:tc>
          <w:tcPr>
            <w:tcW w:type="pct" w:w="421"/>
            <w:tcBorders>
              <w:top w:space="0" w:sz="8" w:color="auto" w:val="single"/>
              <w:left w:val="nil"/>
              <w:bottom w:space="0" w:sz="4" w:color="auto" w:val="single"/>
              <w:right w:space="0" w:sz="4" w:color="auto" w:val="single"/>
            </w:tcBorders>
            <w:shd w:fill="auto" w:color="auto" w:val="clear"/>
            <w:vAlign w:val="center"/>
            <w:hideMark/>
          </w:tcPr>
          <w:p w:rsidRDefault="00C947C4" w:rsidP="00C947C4" w:rsidR="00C947C4" w:rsidRPr="00C947C4">
            <w:pPr>
              <w:overflowPunct/>
              <w:autoSpaceDE/>
              <w:autoSpaceDN/>
              <w:adjustRightInd/>
              <w:jc w:val="right"/>
              <w:textAlignment w:val="auto"/>
              <w:rPr>
                <w:color w:val="000000"/>
                <w:sz w:val="24"/>
                <w:szCs w:val="24"/>
              </w:rPr>
            </w:pPr>
            <w:r w:rsidRPr="00C947C4">
              <w:rPr>
                <w:color w:val="000000"/>
                <w:sz w:val="24"/>
                <w:szCs w:val="24"/>
              </w:rPr>
              <w:t>13.314.998,17</w:t>
            </w:r>
          </w:p>
        </w:tc>
        <w:tc>
          <w:tcPr>
            <w:tcW w:type="pct" w:w="552"/>
            <w:tcBorders>
              <w:top w:space="0" w:sz="8" w:color="auto" w:val="single"/>
              <w:left w:val="nil"/>
              <w:bottom w:space="0" w:sz="4" w:color="auto" w:val="single"/>
              <w:right w:space="0" w:sz="4" w:color="auto" w:val="single"/>
            </w:tcBorders>
            <w:shd w:fill="auto" w:color="auto" w:val="clear"/>
            <w:vAlign w:val="center"/>
            <w:hideMark/>
          </w:tcPr>
          <w:p w:rsidRDefault="00C947C4" w:rsidP="00C947C4" w:rsidR="00C947C4" w:rsidRPr="00C947C4">
            <w:pPr>
              <w:overflowPunct/>
              <w:autoSpaceDE/>
              <w:autoSpaceDN/>
              <w:adjustRightInd/>
              <w:jc w:val="center"/>
              <w:textAlignment w:val="auto"/>
              <w:rPr>
                <w:color w:val="000000"/>
                <w:sz w:val="24"/>
                <w:szCs w:val="24"/>
              </w:rPr>
            </w:pPr>
            <w:r w:rsidRPr="00C947C4">
              <w:rPr>
                <w:color w:val="000000"/>
                <w:sz w:val="24"/>
                <w:szCs w:val="24"/>
              </w:rPr>
              <w:t>Ugovor o kreditu</w:t>
            </w:r>
          </w:p>
        </w:tc>
        <w:tc>
          <w:tcPr>
            <w:tcW w:type="pct" w:w="389"/>
            <w:tcBorders>
              <w:top w:space="0" w:sz="8" w:color="auto" w:val="single"/>
              <w:left w:val="nil"/>
              <w:bottom w:space="0" w:sz="4" w:color="auto" w:val="single"/>
              <w:right w:space="0" w:sz="4" w:color="auto" w:val="single"/>
            </w:tcBorders>
            <w:shd w:fill="auto" w:color="auto" w:val="clear"/>
            <w:vAlign w:val="center"/>
            <w:hideMark/>
          </w:tcPr>
          <w:p w:rsidRDefault="00C947C4" w:rsidP="00C947C4" w:rsidR="00C947C4" w:rsidRPr="00C947C4">
            <w:pPr>
              <w:overflowPunct/>
              <w:autoSpaceDE/>
              <w:autoSpaceDN/>
              <w:adjustRightInd/>
              <w:jc w:val="center"/>
              <w:textAlignment w:val="auto"/>
              <w:rPr>
                <w:color w:val="000000"/>
                <w:sz w:val="24"/>
                <w:szCs w:val="24"/>
              </w:rPr>
            </w:pPr>
            <w:r w:rsidRPr="00C947C4">
              <w:rPr>
                <w:color w:val="000000"/>
                <w:sz w:val="24"/>
                <w:szCs w:val="24"/>
              </w:rPr>
              <w:t>-</w:t>
            </w:r>
          </w:p>
        </w:tc>
        <w:tc>
          <w:tcPr>
            <w:tcW w:type="pct" w:w="393"/>
            <w:tcBorders>
              <w:top w:space="0" w:sz="8" w:color="auto" w:val="single"/>
              <w:left w:val="nil"/>
              <w:bottom w:space="0" w:sz="4" w:color="auto" w:val="single"/>
              <w:right w:space="0" w:sz="4" w:color="auto" w:val="single"/>
            </w:tcBorders>
            <w:shd w:fill="auto" w:color="auto" w:val="clear"/>
            <w:vAlign w:val="center"/>
            <w:hideMark/>
          </w:tcPr>
          <w:p w:rsidRDefault="00C947C4" w:rsidP="00C947C4" w:rsidR="00C947C4" w:rsidRPr="00C947C4">
            <w:pPr>
              <w:overflowPunct/>
              <w:autoSpaceDE/>
              <w:autoSpaceDN/>
              <w:adjustRightInd/>
              <w:jc w:val="center"/>
              <w:textAlignment w:val="auto"/>
              <w:rPr>
                <w:color w:val="000000"/>
                <w:sz w:val="24"/>
                <w:szCs w:val="24"/>
              </w:rPr>
            </w:pPr>
            <w:r w:rsidRPr="00C947C4">
              <w:rPr>
                <w:color w:val="000000"/>
                <w:sz w:val="24"/>
                <w:szCs w:val="24"/>
              </w:rPr>
              <w:t>-</w:t>
            </w:r>
          </w:p>
        </w:tc>
        <w:tc>
          <w:tcPr>
            <w:tcW w:type="pct" w:w="552"/>
            <w:tcBorders>
              <w:top w:space="0" w:sz="8" w:color="auto" w:val="single"/>
              <w:left w:val="nil"/>
              <w:bottom w:space="0" w:sz="4" w:color="auto" w:val="single"/>
              <w:right w:space="0" w:sz="8" w:color="auto" w:val="single"/>
            </w:tcBorders>
            <w:shd w:fill="auto" w:color="auto" w:val="clear"/>
            <w:vAlign w:val="center"/>
            <w:hideMark/>
          </w:tcPr>
          <w:p w:rsidRDefault="00C947C4" w:rsidP="00C947C4" w:rsidR="00C947C4" w:rsidRPr="00C947C4">
            <w:pPr>
              <w:overflowPunct/>
              <w:autoSpaceDE/>
              <w:autoSpaceDN/>
              <w:adjustRightInd/>
              <w:jc w:val="center"/>
              <w:textAlignment w:val="auto"/>
              <w:rPr>
                <w:color w:val="000000"/>
                <w:sz w:val="24"/>
                <w:szCs w:val="24"/>
              </w:rPr>
            </w:pPr>
            <w:r w:rsidRPr="00C947C4">
              <w:rPr>
                <w:color w:val="000000"/>
                <w:sz w:val="24"/>
                <w:szCs w:val="24"/>
              </w:rPr>
              <w:t>Sporazum radi osiguranja novčane tražbine, Zadužnica</w:t>
            </w:r>
          </w:p>
        </w:tc>
      </w:tr>
      <w:tr w:rsidTr="00C947C4" w:rsidR="00C947C4" w:rsidRPr="00110B5F">
        <w:trPr>
          <w:trHeight w:val="1365"/>
        </w:trPr>
        <w:tc>
          <w:tcPr>
            <w:tcW w:type="pct" w:w="217"/>
            <w:tcBorders>
              <w:top w:val="nil"/>
              <w:left w:space="0" w:sz="8" w:color="auto" w:val="single"/>
              <w:bottom w:space="0" w:sz="4" w:color="auto" w:val="single"/>
              <w:right w:space="0" w:sz="4" w:color="auto" w:val="single"/>
            </w:tcBorders>
            <w:shd w:fill="auto" w:color="auto" w:val="clear"/>
            <w:vAlign w:val="center"/>
            <w:hideMark/>
          </w:tcPr>
          <w:p w:rsidRDefault="00C947C4" w:rsidP="00C947C4" w:rsidR="00C947C4" w:rsidRPr="00C947C4">
            <w:pPr>
              <w:overflowPunct/>
              <w:autoSpaceDE/>
              <w:autoSpaceDN/>
              <w:adjustRightInd/>
              <w:jc w:val="center"/>
              <w:textAlignment w:val="auto"/>
              <w:rPr>
                <w:color w:val="000000"/>
                <w:sz w:val="24"/>
                <w:szCs w:val="24"/>
              </w:rPr>
            </w:pPr>
            <w:r w:rsidRPr="00C947C4">
              <w:rPr>
                <w:color w:val="000000"/>
                <w:sz w:val="24"/>
                <w:szCs w:val="24"/>
              </w:rPr>
              <w:t>2</w:t>
            </w:r>
          </w:p>
        </w:tc>
        <w:tc>
          <w:tcPr>
            <w:tcW w:type="pct" w:w="483"/>
            <w:tcBorders>
              <w:top w:val="nil"/>
              <w:left w:val="nil"/>
              <w:bottom w:space="0" w:sz="4" w:color="auto" w:val="single"/>
              <w:right w:space="0" w:sz="4" w:color="auto" w:val="single"/>
            </w:tcBorders>
            <w:shd w:fill="auto" w:color="auto" w:val="clear"/>
            <w:vAlign w:val="center"/>
            <w:hideMark/>
          </w:tcPr>
          <w:p w:rsidRDefault="00C947C4" w:rsidP="00C947C4" w:rsidR="00C947C4" w:rsidRPr="00C947C4">
            <w:pPr>
              <w:overflowPunct/>
              <w:autoSpaceDE/>
              <w:autoSpaceDN/>
              <w:adjustRightInd/>
              <w:jc w:val="center"/>
              <w:textAlignment w:val="auto"/>
              <w:rPr>
                <w:color w:val="000000"/>
                <w:sz w:val="24"/>
                <w:szCs w:val="24"/>
              </w:rPr>
            </w:pPr>
            <w:r w:rsidRPr="00C947C4">
              <w:rPr>
                <w:color w:val="000000"/>
                <w:sz w:val="24"/>
                <w:szCs w:val="24"/>
              </w:rPr>
              <w:t>UPIMOL 2000 d.o.o.</w:t>
            </w:r>
          </w:p>
        </w:tc>
        <w:tc>
          <w:tcPr>
            <w:tcW w:type="pct" w:w="405"/>
            <w:tcBorders>
              <w:top w:val="nil"/>
              <w:left w:val="nil"/>
              <w:bottom w:space="0" w:sz="4" w:color="auto" w:val="single"/>
              <w:right w:space="0" w:sz="4" w:color="auto" w:val="single"/>
            </w:tcBorders>
            <w:shd w:fill="auto" w:color="auto" w:val="clear"/>
            <w:vAlign w:val="center"/>
            <w:hideMark/>
          </w:tcPr>
          <w:p w:rsidRDefault="00C947C4" w:rsidP="00C947C4" w:rsidR="00C947C4" w:rsidRPr="00C947C4">
            <w:pPr>
              <w:overflowPunct/>
              <w:autoSpaceDE/>
              <w:autoSpaceDN/>
              <w:adjustRightInd/>
              <w:jc w:val="center"/>
              <w:textAlignment w:val="auto"/>
              <w:rPr>
                <w:color w:val="000000"/>
                <w:sz w:val="24"/>
                <w:szCs w:val="24"/>
              </w:rPr>
            </w:pPr>
            <w:r w:rsidRPr="00C947C4">
              <w:rPr>
                <w:color w:val="000000"/>
                <w:sz w:val="24"/>
                <w:szCs w:val="24"/>
              </w:rPr>
              <w:t>65759966884</w:t>
            </w:r>
          </w:p>
        </w:tc>
        <w:tc>
          <w:tcPr>
            <w:tcW w:type="pct" w:w="615"/>
            <w:tcBorders>
              <w:top w:val="nil"/>
              <w:left w:val="nil"/>
              <w:bottom w:space="0" w:sz="4" w:color="auto" w:val="single"/>
              <w:right w:space="0" w:sz="4" w:color="auto" w:val="single"/>
            </w:tcBorders>
            <w:shd w:fill="auto" w:color="auto" w:val="clear"/>
            <w:vAlign w:val="center"/>
            <w:hideMark/>
          </w:tcPr>
          <w:p w:rsidRDefault="00C947C4" w:rsidP="00C947C4" w:rsidR="00C947C4" w:rsidRPr="00C947C4">
            <w:pPr>
              <w:overflowPunct/>
              <w:autoSpaceDE/>
              <w:autoSpaceDN/>
              <w:adjustRightInd/>
              <w:jc w:val="center"/>
              <w:textAlignment w:val="auto"/>
              <w:rPr>
                <w:color w:val="000000"/>
                <w:sz w:val="24"/>
                <w:szCs w:val="24"/>
              </w:rPr>
            </w:pPr>
            <w:r w:rsidRPr="00C947C4">
              <w:rPr>
                <w:color w:val="000000"/>
                <w:sz w:val="24"/>
                <w:szCs w:val="24"/>
              </w:rPr>
              <w:t>Partizanska 39, 2310 Slovenska Bistrica, Slovenija</w:t>
            </w:r>
          </w:p>
        </w:tc>
        <w:tc>
          <w:tcPr>
            <w:tcW w:type="pct" w:w="421"/>
            <w:tcBorders>
              <w:top w:val="nil"/>
              <w:left w:val="nil"/>
              <w:bottom w:space="0" w:sz="4" w:color="auto" w:val="single"/>
              <w:right w:space="0" w:sz="4" w:color="auto" w:val="single"/>
            </w:tcBorders>
            <w:shd w:fill="auto" w:color="auto" w:val="clear"/>
            <w:vAlign w:val="center"/>
            <w:hideMark/>
          </w:tcPr>
          <w:p w:rsidRDefault="00C947C4" w:rsidP="00C947C4" w:rsidR="00C947C4" w:rsidRPr="00C947C4">
            <w:pPr>
              <w:overflowPunct/>
              <w:autoSpaceDE/>
              <w:autoSpaceDN/>
              <w:adjustRightInd/>
              <w:jc w:val="right"/>
              <w:textAlignment w:val="auto"/>
              <w:rPr>
                <w:color w:val="000000"/>
                <w:sz w:val="24"/>
                <w:szCs w:val="24"/>
              </w:rPr>
            </w:pPr>
            <w:r w:rsidRPr="00C947C4">
              <w:rPr>
                <w:color w:val="000000"/>
                <w:sz w:val="24"/>
                <w:szCs w:val="24"/>
              </w:rPr>
              <w:t>417.632,15</w:t>
            </w:r>
          </w:p>
        </w:tc>
        <w:tc>
          <w:tcPr>
            <w:tcW w:type="pct" w:w="552"/>
            <w:tcBorders>
              <w:top w:space="0" w:sz="4" w:color="auto" w:val="single"/>
              <w:left w:val="nil"/>
              <w:bottom w:space="0" w:sz="4" w:color="auto" w:val="single"/>
              <w:right w:space="0" w:sz="4" w:color="auto" w:val="single"/>
            </w:tcBorders>
            <w:shd w:fill="auto" w:color="auto" w:val="clear"/>
            <w:vAlign w:val="center"/>
            <w:hideMark/>
          </w:tcPr>
          <w:p w:rsidRDefault="00C947C4" w:rsidP="00C947C4" w:rsidR="00C947C4" w:rsidRPr="00C947C4">
            <w:pPr>
              <w:overflowPunct/>
              <w:autoSpaceDE/>
              <w:autoSpaceDN/>
              <w:adjustRightInd/>
              <w:jc w:val="center"/>
              <w:textAlignment w:val="auto"/>
              <w:rPr>
                <w:color w:val="000000"/>
                <w:sz w:val="24"/>
                <w:szCs w:val="24"/>
              </w:rPr>
            </w:pPr>
            <w:r w:rsidRPr="00C947C4">
              <w:rPr>
                <w:color w:val="000000"/>
                <w:sz w:val="24"/>
                <w:szCs w:val="24"/>
              </w:rPr>
              <w:t>Ugovor o kreditu</w:t>
            </w:r>
          </w:p>
        </w:tc>
        <w:tc>
          <w:tcPr>
            <w:tcW w:type="pct" w:w="421"/>
            <w:tcBorders>
              <w:top w:val="nil"/>
              <w:left w:val="nil"/>
              <w:bottom w:space="0" w:sz="4" w:color="auto" w:val="single"/>
              <w:right w:space="0" w:sz="4" w:color="auto" w:val="single"/>
            </w:tcBorders>
            <w:shd w:fill="auto" w:color="auto" w:val="clear"/>
            <w:vAlign w:val="center"/>
            <w:hideMark/>
          </w:tcPr>
          <w:p w:rsidRDefault="00C947C4" w:rsidP="00C947C4" w:rsidR="00C947C4" w:rsidRPr="00C947C4">
            <w:pPr>
              <w:overflowPunct/>
              <w:autoSpaceDE/>
              <w:autoSpaceDN/>
              <w:adjustRightInd/>
              <w:jc w:val="right"/>
              <w:textAlignment w:val="auto"/>
              <w:rPr>
                <w:color w:val="000000"/>
                <w:sz w:val="24"/>
                <w:szCs w:val="24"/>
              </w:rPr>
            </w:pPr>
            <w:r w:rsidRPr="00C947C4">
              <w:rPr>
                <w:color w:val="000000"/>
                <w:sz w:val="24"/>
                <w:szCs w:val="24"/>
              </w:rPr>
              <w:t>417.632,15</w:t>
            </w:r>
          </w:p>
        </w:tc>
        <w:tc>
          <w:tcPr>
            <w:tcW w:type="pct" w:w="552"/>
            <w:tcBorders>
              <w:top w:val="nil"/>
              <w:left w:val="nil"/>
              <w:bottom w:space="0" w:sz="4" w:color="auto" w:val="single"/>
              <w:right w:space="0" w:sz="4" w:color="auto" w:val="single"/>
            </w:tcBorders>
            <w:shd w:fill="auto" w:color="auto" w:val="clear"/>
            <w:vAlign w:val="center"/>
            <w:hideMark/>
          </w:tcPr>
          <w:p w:rsidRDefault="00C947C4" w:rsidP="00C947C4" w:rsidR="00C947C4" w:rsidRPr="00C947C4">
            <w:pPr>
              <w:overflowPunct/>
              <w:autoSpaceDE/>
              <w:autoSpaceDN/>
              <w:adjustRightInd/>
              <w:jc w:val="center"/>
              <w:textAlignment w:val="auto"/>
              <w:rPr>
                <w:color w:val="000000"/>
                <w:sz w:val="24"/>
                <w:szCs w:val="24"/>
              </w:rPr>
            </w:pPr>
            <w:r w:rsidRPr="00C947C4">
              <w:rPr>
                <w:color w:val="000000"/>
                <w:sz w:val="24"/>
                <w:szCs w:val="24"/>
              </w:rPr>
              <w:t>Ugovor o kreditu</w:t>
            </w:r>
          </w:p>
        </w:tc>
        <w:tc>
          <w:tcPr>
            <w:tcW w:type="pct" w:w="389"/>
            <w:tcBorders>
              <w:top w:val="nil"/>
              <w:left w:val="nil"/>
              <w:bottom w:space="0" w:sz="4" w:color="auto" w:val="single"/>
              <w:right w:space="0" w:sz="4" w:color="auto" w:val="single"/>
            </w:tcBorders>
            <w:shd w:fill="auto" w:color="auto" w:val="clear"/>
            <w:vAlign w:val="center"/>
            <w:hideMark/>
          </w:tcPr>
          <w:p w:rsidRDefault="00C947C4" w:rsidP="00C947C4" w:rsidR="00C947C4" w:rsidRPr="00C947C4">
            <w:pPr>
              <w:overflowPunct/>
              <w:autoSpaceDE/>
              <w:autoSpaceDN/>
              <w:adjustRightInd/>
              <w:jc w:val="center"/>
              <w:textAlignment w:val="auto"/>
              <w:rPr>
                <w:color w:val="000000"/>
                <w:sz w:val="24"/>
                <w:szCs w:val="24"/>
              </w:rPr>
            </w:pPr>
            <w:r w:rsidRPr="00C947C4">
              <w:rPr>
                <w:color w:val="000000"/>
                <w:sz w:val="24"/>
                <w:szCs w:val="24"/>
              </w:rPr>
              <w:t>-</w:t>
            </w:r>
          </w:p>
        </w:tc>
        <w:tc>
          <w:tcPr>
            <w:tcW w:type="pct" w:w="393"/>
            <w:tcBorders>
              <w:top w:val="nil"/>
              <w:left w:val="nil"/>
              <w:bottom w:space="0" w:sz="4" w:color="auto" w:val="single"/>
              <w:right w:space="0" w:sz="4" w:color="auto" w:val="single"/>
            </w:tcBorders>
            <w:shd w:fill="auto" w:color="auto" w:val="clear"/>
            <w:vAlign w:val="center"/>
            <w:hideMark/>
          </w:tcPr>
          <w:p w:rsidRDefault="00C947C4" w:rsidP="00C947C4" w:rsidR="00C947C4" w:rsidRPr="00C947C4">
            <w:pPr>
              <w:overflowPunct/>
              <w:autoSpaceDE/>
              <w:autoSpaceDN/>
              <w:adjustRightInd/>
              <w:jc w:val="center"/>
              <w:textAlignment w:val="auto"/>
              <w:rPr>
                <w:color w:val="000000"/>
                <w:sz w:val="24"/>
                <w:szCs w:val="24"/>
              </w:rPr>
            </w:pPr>
            <w:r w:rsidRPr="00C947C4">
              <w:rPr>
                <w:color w:val="000000"/>
                <w:sz w:val="24"/>
                <w:szCs w:val="24"/>
              </w:rPr>
              <w:t>-</w:t>
            </w:r>
          </w:p>
        </w:tc>
        <w:tc>
          <w:tcPr>
            <w:tcW w:type="pct" w:w="552"/>
            <w:tcBorders>
              <w:top w:val="nil"/>
              <w:left w:val="nil"/>
              <w:bottom w:space="0" w:sz="4" w:color="auto" w:val="single"/>
              <w:right w:space="0" w:sz="8" w:color="auto" w:val="single"/>
            </w:tcBorders>
            <w:shd w:fill="auto" w:color="auto" w:val="clear"/>
            <w:vAlign w:val="center"/>
            <w:hideMark/>
          </w:tcPr>
          <w:p w:rsidRDefault="00C947C4" w:rsidP="00C947C4" w:rsidR="00C947C4" w:rsidRPr="00C947C4">
            <w:pPr>
              <w:overflowPunct/>
              <w:autoSpaceDE/>
              <w:autoSpaceDN/>
              <w:adjustRightInd/>
              <w:jc w:val="center"/>
              <w:textAlignment w:val="auto"/>
              <w:rPr>
                <w:sz w:val="24"/>
                <w:szCs w:val="24"/>
              </w:rPr>
            </w:pPr>
            <w:r w:rsidRPr="00C947C4">
              <w:rPr>
                <w:sz w:val="24"/>
                <w:szCs w:val="24"/>
              </w:rPr>
              <w:t>Kreditni ugovor od 24.09.2008.g. pod posl.br. Ov-14783/08 JB Nada Kumar iz Ljubljane</w:t>
            </w:r>
          </w:p>
        </w:tc>
      </w:tr>
      <w:tr w:rsidTr="00C947C4" w:rsidR="00C947C4" w:rsidRPr="00110B5F">
        <w:trPr>
          <w:trHeight w:val="1605"/>
        </w:trPr>
        <w:tc>
          <w:tcPr>
            <w:tcW w:type="pct" w:w="217"/>
            <w:tcBorders>
              <w:top w:val="nil"/>
              <w:left w:space="0" w:sz="8" w:color="auto" w:val="single"/>
              <w:bottom w:space="0" w:sz="4" w:color="auto" w:val="single"/>
              <w:right w:space="0" w:sz="4" w:color="auto" w:val="single"/>
            </w:tcBorders>
            <w:shd w:fill="auto" w:color="auto" w:val="clear"/>
            <w:vAlign w:val="center"/>
            <w:hideMark/>
          </w:tcPr>
          <w:p w:rsidRDefault="00C947C4" w:rsidP="00C947C4" w:rsidR="00C947C4" w:rsidRPr="00C947C4">
            <w:pPr>
              <w:overflowPunct/>
              <w:autoSpaceDE/>
              <w:autoSpaceDN/>
              <w:adjustRightInd/>
              <w:jc w:val="center"/>
              <w:textAlignment w:val="auto"/>
              <w:rPr>
                <w:color w:val="000000"/>
                <w:sz w:val="24"/>
                <w:szCs w:val="24"/>
              </w:rPr>
            </w:pPr>
            <w:r w:rsidRPr="00C947C4">
              <w:rPr>
                <w:color w:val="000000"/>
                <w:sz w:val="24"/>
                <w:szCs w:val="24"/>
              </w:rPr>
              <w:t>3</w:t>
            </w:r>
          </w:p>
        </w:tc>
        <w:tc>
          <w:tcPr>
            <w:tcW w:type="pct" w:w="483"/>
            <w:tcBorders>
              <w:top w:val="nil"/>
              <w:left w:val="nil"/>
              <w:bottom w:space="0" w:sz="4" w:color="auto" w:val="single"/>
              <w:right w:space="0" w:sz="4" w:color="auto" w:val="single"/>
            </w:tcBorders>
            <w:shd w:fill="auto" w:color="auto" w:val="clear"/>
            <w:vAlign w:val="center"/>
            <w:hideMark/>
          </w:tcPr>
          <w:p w:rsidRDefault="00C947C4" w:rsidP="00C947C4" w:rsidR="00C947C4" w:rsidRPr="00C947C4">
            <w:pPr>
              <w:overflowPunct/>
              <w:autoSpaceDE/>
              <w:autoSpaceDN/>
              <w:adjustRightInd/>
              <w:jc w:val="center"/>
              <w:textAlignment w:val="auto"/>
              <w:rPr>
                <w:color w:val="000000"/>
                <w:sz w:val="24"/>
                <w:szCs w:val="24"/>
              </w:rPr>
            </w:pPr>
            <w:r w:rsidRPr="00C947C4">
              <w:rPr>
                <w:color w:val="000000"/>
                <w:sz w:val="24"/>
                <w:szCs w:val="24"/>
              </w:rPr>
              <w:t>HRVATSKI TELEKOM d.d.</w:t>
            </w:r>
          </w:p>
        </w:tc>
        <w:tc>
          <w:tcPr>
            <w:tcW w:type="pct" w:w="405"/>
            <w:tcBorders>
              <w:top w:val="nil"/>
              <w:left w:val="nil"/>
              <w:bottom w:space="0" w:sz="4" w:color="auto" w:val="single"/>
              <w:right w:space="0" w:sz="4" w:color="auto" w:val="single"/>
            </w:tcBorders>
            <w:shd w:fill="auto" w:color="auto" w:val="clear"/>
            <w:vAlign w:val="center"/>
            <w:hideMark/>
          </w:tcPr>
          <w:p w:rsidRDefault="00C947C4" w:rsidP="00C947C4" w:rsidR="00C947C4" w:rsidRPr="00C947C4">
            <w:pPr>
              <w:overflowPunct/>
              <w:autoSpaceDE/>
              <w:autoSpaceDN/>
              <w:adjustRightInd/>
              <w:jc w:val="center"/>
              <w:textAlignment w:val="auto"/>
              <w:rPr>
                <w:color w:val="000000"/>
                <w:sz w:val="24"/>
                <w:szCs w:val="24"/>
              </w:rPr>
            </w:pPr>
            <w:r w:rsidRPr="00C947C4">
              <w:rPr>
                <w:color w:val="000000"/>
                <w:sz w:val="24"/>
                <w:szCs w:val="24"/>
              </w:rPr>
              <w:t>81793146560</w:t>
            </w:r>
          </w:p>
        </w:tc>
        <w:tc>
          <w:tcPr>
            <w:tcW w:type="pct" w:w="615"/>
            <w:tcBorders>
              <w:top w:val="nil"/>
              <w:left w:val="nil"/>
              <w:bottom w:space="0" w:sz="4" w:color="auto" w:val="single"/>
              <w:right w:space="0" w:sz="4" w:color="auto" w:val="single"/>
            </w:tcBorders>
            <w:shd w:fill="auto" w:color="auto" w:val="clear"/>
            <w:vAlign w:val="center"/>
            <w:hideMark/>
          </w:tcPr>
          <w:p w:rsidRDefault="00C947C4" w:rsidP="00C947C4" w:rsidR="00C947C4" w:rsidRPr="00C947C4">
            <w:pPr>
              <w:overflowPunct/>
              <w:autoSpaceDE/>
              <w:autoSpaceDN/>
              <w:adjustRightInd/>
              <w:jc w:val="center"/>
              <w:textAlignment w:val="auto"/>
              <w:rPr>
                <w:color w:val="000000"/>
                <w:sz w:val="24"/>
                <w:szCs w:val="24"/>
              </w:rPr>
            </w:pPr>
            <w:r w:rsidRPr="00C947C4">
              <w:rPr>
                <w:color w:val="000000"/>
                <w:sz w:val="24"/>
                <w:szCs w:val="24"/>
              </w:rPr>
              <w:t>Roberta Frangeša Mihanovića 9, 10110 Zagreb</w:t>
            </w:r>
          </w:p>
        </w:tc>
        <w:tc>
          <w:tcPr>
            <w:tcW w:type="pct" w:w="421"/>
            <w:tcBorders>
              <w:top w:val="nil"/>
              <w:left w:val="nil"/>
              <w:bottom w:space="0" w:sz="4" w:color="auto" w:val="single"/>
              <w:right w:space="0" w:sz="4" w:color="auto" w:val="single"/>
            </w:tcBorders>
            <w:shd w:fill="auto" w:color="auto" w:val="clear"/>
            <w:vAlign w:val="center"/>
            <w:hideMark/>
          </w:tcPr>
          <w:p w:rsidRDefault="00C947C4" w:rsidP="00C947C4" w:rsidR="00C947C4" w:rsidRPr="00C947C4">
            <w:pPr>
              <w:overflowPunct/>
              <w:autoSpaceDE/>
              <w:autoSpaceDN/>
              <w:adjustRightInd/>
              <w:jc w:val="right"/>
              <w:textAlignment w:val="auto"/>
              <w:rPr>
                <w:color w:val="000000"/>
                <w:sz w:val="24"/>
                <w:szCs w:val="24"/>
              </w:rPr>
            </w:pPr>
            <w:r w:rsidRPr="00C947C4">
              <w:rPr>
                <w:color w:val="000000"/>
                <w:sz w:val="24"/>
                <w:szCs w:val="24"/>
              </w:rPr>
              <w:t>4.893,99</w:t>
            </w:r>
          </w:p>
        </w:tc>
        <w:tc>
          <w:tcPr>
            <w:tcW w:type="pct" w:w="552"/>
            <w:tcBorders>
              <w:top w:val="nil"/>
              <w:left w:val="nil"/>
              <w:bottom w:space="0" w:sz="4" w:color="auto" w:val="single"/>
              <w:right w:space="0" w:sz="4" w:color="auto" w:val="single"/>
            </w:tcBorders>
            <w:shd w:fill="auto" w:color="auto" w:val="clear"/>
            <w:vAlign w:val="center"/>
            <w:hideMark/>
          </w:tcPr>
          <w:p w:rsidRDefault="00C947C4" w:rsidP="00C947C4" w:rsidR="00C947C4" w:rsidRPr="00C947C4">
            <w:pPr>
              <w:overflowPunct/>
              <w:autoSpaceDE/>
              <w:autoSpaceDN/>
              <w:adjustRightInd/>
              <w:jc w:val="center"/>
              <w:textAlignment w:val="auto"/>
              <w:rPr>
                <w:color w:val="000000"/>
                <w:sz w:val="24"/>
                <w:szCs w:val="24"/>
              </w:rPr>
            </w:pPr>
            <w:r w:rsidRPr="00C947C4">
              <w:rPr>
                <w:color w:val="000000"/>
                <w:sz w:val="24"/>
                <w:szCs w:val="24"/>
              </w:rPr>
              <w:t>Ovršna isprava</w:t>
            </w:r>
          </w:p>
        </w:tc>
        <w:tc>
          <w:tcPr>
            <w:tcW w:type="pct" w:w="421"/>
            <w:tcBorders>
              <w:top w:val="nil"/>
              <w:left w:val="nil"/>
              <w:bottom w:space="0" w:sz="4" w:color="auto" w:val="single"/>
              <w:right w:space="0" w:sz="4" w:color="auto" w:val="single"/>
            </w:tcBorders>
            <w:shd w:fill="auto" w:color="auto" w:val="clear"/>
            <w:vAlign w:val="center"/>
            <w:hideMark/>
          </w:tcPr>
          <w:p w:rsidRDefault="00C947C4" w:rsidP="00C947C4" w:rsidR="00C947C4" w:rsidRPr="00C947C4">
            <w:pPr>
              <w:overflowPunct/>
              <w:autoSpaceDE/>
              <w:autoSpaceDN/>
              <w:adjustRightInd/>
              <w:jc w:val="right"/>
              <w:textAlignment w:val="auto"/>
              <w:rPr>
                <w:color w:val="000000"/>
                <w:sz w:val="24"/>
                <w:szCs w:val="24"/>
              </w:rPr>
            </w:pPr>
            <w:r w:rsidRPr="00C947C4">
              <w:rPr>
                <w:color w:val="000000"/>
                <w:sz w:val="24"/>
                <w:szCs w:val="24"/>
              </w:rPr>
              <w:t>4.893,99</w:t>
            </w:r>
          </w:p>
        </w:tc>
        <w:tc>
          <w:tcPr>
            <w:tcW w:type="pct" w:w="552"/>
            <w:tcBorders>
              <w:top w:val="nil"/>
              <w:left w:val="nil"/>
              <w:bottom w:space="0" w:sz="4" w:color="auto" w:val="single"/>
              <w:right w:space="0" w:sz="4" w:color="auto" w:val="single"/>
            </w:tcBorders>
            <w:shd w:fill="auto" w:color="auto" w:val="clear"/>
            <w:vAlign w:val="center"/>
            <w:hideMark/>
          </w:tcPr>
          <w:p w:rsidRDefault="00C947C4" w:rsidP="00C947C4" w:rsidR="00C947C4" w:rsidRPr="00C947C4">
            <w:pPr>
              <w:overflowPunct/>
              <w:autoSpaceDE/>
              <w:autoSpaceDN/>
              <w:adjustRightInd/>
              <w:jc w:val="center"/>
              <w:textAlignment w:val="auto"/>
              <w:rPr>
                <w:color w:val="000000"/>
                <w:sz w:val="24"/>
                <w:szCs w:val="24"/>
              </w:rPr>
            </w:pPr>
            <w:r w:rsidRPr="00C947C4">
              <w:rPr>
                <w:color w:val="000000"/>
                <w:sz w:val="24"/>
                <w:szCs w:val="24"/>
              </w:rPr>
              <w:t>Ovršna isprava</w:t>
            </w:r>
          </w:p>
        </w:tc>
        <w:tc>
          <w:tcPr>
            <w:tcW w:type="pct" w:w="389"/>
            <w:tcBorders>
              <w:top w:val="nil"/>
              <w:left w:val="nil"/>
              <w:bottom w:space="0" w:sz="4" w:color="auto" w:val="single"/>
              <w:right w:space="0" w:sz="4" w:color="auto" w:val="single"/>
            </w:tcBorders>
            <w:shd w:fill="auto" w:color="auto" w:val="clear"/>
            <w:vAlign w:val="center"/>
            <w:hideMark/>
          </w:tcPr>
          <w:p w:rsidRDefault="00C947C4" w:rsidP="00C947C4" w:rsidR="00C947C4" w:rsidRPr="00C947C4">
            <w:pPr>
              <w:overflowPunct/>
              <w:autoSpaceDE/>
              <w:autoSpaceDN/>
              <w:adjustRightInd/>
              <w:jc w:val="center"/>
              <w:textAlignment w:val="auto"/>
              <w:rPr>
                <w:color w:val="000000"/>
                <w:sz w:val="24"/>
                <w:szCs w:val="24"/>
              </w:rPr>
            </w:pPr>
            <w:r w:rsidRPr="00C947C4">
              <w:rPr>
                <w:color w:val="000000"/>
                <w:sz w:val="24"/>
                <w:szCs w:val="24"/>
              </w:rPr>
              <w:t>-</w:t>
            </w:r>
          </w:p>
        </w:tc>
        <w:tc>
          <w:tcPr>
            <w:tcW w:type="pct" w:w="393"/>
            <w:tcBorders>
              <w:top w:val="nil"/>
              <w:left w:val="nil"/>
              <w:bottom w:space="0" w:sz="4" w:color="auto" w:val="single"/>
              <w:right w:space="0" w:sz="4" w:color="auto" w:val="single"/>
            </w:tcBorders>
            <w:shd w:fill="auto" w:color="auto" w:val="clear"/>
            <w:vAlign w:val="center"/>
            <w:hideMark/>
          </w:tcPr>
          <w:p w:rsidRDefault="00C947C4" w:rsidP="00C947C4" w:rsidR="00C947C4" w:rsidRPr="00C947C4">
            <w:pPr>
              <w:overflowPunct/>
              <w:autoSpaceDE/>
              <w:autoSpaceDN/>
              <w:adjustRightInd/>
              <w:jc w:val="center"/>
              <w:textAlignment w:val="auto"/>
              <w:rPr>
                <w:color w:val="000000"/>
                <w:sz w:val="24"/>
                <w:szCs w:val="24"/>
              </w:rPr>
            </w:pPr>
            <w:r w:rsidRPr="00C947C4">
              <w:rPr>
                <w:color w:val="000000"/>
                <w:sz w:val="24"/>
                <w:szCs w:val="24"/>
              </w:rPr>
              <w:t>-</w:t>
            </w:r>
          </w:p>
        </w:tc>
        <w:tc>
          <w:tcPr>
            <w:tcW w:type="pct" w:w="552"/>
            <w:tcBorders>
              <w:top w:val="nil"/>
              <w:left w:val="nil"/>
              <w:bottom w:space="0" w:sz="4" w:color="auto" w:val="single"/>
              <w:right w:space="0" w:sz="8" w:color="auto" w:val="single"/>
            </w:tcBorders>
            <w:shd w:fill="auto" w:color="auto" w:val="clear"/>
            <w:vAlign w:val="center"/>
            <w:hideMark/>
          </w:tcPr>
          <w:p w:rsidRDefault="00C947C4" w:rsidP="00C947C4" w:rsidR="00C947C4" w:rsidRPr="00C947C4">
            <w:pPr>
              <w:overflowPunct/>
              <w:autoSpaceDE/>
              <w:autoSpaceDN/>
              <w:adjustRightInd/>
              <w:jc w:val="center"/>
              <w:textAlignment w:val="auto"/>
              <w:rPr>
                <w:color w:val="000000"/>
                <w:sz w:val="24"/>
                <w:szCs w:val="24"/>
              </w:rPr>
            </w:pPr>
            <w:r w:rsidRPr="00C947C4">
              <w:rPr>
                <w:color w:val="000000"/>
                <w:sz w:val="24"/>
                <w:szCs w:val="24"/>
              </w:rPr>
              <w:t>Rješenje o ovrsi od 04.06.2012.g. ovjeren kod JB Lada Škaričić Sinčić pod posl. br. Ovrv-18381/12</w:t>
            </w:r>
          </w:p>
        </w:tc>
      </w:tr>
      <w:tr w:rsidTr="00C947C4" w:rsidR="00C947C4" w:rsidRPr="00110B5F">
        <w:trPr>
          <w:trHeight w:val="2040"/>
        </w:trPr>
        <w:tc>
          <w:tcPr>
            <w:tcW w:type="pct" w:w="217"/>
            <w:tcBorders>
              <w:top w:val="nil"/>
              <w:left w:space="0" w:sz="8" w:color="auto" w:val="single"/>
              <w:bottom w:space="0" w:sz="4" w:color="auto" w:val="single"/>
              <w:right w:space="0" w:sz="4" w:color="auto" w:val="single"/>
            </w:tcBorders>
            <w:shd w:fill="auto" w:color="auto" w:val="clear"/>
            <w:vAlign w:val="center"/>
            <w:hideMark/>
          </w:tcPr>
          <w:p w:rsidRDefault="00C947C4" w:rsidP="00C947C4" w:rsidR="00C947C4" w:rsidRPr="00C947C4">
            <w:pPr>
              <w:overflowPunct/>
              <w:autoSpaceDE/>
              <w:autoSpaceDN/>
              <w:adjustRightInd/>
              <w:jc w:val="center"/>
              <w:textAlignment w:val="auto"/>
              <w:rPr>
                <w:color w:val="000000"/>
                <w:sz w:val="24"/>
                <w:szCs w:val="24"/>
              </w:rPr>
            </w:pPr>
            <w:r w:rsidRPr="00C947C4">
              <w:rPr>
                <w:color w:val="000000"/>
                <w:sz w:val="24"/>
                <w:szCs w:val="24"/>
              </w:rPr>
              <w:lastRenderedPageBreak/>
              <w:t>4</w:t>
            </w:r>
          </w:p>
        </w:tc>
        <w:tc>
          <w:tcPr>
            <w:tcW w:type="pct" w:w="483"/>
            <w:tcBorders>
              <w:top w:val="nil"/>
              <w:left w:val="nil"/>
              <w:bottom w:space="0" w:sz="4" w:color="auto" w:val="single"/>
              <w:right w:space="0" w:sz="4" w:color="auto" w:val="single"/>
            </w:tcBorders>
            <w:shd w:fill="auto" w:color="auto" w:val="clear"/>
            <w:vAlign w:val="center"/>
            <w:hideMark/>
          </w:tcPr>
          <w:p w:rsidRDefault="00C947C4" w:rsidP="00C947C4" w:rsidR="00C947C4" w:rsidRPr="00C947C4">
            <w:pPr>
              <w:overflowPunct/>
              <w:autoSpaceDE/>
              <w:autoSpaceDN/>
              <w:adjustRightInd/>
              <w:jc w:val="center"/>
              <w:textAlignment w:val="auto"/>
              <w:rPr>
                <w:color w:val="000000"/>
                <w:sz w:val="24"/>
                <w:szCs w:val="24"/>
              </w:rPr>
            </w:pPr>
            <w:r w:rsidRPr="00C947C4">
              <w:rPr>
                <w:color w:val="000000"/>
                <w:sz w:val="24"/>
                <w:szCs w:val="24"/>
              </w:rPr>
              <w:t>REPUBLIKA HRVATSKA, MINISTARSTVO FINANCIJA, POREZNA UPRAVA, PODRUČNI URED ZAGREB</w:t>
            </w:r>
          </w:p>
        </w:tc>
        <w:tc>
          <w:tcPr>
            <w:tcW w:type="pct" w:w="405"/>
            <w:tcBorders>
              <w:top w:val="nil"/>
              <w:left w:val="nil"/>
              <w:bottom w:space="0" w:sz="4" w:color="auto" w:val="single"/>
              <w:right w:space="0" w:sz="4" w:color="auto" w:val="single"/>
            </w:tcBorders>
            <w:shd w:fill="auto" w:color="auto" w:val="clear"/>
            <w:vAlign w:val="center"/>
            <w:hideMark/>
          </w:tcPr>
          <w:p w:rsidRDefault="00C947C4" w:rsidP="00C947C4" w:rsidR="00C947C4" w:rsidRPr="00C947C4">
            <w:pPr>
              <w:overflowPunct/>
              <w:autoSpaceDE/>
              <w:autoSpaceDN/>
              <w:adjustRightInd/>
              <w:jc w:val="center"/>
              <w:textAlignment w:val="auto"/>
              <w:rPr>
                <w:color w:val="000000"/>
                <w:sz w:val="24"/>
                <w:szCs w:val="24"/>
              </w:rPr>
            </w:pPr>
            <w:r w:rsidRPr="00C947C4">
              <w:rPr>
                <w:color w:val="000000"/>
                <w:sz w:val="24"/>
                <w:szCs w:val="24"/>
              </w:rPr>
              <w:t>18683136487</w:t>
            </w:r>
          </w:p>
        </w:tc>
        <w:tc>
          <w:tcPr>
            <w:tcW w:type="pct" w:w="615"/>
            <w:tcBorders>
              <w:top w:val="nil"/>
              <w:left w:val="nil"/>
              <w:bottom w:space="0" w:sz="4" w:color="auto" w:val="single"/>
              <w:right w:space="0" w:sz="4" w:color="auto" w:val="single"/>
            </w:tcBorders>
            <w:shd w:fill="auto" w:color="auto" w:val="clear"/>
            <w:vAlign w:val="center"/>
            <w:hideMark/>
          </w:tcPr>
          <w:p w:rsidRDefault="00C947C4" w:rsidP="00C947C4" w:rsidR="00C947C4" w:rsidRPr="00C947C4">
            <w:pPr>
              <w:overflowPunct/>
              <w:autoSpaceDE/>
              <w:autoSpaceDN/>
              <w:adjustRightInd/>
              <w:jc w:val="center"/>
              <w:textAlignment w:val="auto"/>
              <w:rPr>
                <w:color w:val="000000"/>
                <w:sz w:val="24"/>
                <w:szCs w:val="24"/>
              </w:rPr>
            </w:pPr>
            <w:r w:rsidRPr="00C947C4">
              <w:rPr>
                <w:color w:val="000000"/>
                <w:sz w:val="24"/>
                <w:szCs w:val="24"/>
              </w:rPr>
              <w:t>Savska cesta 41, 10000 Zagreb</w:t>
            </w:r>
          </w:p>
        </w:tc>
        <w:tc>
          <w:tcPr>
            <w:tcW w:type="pct" w:w="421"/>
            <w:tcBorders>
              <w:top w:val="nil"/>
              <w:left w:val="nil"/>
              <w:bottom w:space="0" w:sz="4" w:color="auto" w:val="single"/>
              <w:right w:space="0" w:sz="4" w:color="auto" w:val="single"/>
            </w:tcBorders>
            <w:shd w:fill="auto" w:color="auto" w:val="clear"/>
            <w:vAlign w:val="center"/>
            <w:hideMark/>
          </w:tcPr>
          <w:p w:rsidRDefault="00C947C4" w:rsidP="00C947C4" w:rsidR="00C947C4" w:rsidRPr="00C947C4">
            <w:pPr>
              <w:overflowPunct/>
              <w:autoSpaceDE/>
              <w:autoSpaceDN/>
              <w:adjustRightInd/>
              <w:jc w:val="right"/>
              <w:textAlignment w:val="auto"/>
              <w:rPr>
                <w:color w:val="000000"/>
                <w:sz w:val="24"/>
                <w:szCs w:val="24"/>
              </w:rPr>
            </w:pPr>
            <w:r w:rsidRPr="00C947C4">
              <w:rPr>
                <w:color w:val="000000"/>
                <w:sz w:val="24"/>
                <w:szCs w:val="24"/>
              </w:rPr>
              <w:t>91.706,60</w:t>
            </w:r>
          </w:p>
        </w:tc>
        <w:tc>
          <w:tcPr>
            <w:tcW w:type="pct" w:w="552"/>
            <w:tcBorders>
              <w:top w:val="nil"/>
              <w:left w:val="nil"/>
              <w:bottom w:space="0" w:sz="4" w:color="auto" w:val="single"/>
              <w:right w:space="0" w:sz="4" w:color="auto" w:val="single"/>
            </w:tcBorders>
            <w:shd w:fill="auto" w:color="auto" w:val="clear"/>
            <w:vAlign w:val="center"/>
            <w:hideMark/>
          </w:tcPr>
          <w:p w:rsidRDefault="00C947C4" w:rsidP="00C947C4" w:rsidR="00C947C4" w:rsidRPr="00C947C4">
            <w:pPr>
              <w:overflowPunct/>
              <w:autoSpaceDE/>
              <w:autoSpaceDN/>
              <w:adjustRightInd/>
              <w:jc w:val="center"/>
              <w:textAlignment w:val="auto"/>
              <w:rPr>
                <w:color w:val="000000"/>
                <w:sz w:val="24"/>
                <w:szCs w:val="24"/>
              </w:rPr>
            </w:pPr>
            <w:r w:rsidRPr="00C947C4">
              <w:rPr>
                <w:color w:val="000000"/>
                <w:sz w:val="24"/>
                <w:szCs w:val="24"/>
              </w:rPr>
              <w:t>Zakonske obveze</w:t>
            </w:r>
          </w:p>
        </w:tc>
        <w:tc>
          <w:tcPr>
            <w:tcW w:type="pct" w:w="421"/>
            <w:tcBorders>
              <w:top w:val="nil"/>
              <w:left w:val="nil"/>
              <w:bottom w:space="0" w:sz="4" w:color="auto" w:val="single"/>
              <w:right w:space="0" w:sz="4" w:color="auto" w:val="single"/>
            </w:tcBorders>
            <w:shd w:fill="auto" w:color="auto" w:val="clear"/>
            <w:vAlign w:val="center"/>
            <w:hideMark/>
          </w:tcPr>
          <w:p w:rsidRDefault="00C947C4" w:rsidP="00C947C4" w:rsidR="00C947C4" w:rsidRPr="00C947C4">
            <w:pPr>
              <w:overflowPunct/>
              <w:autoSpaceDE/>
              <w:autoSpaceDN/>
              <w:adjustRightInd/>
              <w:jc w:val="right"/>
              <w:textAlignment w:val="auto"/>
              <w:rPr>
                <w:color w:val="000000"/>
                <w:sz w:val="24"/>
                <w:szCs w:val="24"/>
              </w:rPr>
            </w:pPr>
            <w:r w:rsidRPr="00C947C4">
              <w:rPr>
                <w:color w:val="000000"/>
                <w:sz w:val="24"/>
                <w:szCs w:val="24"/>
              </w:rPr>
              <w:t>91.706,60</w:t>
            </w:r>
          </w:p>
        </w:tc>
        <w:tc>
          <w:tcPr>
            <w:tcW w:type="pct" w:w="552"/>
            <w:tcBorders>
              <w:top w:val="nil"/>
              <w:left w:val="nil"/>
              <w:bottom w:space="0" w:sz="4" w:color="auto" w:val="single"/>
              <w:right w:space="0" w:sz="4" w:color="auto" w:val="single"/>
            </w:tcBorders>
            <w:shd w:fill="auto" w:color="auto" w:val="clear"/>
            <w:vAlign w:val="center"/>
            <w:hideMark/>
          </w:tcPr>
          <w:p w:rsidRDefault="00C947C4" w:rsidP="00C947C4" w:rsidR="00C947C4" w:rsidRPr="00C947C4">
            <w:pPr>
              <w:overflowPunct/>
              <w:autoSpaceDE/>
              <w:autoSpaceDN/>
              <w:adjustRightInd/>
              <w:jc w:val="center"/>
              <w:textAlignment w:val="auto"/>
              <w:rPr>
                <w:color w:val="000000"/>
                <w:sz w:val="24"/>
                <w:szCs w:val="24"/>
              </w:rPr>
            </w:pPr>
            <w:r w:rsidRPr="00C947C4">
              <w:rPr>
                <w:color w:val="000000"/>
                <w:sz w:val="24"/>
                <w:szCs w:val="24"/>
              </w:rPr>
              <w:t>Zakonske obveze</w:t>
            </w:r>
          </w:p>
        </w:tc>
        <w:tc>
          <w:tcPr>
            <w:tcW w:type="pct" w:w="389"/>
            <w:tcBorders>
              <w:top w:val="nil"/>
              <w:left w:val="nil"/>
              <w:bottom w:space="0" w:sz="4" w:color="auto" w:val="single"/>
              <w:right w:space="0" w:sz="4" w:color="auto" w:val="single"/>
            </w:tcBorders>
            <w:shd w:fill="auto" w:color="auto" w:val="clear"/>
            <w:vAlign w:val="center"/>
            <w:hideMark/>
          </w:tcPr>
          <w:p w:rsidRDefault="00C947C4" w:rsidP="00C947C4" w:rsidR="00C947C4" w:rsidRPr="00C947C4">
            <w:pPr>
              <w:overflowPunct/>
              <w:autoSpaceDE/>
              <w:autoSpaceDN/>
              <w:adjustRightInd/>
              <w:jc w:val="center"/>
              <w:textAlignment w:val="auto"/>
              <w:rPr>
                <w:color w:val="000000"/>
                <w:sz w:val="24"/>
                <w:szCs w:val="24"/>
              </w:rPr>
            </w:pPr>
            <w:r w:rsidRPr="00C947C4">
              <w:rPr>
                <w:color w:val="000000"/>
                <w:sz w:val="24"/>
                <w:szCs w:val="24"/>
              </w:rPr>
              <w:t>-</w:t>
            </w:r>
          </w:p>
        </w:tc>
        <w:tc>
          <w:tcPr>
            <w:tcW w:type="pct" w:w="393"/>
            <w:tcBorders>
              <w:top w:val="nil"/>
              <w:left w:val="nil"/>
              <w:bottom w:space="0" w:sz="4" w:color="auto" w:val="single"/>
              <w:right w:space="0" w:sz="4" w:color="auto" w:val="single"/>
            </w:tcBorders>
            <w:shd w:fill="auto" w:color="auto" w:val="clear"/>
            <w:vAlign w:val="center"/>
            <w:hideMark/>
          </w:tcPr>
          <w:p w:rsidRDefault="00C947C4" w:rsidP="00C947C4" w:rsidR="00C947C4" w:rsidRPr="00C947C4">
            <w:pPr>
              <w:overflowPunct/>
              <w:autoSpaceDE/>
              <w:autoSpaceDN/>
              <w:adjustRightInd/>
              <w:jc w:val="center"/>
              <w:textAlignment w:val="auto"/>
              <w:rPr>
                <w:color w:val="000000"/>
                <w:sz w:val="24"/>
                <w:szCs w:val="24"/>
              </w:rPr>
            </w:pPr>
            <w:r w:rsidRPr="00C947C4">
              <w:rPr>
                <w:color w:val="000000"/>
                <w:sz w:val="24"/>
                <w:szCs w:val="24"/>
              </w:rPr>
              <w:t>-</w:t>
            </w:r>
          </w:p>
        </w:tc>
        <w:tc>
          <w:tcPr>
            <w:tcW w:type="pct" w:w="552"/>
            <w:tcBorders>
              <w:top w:val="nil"/>
              <w:left w:val="nil"/>
              <w:bottom w:space="0" w:sz="4" w:color="auto" w:val="single"/>
              <w:right w:space="0" w:sz="8" w:color="auto" w:val="single"/>
            </w:tcBorders>
            <w:shd w:fill="auto" w:color="auto" w:val="clear"/>
            <w:vAlign w:val="center"/>
            <w:hideMark/>
          </w:tcPr>
          <w:p w:rsidRDefault="00C947C4" w:rsidP="00C947C4" w:rsidR="00C947C4" w:rsidRPr="00C947C4">
            <w:pPr>
              <w:overflowPunct/>
              <w:autoSpaceDE/>
              <w:autoSpaceDN/>
              <w:adjustRightInd/>
              <w:jc w:val="center"/>
              <w:textAlignment w:val="auto"/>
              <w:rPr>
                <w:color w:val="000000"/>
                <w:sz w:val="24"/>
                <w:szCs w:val="24"/>
              </w:rPr>
            </w:pPr>
            <w:r w:rsidRPr="00C947C4">
              <w:rPr>
                <w:color w:val="000000"/>
                <w:sz w:val="24"/>
                <w:szCs w:val="24"/>
              </w:rPr>
              <w:t>Ovjereni knjigovodstveni izlist iz ISPU za konta 4251, 2870, 1732, 1716, 1201</w:t>
            </w:r>
          </w:p>
        </w:tc>
      </w:tr>
      <w:tr w:rsidTr="00C947C4" w:rsidR="00C947C4" w:rsidRPr="00110B5F">
        <w:trPr>
          <w:trHeight w:val="765"/>
        </w:trPr>
        <w:tc>
          <w:tcPr>
            <w:tcW w:type="pct" w:w="217"/>
            <w:tcBorders>
              <w:top w:val="nil"/>
              <w:left w:space="0" w:sz="8" w:color="auto" w:val="single"/>
              <w:bottom w:space="0" w:sz="4" w:color="auto" w:val="single"/>
              <w:right w:space="0" w:sz="4" w:color="auto" w:val="single"/>
            </w:tcBorders>
            <w:shd w:fill="auto" w:color="auto" w:val="clear"/>
            <w:vAlign w:val="center"/>
            <w:hideMark/>
          </w:tcPr>
          <w:p w:rsidRDefault="00C947C4" w:rsidP="00C947C4" w:rsidR="00C947C4" w:rsidRPr="00C947C4">
            <w:pPr>
              <w:overflowPunct/>
              <w:autoSpaceDE/>
              <w:autoSpaceDN/>
              <w:adjustRightInd/>
              <w:jc w:val="center"/>
              <w:textAlignment w:val="auto"/>
              <w:rPr>
                <w:color w:val="000000"/>
                <w:sz w:val="24"/>
                <w:szCs w:val="24"/>
              </w:rPr>
            </w:pPr>
            <w:r w:rsidRPr="00C947C4">
              <w:rPr>
                <w:color w:val="000000"/>
                <w:sz w:val="24"/>
                <w:szCs w:val="24"/>
              </w:rPr>
              <w:t>5</w:t>
            </w:r>
          </w:p>
        </w:tc>
        <w:tc>
          <w:tcPr>
            <w:tcW w:type="pct" w:w="483"/>
            <w:tcBorders>
              <w:top w:val="nil"/>
              <w:left w:val="nil"/>
              <w:bottom w:space="0" w:sz="4" w:color="auto" w:val="single"/>
              <w:right w:space="0" w:sz="4" w:color="auto" w:val="single"/>
            </w:tcBorders>
            <w:shd w:fill="auto" w:color="auto" w:val="clear"/>
            <w:vAlign w:val="center"/>
            <w:hideMark/>
          </w:tcPr>
          <w:p w:rsidRDefault="00C947C4" w:rsidP="00C947C4" w:rsidR="00C947C4" w:rsidRPr="00C947C4">
            <w:pPr>
              <w:overflowPunct/>
              <w:autoSpaceDE/>
              <w:autoSpaceDN/>
              <w:adjustRightInd/>
              <w:jc w:val="center"/>
              <w:textAlignment w:val="auto"/>
              <w:rPr>
                <w:color w:val="000000"/>
                <w:sz w:val="24"/>
                <w:szCs w:val="24"/>
              </w:rPr>
            </w:pPr>
            <w:r w:rsidRPr="00C947C4">
              <w:rPr>
                <w:color w:val="000000"/>
                <w:sz w:val="24"/>
                <w:szCs w:val="24"/>
              </w:rPr>
              <w:t>HEP ELEKTRA d.o.o.</w:t>
            </w:r>
          </w:p>
        </w:tc>
        <w:tc>
          <w:tcPr>
            <w:tcW w:type="pct" w:w="405"/>
            <w:tcBorders>
              <w:top w:val="nil"/>
              <w:left w:val="nil"/>
              <w:bottom w:space="0" w:sz="4" w:color="auto" w:val="single"/>
              <w:right w:space="0" w:sz="4" w:color="auto" w:val="single"/>
            </w:tcBorders>
            <w:shd w:fill="auto" w:color="auto" w:val="clear"/>
            <w:vAlign w:val="center"/>
            <w:hideMark/>
          </w:tcPr>
          <w:p w:rsidRDefault="00C947C4" w:rsidP="00C947C4" w:rsidR="00C947C4" w:rsidRPr="00C947C4">
            <w:pPr>
              <w:overflowPunct/>
              <w:autoSpaceDE/>
              <w:autoSpaceDN/>
              <w:adjustRightInd/>
              <w:jc w:val="center"/>
              <w:textAlignment w:val="auto"/>
              <w:rPr>
                <w:color w:val="000000"/>
                <w:sz w:val="24"/>
                <w:szCs w:val="24"/>
              </w:rPr>
            </w:pPr>
            <w:r w:rsidRPr="00C947C4">
              <w:rPr>
                <w:color w:val="000000"/>
                <w:sz w:val="24"/>
                <w:szCs w:val="24"/>
              </w:rPr>
              <w:t>43965974818</w:t>
            </w:r>
          </w:p>
        </w:tc>
        <w:tc>
          <w:tcPr>
            <w:tcW w:type="pct" w:w="615"/>
            <w:tcBorders>
              <w:top w:val="nil"/>
              <w:left w:val="nil"/>
              <w:bottom w:space="0" w:sz="4" w:color="auto" w:val="single"/>
              <w:right w:space="0" w:sz="4" w:color="auto" w:val="single"/>
            </w:tcBorders>
            <w:shd w:fill="auto" w:color="auto" w:val="clear"/>
            <w:vAlign w:val="center"/>
            <w:hideMark/>
          </w:tcPr>
          <w:p w:rsidRDefault="00C947C4" w:rsidP="00C947C4" w:rsidR="00C947C4" w:rsidRPr="00C947C4">
            <w:pPr>
              <w:overflowPunct/>
              <w:autoSpaceDE/>
              <w:autoSpaceDN/>
              <w:adjustRightInd/>
              <w:jc w:val="center"/>
              <w:textAlignment w:val="auto"/>
              <w:rPr>
                <w:color w:val="000000"/>
                <w:sz w:val="24"/>
                <w:szCs w:val="24"/>
              </w:rPr>
            </w:pPr>
            <w:r w:rsidRPr="00C947C4">
              <w:rPr>
                <w:color w:val="000000"/>
                <w:sz w:val="24"/>
                <w:szCs w:val="24"/>
              </w:rPr>
              <w:t>Ulica grada Vukovara 37, 10000 Zagreb</w:t>
            </w:r>
          </w:p>
        </w:tc>
        <w:tc>
          <w:tcPr>
            <w:tcW w:type="pct" w:w="421"/>
            <w:tcBorders>
              <w:top w:val="nil"/>
              <w:left w:val="nil"/>
              <w:bottom w:space="0" w:sz="4" w:color="auto" w:val="single"/>
              <w:right w:space="0" w:sz="4" w:color="auto" w:val="single"/>
            </w:tcBorders>
            <w:shd w:fill="auto" w:color="auto" w:val="clear"/>
            <w:vAlign w:val="center"/>
            <w:hideMark/>
          </w:tcPr>
          <w:p w:rsidRDefault="00C947C4" w:rsidP="00C947C4" w:rsidR="00C947C4" w:rsidRPr="00C947C4">
            <w:pPr>
              <w:overflowPunct/>
              <w:autoSpaceDE/>
              <w:autoSpaceDN/>
              <w:adjustRightInd/>
              <w:jc w:val="right"/>
              <w:textAlignment w:val="auto"/>
              <w:rPr>
                <w:color w:val="000000"/>
                <w:sz w:val="24"/>
                <w:szCs w:val="24"/>
              </w:rPr>
            </w:pPr>
            <w:r w:rsidRPr="00C947C4">
              <w:rPr>
                <w:color w:val="000000"/>
                <w:sz w:val="24"/>
                <w:szCs w:val="24"/>
              </w:rPr>
              <w:t>10.116,65</w:t>
            </w:r>
          </w:p>
        </w:tc>
        <w:tc>
          <w:tcPr>
            <w:tcW w:type="pct" w:w="552"/>
            <w:tcBorders>
              <w:top w:val="nil"/>
              <w:left w:val="nil"/>
              <w:bottom w:space="0" w:sz="4" w:color="auto" w:val="single"/>
              <w:right w:space="0" w:sz="4" w:color="auto" w:val="single"/>
            </w:tcBorders>
            <w:shd w:fill="auto" w:color="auto" w:val="clear"/>
            <w:vAlign w:val="center"/>
            <w:hideMark/>
          </w:tcPr>
          <w:p w:rsidRDefault="00C947C4" w:rsidP="00C947C4" w:rsidR="00C947C4" w:rsidRPr="00C947C4">
            <w:pPr>
              <w:overflowPunct/>
              <w:autoSpaceDE/>
              <w:autoSpaceDN/>
              <w:adjustRightInd/>
              <w:jc w:val="center"/>
              <w:textAlignment w:val="auto"/>
              <w:rPr>
                <w:color w:val="000000"/>
                <w:sz w:val="24"/>
                <w:szCs w:val="24"/>
              </w:rPr>
            </w:pPr>
            <w:r w:rsidRPr="00C947C4">
              <w:rPr>
                <w:color w:val="000000"/>
                <w:sz w:val="24"/>
                <w:szCs w:val="24"/>
              </w:rPr>
              <w:t>Isporuka električne energije</w:t>
            </w:r>
          </w:p>
        </w:tc>
        <w:tc>
          <w:tcPr>
            <w:tcW w:type="pct" w:w="421"/>
            <w:tcBorders>
              <w:top w:val="nil"/>
              <w:left w:val="nil"/>
              <w:bottom w:space="0" w:sz="4" w:color="auto" w:val="single"/>
              <w:right w:space="0" w:sz="4" w:color="auto" w:val="single"/>
            </w:tcBorders>
            <w:shd w:fill="auto" w:color="auto" w:val="clear"/>
            <w:vAlign w:val="center"/>
            <w:hideMark/>
          </w:tcPr>
          <w:p w:rsidRDefault="00C947C4" w:rsidP="00C947C4" w:rsidR="00C947C4" w:rsidRPr="00C947C4">
            <w:pPr>
              <w:overflowPunct/>
              <w:autoSpaceDE/>
              <w:autoSpaceDN/>
              <w:adjustRightInd/>
              <w:jc w:val="right"/>
              <w:textAlignment w:val="auto"/>
              <w:rPr>
                <w:color w:val="000000"/>
                <w:sz w:val="24"/>
                <w:szCs w:val="24"/>
              </w:rPr>
            </w:pPr>
            <w:r w:rsidRPr="00C947C4">
              <w:rPr>
                <w:color w:val="000000"/>
                <w:sz w:val="24"/>
                <w:szCs w:val="24"/>
              </w:rPr>
              <w:t>10.116,65</w:t>
            </w:r>
          </w:p>
        </w:tc>
        <w:tc>
          <w:tcPr>
            <w:tcW w:type="pct" w:w="552"/>
            <w:tcBorders>
              <w:top w:val="nil"/>
              <w:left w:val="nil"/>
              <w:bottom w:space="0" w:sz="4" w:color="auto" w:val="single"/>
              <w:right w:space="0" w:sz="4" w:color="auto" w:val="single"/>
            </w:tcBorders>
            <w:shd w:fill="auto" w:color="auto" w:val="clear"/>
            <w:vAlign w:val="center"/>
            <w:hideMark/>
          </w:tcPr>
          <w:p w:rsidRDefault="00C947C4" w:rsidP="00C947C4" w:rsidR="00C947C4" w:rsidRPr="00C947C4">
            <w:pPr>
              <w:overflowPunct/>
              <w:autoSpaceDE/>
              <w:autoSpaceDN/>
              <w:adjustRightInd/>
              <w:jc w:val="center"/>
              <w:textAlignment w:val="auto"/>
              <w:rPr>
                <w:color w:val="000000"/>
                <w:sz w:val="24"/>
                <w:szCs w:val="24"/>
              </w:rPr>
            </w:pPr>
            <w:r w:rsidRPr="00C947C4">
              <w:rPr>
                <w:color w:val="000000"/>
                <w:sz w:val="24"/>
                <w:szCs w:val="24"/>
              </w:rPr>
              <w:t>Isporuka električne energije</w:t>
            </w:r>
          </w:p>
        </w:tc>
        <w:tc>
          <w:tcPr>
            <w:tcW w:type="pct" w:w="389"/>
            <w:tcBorders>
              <w:top w:val="nil"/>
              <w:left w:val="nil"/>
              <w:bottom w:space="0" w:sz="4" w:color="auto" w:val="single"/>
              <w:right w:space="0" w:sz="4" w:color="auto" w:val="single"/>
            </w:tcBorders>
            <w:shd w:fill="auto" w:color="auto" w:val="clear"/>
            <w:vAlign w:val="center"/>
            <w:hideMark/>
          </w:tcPr>
          <w:p w:rsidRDefault="00C947C4" w:rsidP="00C947C4" w:rsidR="00C947C4" w:rsidRPr="00C947C4">
            <w:pPr>
              <w:overflowPunct/>
              <w:autoSpaceDE/>
              <w:autoSpaceDN/>
              <w:adjustRightInd/>
              <w:jc w:val="center"/>
              <w:textAlignment w:val="auto"/>
              <w:rPr>
                <w:color w:val="000000"/>
                <w:sz w:val="24"/>
                <w:szCs w:val="24"/>
              </w:rPr>
            </w:pPr>
            <w:r w:rsidRPr="00C947C4">
              <w:rPr>
                <w:color w:val="000000"/>
                <w:sz w:val="24"/>
                <w:szCs w:val="24"/>
              </w:rPr>
              <w:t>-</w:t>
            </w:r>
          </w:p>
        </w:tc>
        <w:tc>
          <w:tcPr>
            <w:tcW w:type="pct" w:w="393"/>
            <w:tcBorders>
              <w:top w:val="nil"/>
              <w:left w:val="nil"/>
              <w:bottom w:space="0" w:sz="4" w:color="auto" w:val="single"/>
              <w:right w:space="0" w:sz="4" w:color="auto" w:val="single"/>
            </w:tcBorders>
            <w:shd w:fill="auto" w:color="auto" w:val="clear"/>
            <w:vAlign w:val="center"/>
            <w:hideMark/>
          </w:tcPr>
          <w:p w:rsidRDefault="00C947C4" w:rsidP="00C947C4" w:rsidR="00C947C4" w:rsidRPr="00C947C4">
            <w:pPr>
              <w:overflowPunct/>
              <w:autoSpaceDE/>
              <w:autoSpaceDN/>
              <w:adjustRightInd/>
              <w:jc w:val="center"/>
              <w:textAlignment w:val="auto"/>
              <w:rPr>
                <w:color w:val="000000"/>
                <w:sz w:val="24"/>
                <w:szCs w:val="24"/>
              </w:rPr>
            </w:pPr>
            <w:r w:rsidRPr="00C947C4">
              <w:rPr>
                <w:color w:val="000000"/>
                <w:sz w:val="24"/>
                <w:szCs w:val="24"/>
              </w:rPr>
              <w:t>-</w:t>
            </w:r>
          </w:p>
        </w:tc>
        <w:tc>
          <w:tcPr>
            <w:tcW w:type="pct" w:w="552"/>
            <w:tcBorders>
              <w:top w:val="nil"/>
              <w:left w:val="nil"/>
              <w:bottom w:space="0" w:sz="4" w:color="auto" w:val="single"/>
              <w:right w:space="0" w:sz="8" w:color="auto" w:val="single"/>
            </w:tcBorders>
            <w:shd w:fill="auto" w:color="auto" w:val="clear"/>
            <w:vAlign w:val="center"/>
            <w:hideMark/>
          </w:tcPr>
          <w:p w:rsidRDefault="00C947C4" w:rsidP="00C947C4" w:rsidR="00C947C4" w:rsidRPr="00C947C4">
            <w:pPr>
              <w:overflowPunct/>
              <w:autoSpaceDE/>
              <w:autoSpaceDN/>
              <w:adjustRightInd/>
              <w:jc w:val="center"/>
              <w:textAlignment w:val="auto"/>
              <w:rPr>
                <w:color w:val="000000"/>
                <w:sz w:val="24"/>
                <w:szCs w:val="24"/>
              </w:rPr>
            </w:pPr>
            <w:r w:rsidRPr="00C947C4">
              <w:rPr>
                <w:color w:val="000000"/>
                <w:sz w:val="24"/>
                <w:szCs w:val="24"/>
              </w:rPr>
              <w:t>-</w:t>
            </w:r>
          </w:p>
        </w:tc>
      </w:tr>
      <w:tr w:rsidTr="00C947C4" w:rsidR="00C947C4" w:rsidRPr="00110B5F">
        <w:trPr>
          <w:trHeight w:val="1530"/>
        </w:trPr>
        <w:tc>
          <w:tcPr>
            <w:tcW w:type="pct" w:w="217"/>
            <w:tcBorders>
              <w:top w:val="nil"/>
              <w:left w:space="0" w:sz="8" w:color="auto" w:val="single"/>
              <w:bottom w:space="0" w:sz="4" w:color="auto" w:val="single"/>
              <w:right w:space="0" w:sz="4" w:color="auto" w:val="single"/>
            </w:tcBorders>
            <w:shd w:fill="auto" w:color="auto" w:val="clear"/>
            <w:vAlign w:val="center"/>
            <w:hideMark/>
          </w:tcPr>
          <w:p w:rsidRDefault="00C947C4" w:rsidP="00C947C4" w:rsidR="00C947C4" w:rsidRPr="00C947C4">
            <w:pPr>
              <w:overflowPunct/>
              <w:autoSpaceDE/>
              <w:autoSpaceDN/>
              <w:adjustRightInd/>
              <w:jc w:val="center"/>
              <w:textAlignment w:val="auto"/>
              <w:rPr>
                <w:color w:val="000000"/>
                <w:sz w:val="24"/>
                <w:szCs w:val="24"/>
              </w:rPr>
            </w:pPr>
            <w:r w:rsidRPr="00C947C4">
              <w:rPr>
                <w:color w:val="000000"/>
                <w:sz w:val="24"/>
                <w:szCs w:val="24"/>
              </w:rPr>
              <w:t>6</w:t>
            </w:r>
          </w:p>
        </w:tc>
        <w:tc>
          <w:tcPr>
            <w:tcW w:type="pct" w:w="483"/>
            <w:tcBorders>
              <w:top w:val="nil"/>
              <w:left w:val="nil"/>
              <w:bottom w:space="0" w:sz="4" w:color="auto" w:val="single"/>
              <w:right w:space="0" w:sz="4" w:color="auto" w:val="single"/>
            </w:tcBorders>
            <w:shd w:fill="auto" w:color="auto" w:val="clear"/>
            <w:vAlign w:val="center"/>
            <w:hideMark/>
          </w:tcPr>
          <w:p w:rsidRDefault="00C947C4" w:rsidP="00C947C4" w:rsidR="00C947C4" w:rsidRPr="00C947C4">
            <w:pPr>
              <w:overflowPunct/>
              <w:autoSpaceDE/>
              <w:autoSpaceDN/>
              <w:adjustRightInd/>
              <w:jc w:val="center"/>
              <w:textAlignment w:val="auto"/>
              <w:rPr>
                <w:color w:val="000000"/>
                <w:sz w:val="24"/>
                <w:szCs w:val="24"/>
              </w:rPr>
            </w:pPr>
            <w:r w:rsidRPr="00C947C4">
              <w:rPr>
                <w:color w:val="000000"/>
                <w:sz w:val="24"/>
                <w:szCs w:val="24"/>
              </w:rPr>
              <w:t>GRAD VODICE</w:t>
            </w:r>
          </w:p>
        </w:tc>
        <w:tc>
          <w:tcPr>
            <w:tcW w:type="pct" w:w="405"/>
            <w:tcBorders>
              <w:top w:val="nil"/>
              <w:left w:val="nil"/>
              <w:bottom w:space="0" w:sz="4" w:color="auto" w:val="single"/>
              <w:right w:space="0" w:sz="4" w:color="auto" w:val="single"/>
            </w:tcBorders>
            <w:shd w:fill="auto" w:color="auto" w:val="clear"/>
            <w:vAlign w:val="center"/>
            <w:hideMark/>
          </w:tcPr>
          <w:p w:rsidRDefault="00C947C4" w:rsidP="00C947C4" w:rsidR="00C947C4" w:rsidRPr="00C947C4">
            <w:pPr>
              <w:overflowPunct/>
              <w:autoSpaceDE/>
              <w:autoSpaceDN/>
              <w:adjustRightInd/>
              <w:jc w:val="center"/>
              <w:textAlignment w:val="auto"/>
              <w:rPr>
                <w:color w:val="000000"/>
                <w:sz w:val="24"/>
                <w:szCs w:val="24"/>
              </w:rPr>
            </w:pPr>
            <w:r w:rsidRPr="00C947C4">
              <w:rPr>
                <w:color w:val="000000"/>
                <w:sz w:val="24"/>
                <w:szCs w:val="24"/>
              </w:rPr>
              <w:t>74633363090</w:t>
            </w:r>
          </w:p>
        </w:tc>
        <w:tc>
          <w:tcPr>
            <w:tcW w:type="pct" w:w="615"/>
            <w:tcBorders>
              <w:top w:val="nil"/>
              <w:left w:val="nil"/>
              <w:bottom w:space="0" w:sz="4" w:color="auto" w:val="single"/>
              <w:right w:space="0" w:sz="4" w:color="auto" w:val="single"/>
            </w:tcBorders>
            <w:shd w:fill="auto" w:color="auto" w:val="clear"/>
            <w:vAlign w:val="center"/>
            <w:hideMark/>
          </w:tcPr>
          <w:p w:rsidRDefault="00C947C4" w:rsidP="00C947C4" w:rsidR="00C947C4" w:rsidRPr="00C947C4">
            <w:pPr>
              <w:overflowPunct/>
              <w:autoSpaceDE/>
              <w:autoSpaceDN/>
              <w:adjustRightInd/>
              <w:jc w:val="center"/>
              <w:textAlignment w:val="auto"/>
              <w:rPr>
                <w:color w:val="000000"/>
                <w:sz w:val="24"/>
                <w:szCs w:val="24"/>
              </w:rPr>
            </w:pPr>
            <w:r w:rsidRPr="00C947C4">
              <w:rPr>
                <w:color w:val="000000"/>
                <w:sz w:val="24"/>
                <w:szCs w:val="24"/>
              </w:rPr>
              <w:t>Ive Čače 8, 22211 Vodice</w:t>
            </w:r>
          </w:p>
        </w:tc>
        <w:tc>
          <w:tcPr>
            <w:tcW w:type="pct" w:w="421"/>
            <w:tcBorders>
              <w:top w:val="nil"/>
              <w:left w:val="nil"/>
              <w:bottom w:space="0" w:sz="4" w:color="auto" w:val="single"/>
              <w:right w:space="0" w:sz="4" w:color="auto" w:val="single"/>
            </w:tcBorders>
            <w:shd w:fill="auto" w:color="auto" w:val="clear"/>
            <w:vAlign w:val="center"/>
            <w:hideMark/>
          </w:tcPr>
          <w:p w:rsidRDefault="00C947C4" w:rsidP="00C947C4" w:rsidR="00C947C4" w:rsidRPr="00C947C4">
            <w:pPr>
              <w:overflowPunct/>
              <w:autoSpaceDE/>
              <w:autoSpaceDN/>
              <w:adjustRightInd/>
              <w:jc w:val="right"/>
              <w:textAlignment w:val="auto"/>
              <w:rPr>
                <w:color w:val="000000"/>
                <w:sz w:val="24"/>
                <w:szCs w:val="24"/>
              </w:rPr>
            </w:pPr>
            <w:r w:rsidRPr="00C947C4">
              <w:rPr>
                <w:color w:val="000000"/>
                <w:sz w:val="24"/>
                <w:szCs w:val="24"/>
              </w:rPr>
              <w:t>12.508,27</w:t>
            </w:r>
          </w:p>
        </w:tc>
        <w:tc>
          <w:tcPr>
            <w:tcW w:type="pct" w:w="552"/>
            <w:tcBorders>
              <w:top w:val="nil"/>
              <w:left w:val="nil"/>
              <w:bottom w:space="0" w:sz="4" w:color="auto" w:val="single"/>
              <w:right w:space="0" w:sz="4" w:color="auto" w:val="single"/>
            </w:tcBorders>
            <w:shd w:fill="auto" w:color="auto" w:val="clear"/>
            <w:vAlign w:val="center"/>
            <w:hideMark/>
          </w:tcPr>
          <w:p w:rsidRDefault="00C947C4" w:rsidP="00C947C4" w:rsidR="00C947C4" w:rsidRPr="00C947C4">
            <w:pPr>
              <w:overflowPunct/>
              <w:autoSpaceDE/>
              <w:autoSpaceDN/>
              <w:adjustRightInd/>
              <w:jc w:val="center"/>
              <w:textAlignment w:val="auto"/>
              <w:rPr>
                <w:color w:val="000000"/>
                <w:sz w:val="24"/>
                <w:szCs w:val="24"/>
              </w:rPr>
            </w:pPr>
            <w:r w:rsidRPr="00C947C4">
              <w:rPr>
                <w:color w:val="000000"/>
                <w:sz w:val="24"/>
                <w:szCs w:val="24"/>
              </w:rPr>
              <w:t>Komunalna naknada</w:t>
            </w:r>
          </w:p>
        </w:tc>
        <w:tc>
          <w:tcPr>
            <w:tcW w:type="pct" w:w="421"/>
            <w:tcBorders>
              <w:top w:val="nil"/>
              <w:left w:val="nil"/>
              <w:bottom w:space="0" w:sz="4" w:color="auto" w:val="single"/>
              <w:right w:space="0" w:sz="4" w:color="auto" w:val="single"/>
            </w:tcBorders>
            <w:shd w:fill="auto" w:color="auto" w:val="clear"/>
            <w:vAlign w:val="center"/>
            <w:hideMark/>
          </w:tcPr>
          <w:p w:rsidRDefault="00C947C4" w:rsidP="00C947C4" w:rsidR="00C947C4" w:rsidRPr="00C947C4">
            <w:pPr>
              <w:overflowPunct/>
              <w:autoSpaceDE/>
              <w:autoSpaceDN/>
              <w:adjustRightInd/>
              <w:jc w:val="right"/>
              <w:textAlignment w:val="auto"/>
              <w:rPr>
                <w:color w:val="000000"/>
                <w:sz w:val="24"/>
                <w:szCs w:val="24"/>
              </w:rPr>
            </w:pPr>
            <w:r w:rsidRPr="00C947C4">
              <w:rPr>
                <w:color w:val="000000"/>
                <w:sz w:val="24"/>
                <w:szCs w:val="24"/>
              </w:rPr>
              <w:t>12.508,27</w:t>
            </w:r>
          </w:p>
        </w:tc>
        <w:tc>
          <w:tcPr>
            <w:tcW w:type="pct" w:w="552"/>
            <w:tcBorders>
              <w:top w:val="nil"/>
              <w:left w:val="nil"/>
              <w:bottom w:space="0" w:sz="4" w:color="auto" w:val="single"/>
              <w:right w:space="0" w:sz="4" w:color="auto" w:val="single"/>
            </w:tcBorders>
            <w:shd w:fill="auto" w:color="auto" w:val="clear"/>
            <w:vAlign w:val="center"/>
            <w:hideMark/>
          </w:tcPr>
          <w:p w:rsidRDefault="00C947C4" w:rsidP="00C947C4" w:rsidR="00C947C4" w:rsidRPr="00C947C4">
            <w:pPr>
              <w:overflowPunct/>
              <w:autoSpaceDE/>
              <w:autoSpaceDN/>
              <w:adjustRightInd/>
              <w:jc w:val="center"/>
              <w:textAlignment w:val="auto"/>
              <w:rPr>
                <w:color w:val="000000"/>
                <w:sz w:val="24"/>
                <w:szCs w:val="24"/>
              </w:rPr>
            </w:pPr>
            <w:r w:rsidRPr="00C947C4">
              <w:rPr>
                <w:color w:val="000000"/>
                <w:sz w:val="24"/>
                <w:szCs w:val="24"/>
              </w:rPr>
              <w:t>Komunalna naknada</w:t>
            </w:r>
          </w:p>
        </w:tc>
        <w:tc>
          <w:tcPr>
            <w:tcW w:type="pct" w:w="389"/>
            <w:tcBorders>
              <w:top w:val="nil"/>
              <w:left w:val="nil"/>
              <w:bottom w:space="0" w:sz="4" w:color="auto" w:val="single"/>
              <w:right w:space="0" w:sz="4" w:color="auto" w:val="single"/>
            </w:tcBorders>
            <w:shd w:fill="auto" w:color="auto" w:val="clear"/>
            <w:vAlign w:val="center"/>
            <w:hideMark/>
          </w:tcPr>
          <w:p w:rsidRDefault="00C947C4" w:rsidP="00C947C4" w:rsidR="00C947C4" w:rsidRPr="00C947C4">
            <w:pPr>
              <w:overflowPunct/>
              <w:autoSpaceDE/>
              <w:autoSpaceDN/>
              <w:adjustRightInd/>
              <w:jc w:val="center"/>
              <w:textAlignment w:val="auto"/>
              <w:rPr>
                <w:color w:val="000000"/>
                <w:sz w:val="24"/>
                <w:szCs w:val="24"/>
              </w:rPr>
            </w:pPr>
            <w:r w:rsidRPr="00C947C4">
              <w:rPr>
                <w:color w:val="000000"/>
                <w:sz w:val="24"/>
                <w:szCs w:val="24"/>
              </w:rPr>
              <w:t>-</w:t>
            </w:r>
          </w:p>
        </w:tc>
        <w:tc>
          <w:tcPr>
            <w:tcW w:type="pct" w:w="393"/>
            <w:tcBorders>
              <w:top w:val="nil"/>
              <w:left w:val="nil"/>
              <w:bottom w:space="0" w:sz="4" w:color="auto" w:val="single"/>
              <w:right w:space="0" w:sz="4" w:color="auto" w:val="single"/>
            </w:tcBorders>
            <w:shd w:fill="auto" w:color="auto" w:val="clear"/>
            <w:vAlign w:val="center"/>
            <w:hideMark/>
          </w:tcPr>
          <w:p w:rsidRDefault="00C947C4" w:rsidP="00C947C4" w:rsidR="00C947C4" w:rsidRPr="00C947C4">
            <w:pPr>
              <w:overflowPunct/>
              <w:autoSpaceDE/>
              <w:autoSpaceDN/>
              <w:adjustRightInd/>
              <w:jc w:val="center"/>
              <w:textAlignment w:val="auto"/>
              <w:rPr>
                <w:color w:val="000000"/>
                <w:sz w:val="24"/>
                <w:szCs w:val="24"/>
              </w:rPr>
            </w:pPr>
            <w:r w:rsidRPr="00C947C4">
              <w:rPr>
                <w:color w:val="000000"/>
                <w:sz w:val="24"/>
                <w:szCs w:val="24"/>
              </w:rPr>
              <w:t>-</w:t>
            </w:r>
          </w:p>
        </w:tc>
        <w:tc>
          <w:tcPr>
            <w:tcW w:type="pct" w:w="552"/>
            <w:tcBorders>
              <w:top w:val="nil"/>
              <w:left w:val="nil"/>
              <w:bottom w:space="0" w:sz="4" w:color="auto" w:val="single"/>
              <w:right w:space="0" w:sz="8" w:color="auto" w:val="single"/>
            </w:tcBorders>
            <w:shd w:fill="auto" w:color="auto" w:val="clear"/>
            <w:vAlign w:val="center"/>
            <w:hideMark/>
          </w:tcPr>
          <w:p w:rsidRDefault="00C947C4" w:rsidP="00C947C4" w:rsidR="00C947C4" w:rsidRPr="00C947C4">
            <w:pPr>
              <w:overflowPunct/>
              <w:autoSpaceDE/>
              <w:autoSpaceDN/>
              <w:adjustRightInd/>
              <w:jc w:val="center"/>
              <w:textAlignment w:val="auto"/>
              <w:rPr>
                <w:color w:val="000000"/>
                <w:sz w:val="24"/>
                <w:szCs w:val="24"/>
              </w:rPr>
            </w:pPr>
            <w:r w:rsidRPr="00C947C4">
              <w:rPr>
                <w:color w:val="000000"/>
                <w:sz w:val="24"/>
                <w:szCs w:val="24"/>
              </w:rPr>
              <w:t>Rješenje o ovrsi, KLASA:UP/I-415-07/15-01/239, URBROJ:2182/04-02/06-15-1 od 17.07.2015.g.</w:t>
            </w:r>
          </w:p>
        </w:tc>
      </w:tr>
      <w:tr w:rsidTr="00C947C4" w:rsidR="00C947C4" w:rsidRPr="00110B5F">
        <w:trPr>
          <w:trHeight w:val="1530"/>
        </w:trPr>
        <w:tc>
          <w:tcPr>
            <w:tcW w:type="pct" w:w="217"/>
            <w:tcBorders>
              <w:top w:val="nil"/>
              <w:left w:space="0" w:sz="8" w:color="auto" w:val="single"/>
              <w:bottom w:space="0" w:sz="4" w:color="auto" w:val="single"/>
              <w:right w:space="0" w:sz="4" w:color="auto" w:val="single"/>
            </w:tcBorders>
            <w:shd w:fill="auto" w:color="auto" w:val="clear"/>
            <w:vAlign w:val="center"/>
            <w:hideMark/>
          </w:tcPr>
          <w:p w:rsidRDefault="00C947C4" w:rsidP="00C947C4" w:rsidR="00C947C4" w:rsidRPr="00C947C4">
            <w:pPr>
              <w:overflowPunct/>
              <w:autoSpaceDE/>
              <w:autoSpaceDN/>
              <w:adjustRightInd/>
              <w:jc w:val="center"/>
              <w:textAlignment w:val="auto"/>
              <w:rPr>
                <w:color w:val="000000"/>
                <w:sz w:val="24"/>
                <w:szCs w:val="24"/>
              </w:rPr>
            </w:pPr>
            <w:r w:rsidRPr="00C947C4">
              <w:rPr>
                <w:color w:val="000000"/>
                <w:sz w:val="24"/>
                <w:szCs w:val="24"/>
              </w:rPr>
              <w:t>7</w:t>
            </w:r>
          </w:p>
        </w:tc>
        <w:tc>
          <w:tcPr>
            <w:tcW w:type="pct" w:w="483"/>
            <w:tcBorders>
              <w:top w:val="nil"/>
              <w:left w:val="nil"/>
              <w:bottom w:space="0" w:sz="4" w:color="auto" w:val="single"/>
              <w:right w:space="0" w:sz="4" w:color="auto" w:val="single"/>
            </w:tcBorders>
            <w:shd w:fill="auto" w:color="auto" w:val="clear"/>
            <w:vAlign w:val="center"/>
            <w:hideMark/>
          </w:tcPr>
          <w:p w:rsidRDefault="00C947C4" w:rsidP="00C947C4" w:rsidR="00C947C4" w:rsidRPr="00C947C4">
            <w:pPr>
              <w:overflowPunct/>
              <w:autoSpaceDE/>
              <w:autoSpaceDN/>
              <w:adjustRightInd/>
              <w:jc w:val="center"/>
              <w:textAlignment w:val="auto"/>
              <w:rPr>
                <w:color w:val="000000"/>
                <w:sz w:val="24"/>
                <w:szCs w:val="24"/>
              </w:rPr>
            </w:pPr>
            <w:r w:rsidRPr="00C947C4">
              <w:rPr>
                <w:color w:val="000000"/>
                <w:sz w:val="24"/>
                <w:szCs w:val="24"/>
              </w:rPr>
              <w:t>GRAD VODICE</w:t>
            </w:r>
          </w:p>
        </w:tc>
        <w:tc>
          <w:tcPr>
            <w:tcW w:type="pct" w:w="405"/>
            <w:tcBorders>
              <w:top w:val="nil"/>
              <w:left w:val="nil"/>
              <w:bottom w:space="0" w:sz="4" w:color="auto" w:val="single"/>
              <w:right w:space="0" w:sz="4" w:color="auto" w:val="single"/>
            </w:tcBorders>
            <w:shd w:fill="auto" w:color="auto" w:val="clear"/>
            <w:vAlign w:val="center"/>
            <w:hideMark/>
          </w:tcPr>
          <w:p w:rsidRDefault="00C947C4" w:rsidP="00C947C4" w:rsidR="00C947C4" w:rsidRPr="00C947C4">
            <w:pPr>
              <w:overflowPunct/>
              <w:autoSpaceDE/>
              <w:autoSpaceDN/>
              <w:adjustRightInd/>
              <w:jc w:val="center"/>
              <w:textAlignment w:val="auto"/>
              <w:rPr>
                <w:color w:val="000000"/>
                <w:sz w:val="24"/>
                <w:szCs w:val="24"/>
              </w:rPr>
            </w:pPr>
            <w:r w:rsidRPr="00C947C4">
              <w:rPr>
                <w:color w:val="000000"/>
                <w:sz w:val="24"/>
                <w:szCs w:val="24"/>
              </w:rPr>
              <w:t>74633363090</w:t>
            </w:r>
          </w:p>
        </w:tc>
        <w:tc>
          <w:tcPr>
            <w:tcW w:type="pct" w:w="615"/>
            <w:tcBorders>
              <w:top w:val="nil"/>
              <w:left w:val="nil"/>
              <w:bottom w:space="0" w:sz="4" w:color="auto" w:val="single"/>
              <w:right w:space="0" w:sz="4" w:color="auto" w:val="single"/>
            </w:tcBorders>
            <w:shd w:fill="auto" w:color="auto" w:val="clear"/>
            <w:vAlign w:val="center"/>
            <w:hideMark/>
          </w:tcPr>
          <w:p w:rsidRDefault="00C947C4" w:rsidP="00C947C4" w:rsidR="00C947C4" w:rsidRPr="00C947C4">
            <w:pPr>
              <w:overflowPunct/>
              <w:autoSpaceDE/>
              <w:autoSpaceDN/>
              <w:adjustRightInd/>
              <w:jc w:val="center"/>
              <w:textAlignment w:val="auto"/>
              <w:rPr>
                <w:color w:val="000000"/>
                <w:sz w:val="24"/>
                <w:szCs w:val="24"/>
              </w:rPr>
            </w:pPr>
            <w:r w:rsidRPr="00C947C4">
              <w:rPr>
                <w:color w:val="000000"/>
                <w:sz w:val="24"/>
                <w:szCs w:val="24"/>
              </w:rPr>
              <w:t>Ive Čače 8, 22211 Vodice</w:t>
            </w:r>
          </w:p>
        </w:tc>
        <w:tc>
          <w:tcPr>
            <w:tcW w:type="pct" w:w="421"/>
            <w:tcBorders>
              <w:top w:val="nil"/>
              <w:left w:val="nil"/>
              <w:bottom w:space="0" w:sz="4" w:color="auto" w:val="single"/>
              <w:right w:space="0" w:sz="4" w:color="auto" w:val="single"/>
            </w:tcBorders>
            <w:shd w:fill="auto" w:color="auto" w:val="clear"/>
            <w:vAlign w:val="center"/>
            <w:hideMark/>
          </w:tcPr>
          <w:p w:rsidRDefault="00C947C4" w:rsidP="00C947C4" w:rsidR="00C947C4" w:rsidRPr="00C947C4">
            <w:pPr>
              <w:overflowPunct/>
              <w:autoSpaceDE/>
              <w:autoSpaceDN/>
              <w:adjustRightInd/>
              <w:jc w:val="right"/>
              <w:textAlignment w:val="auto"/>
              <w:rPr>
                <w:color w:val="000000"/>
                <w:sz w:val="24"/>
                <w:szCs w:val="24"/>
              </w:rPr>
            </w:pPr>
            <w:r w:rsidRPr="00C947C4">
              <w:rPr>
                <w:color w:val="000000"/>
                <w:sz w:val="24"/>
                <w:szCs w:val="24"/>
              </w:rPr>
              <w:t>5.402,76</w:t>
            </w:r>
          </w:p>
        </w:tc>
        <w:tc>
          <w:tcPr>
            <w:tcW w:type="pct" w:w="552"/>
            <w:tcBorders>
              <w:top w:val="nil"/>
              <w:left w:val="nil"/>
              <w:bottom w:space="0" w:sz="4" w:color="auto" w:val="single"/>
              <w:right w:space="0" w:sz="4" w:color="auto" w:val="single"/>
            </w:tcBorders>
            <w:shd w:fill="auto" w:color="auto" w:val="clear"/>
            <w:vAlign w:val="center"/>
            <w:hideMark/>
          </w:tcPr>
          <w:p w:rsidRDefault="00C947C4" w:rsidP="00C947C4" w:rsidR="00C947C4" w:rsidRPr="00C947C4">
            <w:pPr>
              <w:overflowPunct/>
              <w:autoSpaceDE/>
              <w:autoSpaceDN/>
              <w:adjustRightInd/>
              <w:jc w:val="center"/>
              <w:textAlignment w:val="auto"/>
              <w:rPr>
                <w:color w:val="000000"/>
                <w:sz w:val="24"/>
                <w:szCs w:val="24"/>
              </w:rPr>
            </w:pPr>
            <w:r w:rsidRPr="00C947C4">
              <w:rPr>
                <w:color w:val="000000"/>
                <w:sz w:val="24"/>
                <w:szCs w:val="24"/>
              </w:rPr>
              <w:t>Naknada za uređenje vode</w:t>
            </w:r>
          </w:p>
        </w:tc>
        <w:tc>
          <w:tcPr>
            <w:tcW w:type="pct" w:w="421"/>
            <w:tcBorders>
              <w:top w:val="nil"/>
              <w:left w:val="nil"/>
              <w:bottom w:space="0" w:sz="4" w:color="auto" w:val="single"/>
              <w:right w:space="0" w:sz="4" w:color="auto" w:val="single"/>
            </w:tcBorders>
            <w:shd w:fill="auto" w:color="auto" w:val="clear"/>
            <w:vAlign w:val="center"/>
            <w:hideMark/>
          </w:tcPr>
          <w:p w:rsidRDefault="00C947C4" w:rsidP="00C947C4" w:rsidR="00C947C4" w:rsidRPr="00C947C4">
            <w:pPr>
              <w:overflowPunct/>
              <w:autoSpaceDE/>
              <w:autoSpaceDN/>
              <w:adjustRightInd/>
              <w:jc w:val="right"/>
              <w:textAlignment w:val="auto"/>
              <w:rPr>
                <w:color w:val="000000"/>
                <w:sz w:val="24"/>
                <w:szCs w:val="24"/>
              </w:rPr>
            </w:pPr>
            <w:r w:rsidRPr="00C947C4">
              <w:rPr>
                <w:color w:val="000000"/>
                <w:sz w:val="24"/>
                <w:szCs w:val="24"/>
              </w:rPr>
              <w:t>5.402,76</w:t>
            </w:r>
          </w:p>
        </w:tc>
        <w:tc>
          <w:tcPr>
            <w:tcW w:type="pct" w:w="552"/>
            <w:tcBorders>
              <w:top w:val="nil"/>
              <w:left w:val="nil"/>
              <w:bottom w:space="0" w:sz="4" w:color="auto" w:val="single"/>
              <w:right w:space="0" w:sz="4" w:color="auto" w:val="single"/>
            </w:tcBorders>
            <w:shd w:fill="auto" w:color="auto" w:val="clear"/>
            <w:vAlign w:val="center"/>
            <w:hideMark/>
          </w:tcPr>
          <w:p w:rsidRDefault="00C947C4" w:rsidP="00C947C4" w:rsidR="00C947C4" w:rsidRPr="00C947C4">
            <w:pPr>
              <w:overflowPunct/>
              <w:autoSpaceDE/>
              <w:autoSpaceDN/>
              <w:adjustRightInd/>
              <w:jc w:val="center"/>
              <w:textAlignment w:val="auto"/>
              <w:rPr>
                <w:color w:val="000000"/>
                <w:sz w:val="24"/>
                <w:szCs w:val="24"/>
              </w:rPr>
            </w:pPr>
            <w:r w:rsidRPr="00C947C4">
              <w:rPr>
                <w:color w:val="000000"/>
                <w:sz w:val="24"/>
                <w:szCs w:val="24"/>
              </w:rPr>
              <w:t>Naknada za uređenje vode</w:t>
            </w:r>
          </w:p>
        </w:tc>
        <w:tc>
          <w:tcPr>
            <w:tcW w:type="pct" w:w="389"/>
            <w:tcBorders>
              <w:top w:val="nil"/>
              <w:left w:val="nil"/>
              <w:bottom w:space="0" w:sz="4" w:color="auto" w:val="single"/>
              <w:right w:space="0" w:sz="4" w:color="auto" w:val="single"/>
            </w:tcBorders>
            <w:shd w:fill="auto" w:color="auto" w:val="clear"/>
            <w:vAlign w:val="center"/>
            <w:hideMark/>
          </w:tcPr>
          <w:p w:rsidRDefault="00C947C4" w:rsidP="00C947C4" w:rsidR="00C947C4" w:rsidRPr="00C947C4">
            <w:pPr>
              <w:overflowPunct/>
              <w:autoSpaceDE/>
              <w:autoSpaceDN/>
              <w:adjustRightInd/>
              <w:jc w:val="center"/>
              <w:textAlignment w:val="auto"/>
              <w:rPr>
                <w:color w:val="000000"/>
                <w:sz w:val="24"/>
                <w:szCs w:val="24"/>
              </w:rPr>
            </w:pPr>
            <w:r w:rsidRPr="00C947C4">
              <w:rPr>
                <w:color w:val="000000"/>
                <w:sz w:val="24"/>
                <w:szCs w:val="24"/>
              </w:rPr>
              <w:t>-</w:t>
            </w:r>
          </w:p>
        </w:tc>
        <w:tc>
          <w:tcPr>
            <w:tcW w:type="pct" w:w="393"/>
            <w:tcBorders>
              <w:top w:val="nil"/>
              <w:left w:val="nil"/>
              <w:bottom w:space="0" w:sz="4" w:color="auto" w:val="single"/>
              <w:right w:space="0" w:sz="4" w:color="auto" w:val="single"/>
            </w:tcBorders>
            <w:shd w:fill="auto" w:color="auto" w:val="clear"/>
            <w:vAlign w:val="center"/>
            <w:hideMark/>
          </w:tcPr>
          <w:p w:rsidRDefault="00C947C4" w:rsidP="00C947C4" w:rsidR="00C947C4" w:rsidRPr="00C947C4">
            <w:pPr>
              <w:overflowPunct/>
              <w:autoSpaceDE/>
              <w:autoSpaceDN/>
              <w:adjustRightInd/>
              <w:jc w:val="center"/>
              <w:textAlignment w:val="auto"/>
              <w:rPr>
                <w:color w:val="000000"/>
                <w:sz w:val="24"/>
                <w:szCs w:val="24"/>
              </w:rPr>
            </w:pPr>
            <w:r w:rsidRPr="00C947C4">
              <w:rPr>
                <w:color w:val="000000"/>
                <w:sz w:val="24"/>
                <w:szCs w:val="24"/>
              </w:rPr>
              <w:t>-</w:t>
            </w:r>
          </w:p>
        </w:tc>
        <w:tc>
          <w:tcPr>
            <w:tcW w:type="pct" w:w="552"/>
            <w:tcBorders>
              <w:top w:val="nil"/>
              <w:left w:val="nil"/>
              <w:bottom w:space="0" w:sz="4" w:color="auto" w:val="single"/>
              <w:right w:space="0" w:sz="8" w:color="auto" w:val="single"/>
            </w:tcBorders>
            <w:shd w:fill="auto" w:color="auto" w:val="clear"/>
            <w:vAlign w:val="center"/>
            <w:hideMark/>
          </w:tcPr>
          <w:p w:rsidRDefault="00C947C4" w:rsidP="00C947C4" w:rsidR="00C947C4" w:rsidRPr="00C947C4">
            <w:pPr>
              <w:overflowPunct/>
              <w:autoSpaceDE/>
              <w:autoSpaceDN/>
              <w:adjustRightInd/>
              <w:jc w:val="center"/>
              <w:textAlignment w:val="auto"/>
              <w:rPr>
                <w:color w:val="000000"/>
                <w:sz w:val="24"/>
                <w:szCs w:val="24"/>
              </w:rPr>
            </w:pPr>
            <w:r w:rsidRPr="00C947C4">
              <w:rPr>
                <w:color w:val="000000"/>
                <w:sz w:val="24"/>
                <w:szCs w:val="24"/>
              </w:rPr>
              <w:t>Rješenje o ovrsi, KLASA:UP/I-415-07/15-01/240, URBROJ:2182/04-02/06-15-1 od 17.07.2015.g.</w:t>
            </w:r>
          </w:p>
        </w:tc>
      </w:tr>
      <w:tr w:rsidTr="00C947C4" w:rsidR="00C947C4" w:rsidRPr="00110B5F">
        <w:trPr>
          <w:trHeight w:val="1275"/>
        </w:trPr>
        <w:tc>
          <w:tcPr>
            <w:tcW w:type="pct" w:w="217"/>
            <w:tcBorders>
              <w:top w:val="nil"/>
              <w:left w:space="0" w:sz="8" w:color="auto" w:val="single"/>
              <w:bottom w:space="0" w:sz="4" w:color="auto" w:val="single"/>
              <w:right w:space="0" w:sz="4" w:color="auto" w:val="single"/>
            </w:tcBorders>
            <w:shd w:fill="auto" w:color="auto" w:val="clear"/>
            <w:vAlign w:val="center"/>
            <w:hideMark/>
          </w:tcPr>
          <w:p w:rsidRDefault="00C947C4" w:rsidP="00C947C4" w:rsidR="00C947C4" w:rsidRPr="00C947C4">
            <w:pPr>
              <w:overflowPunct/>
              <w:autoSpaceDE/>
              <w:autoSpaceDN/>
              <w:adjustRightInd/>
              <w:jc w:val="center"/>
              <w:textAlignment w:val="auto"/>
              <w:rPr>
                <w:color w:val="000000"/>
                <w:sz w:val="24"/>
                <w:szCs w:val="24"/>
              </w:rPr>
            </w:pPr>
            <w:r w:rsidRPr="00C947C4">
              <w:rPr>
                <w:color w:val="000000"/>
                <w:sz w:val="24"/>
                <w:szCs w:val="24"/>
              </w:rPr>
              <w:lastRenderedPageBreak/>
              <w:t>8</w:t>
            </w:r>
          </w:p>
        </w:tc>
        <w:tc>
          <w:tcPr>
            <w:tcW w:type="pct" w:w="483"/>
            <w:tcBorders>
              <w:top w:val="nil"/>
              <w:left w:val="nil"/>
              <w:bottom w:space="0" w:sz="4" w:color="auto" w:val="single"/>
              <w:right w:space="0" w:sz="4" w:color="auto" w:val="single"/>
            </w:tcBorders>
            <w:shd w:fill="auto" w:color="auto" w:val="clear"/>
            <w:vAlign w:val="center"/>
            <w:hideMark/>
          </w:tcPr>
          <w:p w:rsidRDefault="00C947C4" w:rsidP="00C947C4" w:rsidR="00C947C4" w:rsidRPr="00C947C4">
            <w:pPr>
              <w:overflowPunct/>
              <w:autoSpaceDE/>
              <w:autoSpaceDN/>
              <w:adjustRightInd/>
              <w:jc w:val="center"/>
              <w:textAlignment w:val="auto"/>
              <w:rPr>
                <w:color w:val="000000"/>
                <w:sz w:val="24"/>
                <w:szCs w:val="24"/>
              </w:rPr>
            </w:pPr>
            <w:r w:rsidRPr="00C947C4">
              <w:rPr>
                <w:color w:val="000000"/>
                <w:sz w:val="24"/>
                <w:szCs w:val="24"/>
              </w:rPr>
              <w:t>GENERALI OSIGURANJE d.d.</w:t>
            </w:r>
          </w:p>
        </w:tc>
        <w:tc>
          <w:tcPr>
            <w:tcW w:type="pct" w:w="405"/>
            <w:tcBorders>
              <w:top w:val="nil"/>
              <w:left w:val="nil"/>
              <w:bottom w:space="0" w:sz="4" w:color="auto" w:val="single"/>
              <w:right w:space="0" w:sz="4" w:color="auto" w:val="single"/>
            </w:tcBorders>
            <w:shd w:fill="auto" w:color="auto" w:val="clear"/>
            <w:vAlign w:val="center"/>
            <w:hideMark/>
          </w:tcPr>
          <w:p w:rsidRDefault="00C947C4" w:rsidP="00C947C4" w:rsidR="00C947C4" w:rsidRPr="00C947C4">
            <w:pPr>
              <w:overflowPunct/>
              <w:autoSpaceDE/>
              <w:autoSpaceDN/>
              <w:adjustRightInd/>
              <w:jc w:val="center"/>
              <w:textAlignment w:val="auto"/>
              <w:rPr>
                <w:color w:val="000000"/>
                <w:sz w:val="24"/>
                <w:szCs w:val="24"/>
              </w:rPr>
            </w:pPr>
            <w:r w:rsidRPr="00C947C4">
              <w:rPr>
                <w:color w:val="000000"/>
                <w:sz w:val="24"/>
                <w:szCs w:val="24"/>
              </w:rPr>
              <w:t>10840749604</w:t>
            </w:r>
          </w:p>
        </w:tc>
        <w:tc>
          <w:tcPr>
            <w:tcW w:type="pct" w:w="615"/>
            <w:tcBorders>
              <w:top w:val="nil"/>
              <w:left w:val="nil"/>
              <w:bottom w:space="0" w:sz="4" w:color="auto" w:val="single"/>
              <w:right w:space="0" w:sz="4" w:color="auto" w:val="single"/>
            </w:tcBorders>
            <w:shd w:fill="auto" w:color="auto" w:val="clear"/>
            <w:vAlign w:val="center"/>
            <w:hideMark/>
          </w:tcPr>
          <w:p w:rsidRDefault="00C947C4" w:rsidP="00C947C4" w:rsidR="00C947C4" w:rsidRPr="00C947C4">
            <w:pPr>
              <w:overflowPunct/>
              <w:autoSpaceDE/>
              <w:autoSpaceDN/>
              <w:adjustRightInd/>
              <w:jc w:val="center"/>
              <w:textAlignment w:val="auto"/>
              <w:rPr>
                <w:color w:val="000000"/>
                <w:sz w:val="24"/>
                <w:szCs w:val="24"/>
              </w:rPr>
            </w:pPr>
            <w:r w:rsidRPr="00C947C4">
              <w:rPr>
                <w:color w:val="000000"/>
                <w:sz w:val="24"/>
                <w:szCs w:val="24"/>
              </w:rPr>
              <w:t>Ulica grada Vukovara 284, 10000 Zagreb</w:t>
            </w:r>
          </w:p>
        </w:tc>
        <w:tc>
          <w:tcPr>
            <w:tcW w:type="pct" w:w="421"/>
            <w:tcBorders>
              <w:top w:val="nil"/>
              <w:left w:val="nil"/>
              <w:bottom w:space="0" w:sz="4" w:color="auto" w:val="single"/>
              <w:right w:space="0" w:sz="4" w:color="auto" w:val="single"/>
            </w:tcBorders>
            <w:shd w:fill="auto" w:color="auto" w:val="clear"/>
            <w:vAlign w:val="center"/>
            <w:hideMark/>
          </w:tcPr>
          <w:p w:rsidRDefault="00C947C4" w:rsidP="00C947C4" w:rsidR="00C947C4" w:rsidRPr="00C947C4">
            <w:pPr>
              <w:overflowPunct/>
              <w:autoSpaceDE/>
              <w:autoSpaceDN/>
              <w:adjustRightInd/>
              <w:jc w:val="right"/>
              <w:textAlignment w:val="auto"/>
              <w:rPr>
                <w:color w:val="000000"/>
                <w:sz w:val="24"/>
                <w:szCs w:val="24"/>
              </w:rPr>
            </w:pPr>
            <w:r w:rsidRPr="00C947C4">
              <w:rPr>
                <w:color w:val="000000"/>
                <w:sz w:val="24"/>
                <w:szCs w:val="24"/>
              </w:rPr>
              <w:t>13.811,54</w:t>
            </w:r>
          </w:p>
        </w:tc>
        <w:tc>
          <w:tcPr>
            <w:tcW w:type="pct" w:w="552"/>
            <w:tcBorders>
              <w:top w:val="nil"/>
              <w:left w:val="nil"/>
              <w:bottom w:space="0" w:sz="4" w:color="auto" w:val="single"/>
              <w:right w:space="0" w:sz="4" w:color="auto" w:val="single"/>
            </w:tcBorders>
            <w:shd w:fill="auto" w:color="auto" w:val="clear"/>
            <w:vAlign w:val="center"/>
            <w:hideMark/>
          </w:tcPr>
          <w:p w:rsidRDefault="00C947C4" w:rsidP="00C947C4" w:rsidR="00C947C4" w:rsidRPr="00C947C4">
            <w:pPr>
              <w:overflowPunct/>
              <w:autoSpaceDE/>
              <w:autoSpaceDN/>
              <w:adjustRightInd/>
              <w:jc w:val="center"/>
              <w:textAlignment w:val="auto"/>
              <w:rPr>
                <w:color w:val="000000"/>
                <w:sz w:val="24"/>
                <w:szCs w:val="24"/>
              </w:rPr>
            </w:pPr>
            <w:r w:rsidRPr="00C947C4">
              <w:rPr>
                <w:color w:val="000000"/>
                <w:sz w:val="24"/>
                <w:szCs w:val="24"/>
              </w:rPr>
              <w:t>Ovršna isprava</w:t>
            </w:r>
          </w:p>
        </w:tc>
        <w:tc>
          <w:tcPr>
            <w:tcW w:type="pct" w:w="421"/>
            <w:tcBorders>
              <w:top w:val="nil"/>
              <w:left w:val="nil"/>
              <w:bottom w:space="0" w:sz="4" w:color="auto" w:val="single"/>
              <w:right w:space="0" w:sz="4" w:color="auto" w:val="single"/>
            </w:tcBorders>
            <w:shd w:fill="auto" w:color="auto" w:val="clear"/>
            <w:vAlign w:val="center"/>
            <w:hideMark/>
          </w:tcPr>
          <w:p w:rsidRDefault="00C947C4" w:rsidP="00C947C4" w:rsidR="00C947C4" w:rsidRPr="00C947C4">
            <w:pPr>
              <w:overflowPunct/>
              <w:autoSpaceDE/>
              <w:autoSpaceDN/>
              <w:adjustRightInd/>
              <w:jc w:val="right"/>
              <w:textAlignment w:val="auto"/>
              <w:rPr>
                <w:color w:val="000000"/>
                <w:sz w:val="24"/>
                <w:szCs w:val="24"/>
              </w:rPr>
            </w:pPr>
            <w:r w:rsidRPr="00C947C4">
              <w:rPr>
                <w:color w:val="000000"/>
                <w:sz w:val="24"/>
                <w:szCs w:val="24"/>
              </w:rPr>
              <w:t>13.811,54</w:t>
            </w:r>
          </w:p>
        </w:tc>
        <w:tc>
          <w:tcPr>
            <w:tcW w:type="pct" w:w="552"/>
            <w:tcBorders>
              <w:top w:val="nil"/>
              <w:left w:val="nil"/>
              <w:bottom w:space="0" w:sz="4" w:color="auto" w:val="single"/>
              <w:right w:space="0" w:sz="4" w:color="auto" w:val="single"/>
            </w:tcBorders>
            <w:shd w:fill="auto" w:color="auto" w:val="clear"/>
            <w:vAlign w:val="center"/>
            <w:hideMark/>
          </w:tcPr>
          <w:p w:rsidRDefault="00C947C4" w:rsidP="00C947C4" w:rsidR="00C947C4" w:rsidRPr="00C947C4">
            <w:pPr>
              <w:overflowPunct/>
              <w:autoSpaceDE/>
              <w:autoSpaceDN/>
              <w:adjustRightInd/>
              <w:jc w:val="center"/>
              <w:textAlignment w:val="auto"/>
              <w:rPr>
                <w:color w:val="000000"/>
                <w:sz w:val="24"/>
                <w:szCs w:val="24"/>
              </w:rPr>
            </w:pPr>
            <w:r w:rsidRPr="00C947C4">
              <w:rPr>
                <w:color w:val="000000"/>
                <w:sz w:val="24"/>
                <w:szCs w:val="24"/>
              </w:rPr>
              <w:t>Ovršna isprava</w:t>
            </w:r>
          </w:p>
        </w:tc>
        <w:tc>
          <w:tcPr>
            <w:tcW w:type="pct" w:w="389"/>
            <w:tcBorders>
              <w:top w:val="nil"/>
              <w:left w:val="nil"/>
              <w:bottom w:space="0" w:sz="4" w:color="auto" w:val="single"/>
              <w:right w:space="0" w:sz="4" w:color="auto" w:val="single"/>
            </w:tcBorders>
            <w:shd w:fill="auto" w:color="auto" w:val="clear"/>
            <w:vAlign w:val="center"/>
            <w:hideMark/>
          </w:tcPr>
          <w:p w:rsidRDefault="00C947C4" w:rsidP="00C947C4" w:rsidR="00C947C4" w:rsidRPr="00C947C4">
            <w:pPr>
              <w:overflowPunct/>
              <w:autoSpaceDE/>
              <w:autoSpaceDN/>
              <w:adjustRightInd/>
              <w:jc w:val="center"/>
              <w:textAlignment w:val="auto"/>
              <w:rPr>
                <w:color w:val="000000"/>
                <w:sz w:val="24"/>
                <w:szCs w:val="24"/>
              </w:rPr>
            </w:pPr>
            <w:r w:rsidRPr="00C947C4">
              <w:rPr>
                <w:color w:val="000000"/>
                <w:sz w:val="24"/>
                <w:szCs w:val="24"/>
              </w:rPr>
              <w:t>-</w:t>
            </w:r>
          </w:p>
        </w:tc>
        <w:tc>
          <w:tcPr>
            <w:tcW w:type="pct" w:w="393"/>
            <w:tcBorders>
              <w:top w:val="nil"/>
              <w:left w:val="nil"/>
              <w:bottom w:space="0" w:sz="4" w:color="auto" w:val="single"/>
              <w:right w:space="0" w:sz="4" w:color="auto" w:val="single"/>
            </w:tcBorders>
            <w:shd w:fill="auto" w:color="auto" w:val="clear"/>
            <w:vAlign w:val="center"/>
            <w:hideMark/>
          </w:tcPr>
          <w:p w:rsidRDefault="00C947C4" w:rsidP="00C947C4" w:rsidR="00C947C4" w:rsidRPr="00C947C4">
            <w:pPr>
              <w:overflowPunct/>
              <w:autoSpaceDE/>
              <w:autoSpaceDN/>
              <w:adjustRightInd/>
              <w:jc w:val="center"/>
              <w:textAlignment w:val="auto"/>
              <w:rPr>
                <w:color w:val="000000"/>
                <w:sz w:val="24"/>
                <w:szCs w:val="24"/>
              </w:rPr>
            </w:pPr>
            <w:r w:rsidRPr="00C947C4">
              <w:rPr>
                <w:color w:val="000000"/>
                <w:sz w:val="24"/>
                <w:szCs w:val="24"/>
              </w:rPr>
              <w:t>-</w:t>
            </w:r>
          </w:p>
        </w:tc>
        <w:tc>
          <w:tcPr>
            <w:tcW w:type="pct" w:w="552"/>
            <w:tcBorders>
              <w:top w:val="nil"/>
              <w:left w:val="nil"/>
              <w:bottom w:space="0" w:sz="4" w:color="auto" w:val="single"/>
              <w:right w:space="0" w:sz="8" w:color="auto" w:val="single"/>
            </w:tcBorders>
            <w:shd w:fill="auto" w:color="auto" w:val="clear"/>
            <w:vAlign w:val="center"/>
            <w:hideMark/>
          </w:tcPr>
          <w:p w:rsidRDefault="00C947C4" w:rsidP="00C947C4" w:rsidR="00C947C4" w:rsidRPr="00C947C4">
            <w:pPr>
              <w:overflowPunct/>
              <w:autoSpaceDE/>
              <w:autoSpaceDN/>
              <w:adjustRightInd/>
              <w:jc w:val="center"/>
              <w:textAlignment w:val="auto"/>
              <w:rPr>
                <w:color w:val="000000"/>
                <w:sz w:val="24"/>
                <w:szCs w:val="24"/>
              </w:rPr>
            </w:pPr>
            <w:r w:rsidRPr="00C947C4">
              <w:rPr>
                <w:color w:val="000000"/>
                <w:sz w:val="24"/>
                <w:szCs w:val="24"/>
              </w:rPr>
              <w:t>Rješenje o ovrsi JB Vladimira Marčinka pod posl.br. Ovrv-4300/16 od 02.06.2016.g.</w:t>
            </w:r>
          </w:p>
        </w:tc>
      </w:tr>
      <w:tr w:rsidTr="00C947C4" w:rsidR="00C947C4" w:rsidRPr="00110B5F">
        <w:trPr>
          <w:trHeight w:val="765"/>
        </w:trPr>
        <w:tc>
          <w:tcPr>
            <w:tcW w:type="pct" w:w="217"/>
            <w:tcBorders>
              <w:top w:val="nil"/>
              <w:left w:space="0" w:sz="8" w:color="auto" w:val="single"/>
              <w:bottom w:space="0" w:sz="4" w:color="auto" w:val="single"/>
              <w:right w:space="0" w:sz="4" w:color="auto" w:val="single"/>
            </w:tcBorders>
            <w:shd w:fill="auto" w:color="auto" w:val="clear"/>
            <w:vAlign w:val="center"/>
            <w:hideMark/>
          </w:tcPr>
          <w:p w:rsidRDefault="00C947C4" w:rsidP="00C947C4" w:rsidR="00C947C4" w:rsidRPr="00C947C4">
            <w:pPr>
              <w:overflowPunct/>
              <w:autoSpaceDE/>
              <w:autoSpaceDN/>
              <w:adjustRightInd/>
              <w:jc w:val="center"/>
              <w:textAlignment w:val="auto"/>
              <w:rPr>
                <w:color w:val="000000"/>
                <w:sz w:val="24"/>
                <w:szCs w:val="24"/>
              </w:rPr>
            </w:pPr>
            <w:r w:rsidRPr="00C947C4">
              <w:rPr>
                <w:color w:val="000000"/>
                <w:sz w:val="24"/>
                <w:szCs w:val="24"/>
              </w:rPr>
              <w:t>9</w:t>
            </w:r>
          </w:p>
        </w:tc>
        <w:tc>
          <w:tcPr>
            <w:tcW w:type="pct" w:w="483"/>
            <w:tcBorders>
              <w:top w:val="nil"/>
              <w:left w:val="nil"/>
              <w:bottom w:space="0" w:sz="4" w:color="auto" w:val="single"/>
              <w:right w:space="0" w:sz="4" w:color="auto" w:val="single"/>
            </w:tcBorders>
            <w:shd w:fill="auto" w:color="auto" w:val="clear"/>
            <w:vAlign w:val="center"/>
            <w:hideMark/>
          </w:tcPr>
          <w:p w:rsidRDefault="00BF3275" w:rsidP="00BF3275" w:rsidR="00BF3275">
            <w:pPr>
              <w:overflowPunct/>
              <w:autoSpaceDE/>
              <w:autoSpaceDN/>
              <w:adjustRightInd/>
              <w:jc w:val="center"/>
              <w:textAlignment w:val="auto"/>
              <w:rPr>
                <w:color w:val="000000"/>
                <w:sz w:val="24"/>
                <w:szCs w:val="24"/>
              </w:rPr>
            </w:pPr>
            <w:r>
              <w:rPr>
                <w:color w:val="000000"/>
                <w:sz w:val="24"/>
                <w:szCs w:val="24"/>
              </w:rPr>
              <w:t>A1 HRVATSKA d.o.o.</w:t>
            </w:r>
          </w:p>
          <w:p w:rsidRDefault="00BF3275" w:rsidP="00C947C4" w:rsidR="00C947C4" w:rsidRPr="00C947C4">
            <w:pPr>
              <w:overflowPunct/>
              <w:autoSpaceDE/>
              <w:autoSpaceDN/>
              <w:adjustRightInd/>
              <w:jc w:val="center"/>
              <w:textAlignment w:val="auto"/>
              <w:rPr>
                <w:color w:val="000000"/>
                <w:sz w:val="24"/>
                <w:szCs w:val="24"/>
              </w:rPr>
            </w:pPr>
            <w:r>
              <w:rPr>
                <w:color w:val="000000"/>
                <w:sz w:val="24"/>
                <w:szCs w:val="24"/>
              </w:rPr>
              <w:t xml:space="preserve">(ranije: </w:t>
            </w:r>
            <w:r w:rsidR="00C947C4" w:rsidRPr="00C947C4">
              <w:rPr>
                <w:color w:val="000000"/>
                <w:sz w:val="24"/>
                <w:szCs w:val="24"/>
              </w:rPr>
              <w:t>VIPNET d.o.o.</w:t>
            </w:r>
            <w:r>
              <w:rPr>
                <w:color w:val="000000"/>
                <w:sz w:val="24"/>
                <w:szCs w:val="24"/>
              </w:rPr>
              <w:t>)</w:t>
            </w:r>
          </w:p>
        </w:tc>
        <w:tc>
          <w:tcPr>
            <w:tcW w:type="pct" w:w="405"/>
            <w:tcBorders>
              <w:top w:val="nil"/>
              <w:left w:val="nil"/>
              <w:bottom w:space="0" w:sz="4" w:color="auto" w:val="single"/>
              <w:right w:space="0" w:sz="4" w:color="auto" w:val="single"/>
            </w:tcBorders>
            <w:shd w:fill="auto" w:color="auto" w:val="clear"/>
            <w:vAlign w:val="center"/>
            <w:hideMark/>
          </w:tcPr>
          <w:p w:rsidRDefault="00C947C4" w:rsidP="00C947C4" w:rsidR="00C947C4" w:rsidRPr="00C947C4">
            <w:pPr>
              <w:overflowPunct/>
              <w:autoSpaceDE/>
              <w:autoSpaceDN/>
              <w:adjustRightInd/>
              <w:jc w:val="center"/>
              <w:textAlignment w:val="auto"/>
              <w:rPr>
                <w:color w:val="000000"/>
                <w:sz w:val="24"/>
                <w:szCs w:val="24"/>
              </w:rPr>
            </w:pPr>
            <w:r w:rsidRPr="00C947C4">
              <w:rPr>
                <w:color w:val="000000"/>
                <w:sz w:val="24"/>
                <w:szCs w:val="24"/>
              </w:rPr>
              <w:t>29524210204</w:t>
            </w:r>
          </w:p>
        </w:tc>
        <w:tc>
          <w:tcPr>
            <w:tcW w:type="pct" w:w="615"/>
            <w:tcBorders>
              <w:top w:val="nil"/>
              <w:left w:val="nil"/>
              <w:bottom w:space="0" w:sz="4" w:color="auto" w:val="single"/>
              <w:right w:space="0" w:sz="4" w:color="auto" w:val="single"/>
            </w:tcBorders>
            <w:shd w:fill="auto" w:color="auto" w:val="clear"/>
            <w:vAlign w:val="center"/>
            <w:hideMark/>
          </w:tcPr>
          <w:p w:rsidRDefault="00C947C4" w:rsidP="00C947C4" w:rsidR="00C947C4" w:rsidRPr="00C947C4">
            <w:pPr>
              <w:overflowPunct/>
              <w:autoSpaceDE/>
              <w:autoSpaceDN/>
              <w:adjustRightInd/>
              <w:jc w:val="center"/>
              <w:textAlignment w:val="auto"/>
              <w:rPr>
                <w:color w:val="000000"/>
                <w:sz w:val="24"/>
                <w:szCs w:val="24"/>
              </w:rPr>
            </w:pPr>
            <w:r w:rsidRPr="00C947C4">
              <w:rPr>
                <w:color w:val="000000"/>
                <w:sz w:val="24"/>
                <w:szCs w:val="24"/>
              </w:rPr>
              <w:t>Vrtni put 1, 10000 Zagreb</w:t>
            </w:r>
          </w:p>
        </w:tc>
        <w:tc>
          <w:tcPr>
            <w:tcW w:type="pct" w:w="421"/>
            <w:tcBorders>
              <w:top w:val="nil"/>
              <w:left w:val="nil"/>
              <w:bottom w:space="0" w:sz="4" w:color="auto" w:val="single"/>
              <w:right w:space="0" w:sz="4" w:color="auto" w:val="single"/>
            </w:tcBorders>
            <w:shd w:fill="auto" w:color="auto" w:val="clear"/>
            <w:vAlign w:val="center"/>
            <w:hideMark/>
          </w:tcPr>
          <w:p w:rsidRDefault="00C947C4" w:rsidP="00C947C4" w:rsidR="00C947C4" w:rsidRPr="00C947C4">
            <w:pPr>
              <w:overflowPunct/>
              <w:autoSpaceDE/>
              <w:autoSpaceDN/>
              <w:adjustRightInd/>
              <w:jc w:val="right"/>
              <w:textAlignment w:val="auto"/>
              <w:rPr>
                <w:color w:val="000000"/>
                <w:sz w:val="24"/>
                <w:szCs w:val="24"/>
              </w:rPr>
            </w:pPr>
            <w:r w:rsidRPr="00C947C4">
              <w:rPr>
                <w:color w:val="000000"/>
                <w:sz w:val="24"/>
                <w:szCs w:val="24"/>
              </w:rPr>
              <w:t>5.861,88</w:t>
            </w:r>
          </w:p>
        </w:tc>
        <w:tc>
          <w:tcPr>
            <w:tcW w:type="pct" w:w="552"/>
            <w:tcBorders>
              <w:top w:val="nil"/>
              <w:left w:val="nil"/>
              <w:bottom w:space="0" w:sz="4" w:color="auto" w:val="single"/>
              <w:right w:space="0" w:sz="4" w:color="auto" w:val="single"/>
            </w:tcBorders>
            <w:shd w:fill="auto" w:color="auto" w:val="clear"/>
            <w:vAlign w:val="center"/>
            <w:hideMark/>
          </w:tcPr>
          <w:p w:rsidRDefault="00C947C4" w:rsidP="00C947C4" w:rsidR="00C947C4" w:rsidRPr="00C947C4">
            <w:pPr>
              <w:overflowPunct/>
              <w:autoSpaceDE/>
              <w:autoSpaceDN/>
              <w:adjustRightInd/>
              <w:jc w:val="center"/>
              <w:textAlignment w:val="auto"/>
              <w:rPr>
                <w:color w:val="000000"/>
                <w:sz w:val="24"/>
                <w:szCs w:val="24"/>
              </w:rPr>
            </w:pPr>
            <w:r w:rsidRPr="00C947C4">
              <w:rPr>
                <w:color w:val="000000"/>
                <w:sz w:val="24"/>
                <w:szCs w:val="24"/>
              </w:rPr>
              <w:t>Telekomunikacijske usluge</w:t>
            </w:r>
          </w:p>
        </w:tc>
        <w:tc>
          <w:tcPr>
            <w:tcW w:type="pct" w:w="421"/>
            <w:tcBorders>
              <w:top w:val="nil"/>
              <w:left w:val="nil"/>
              <w:bottom w:space="0" w:sz="4" w:color="auto" w:val="single"/>
              <w:right w:space="0" w:sz="4" w:color="auto" w:val="single"/>
            </w:tcBorders>
            <w:shd w:fill="auto" w:color="auto" w:val="clear"/>
            <w:vAlign w:val="center"/>
            <w:hideMark/>
          </w:tcPr>
          <w:p w:rsidRDefault="00C947C4" w:rsidP="00C947C4" w:rsidR="00C947C4" w:rsidRPr="00C947C4">
            <w:pPr>
              <w:overflowPunct/>
              <w:autoSpaceDE/>
              <w:autoSpaceDN/>
              <w:adjustRightInd/>
              <w:jc w:val="right"/>
              <w:textAlignment w:val="auto"/>
              <w:rPr>
                <w:color w:val="000000"/>
                <w:sz w:val="24"/>
                <w:szCs w:val="24"/>
              </w:rPr>
            </w:pPr>
            <w:r w:rsidRPr="00C947C4">
              <w:rPr>
                <w:color w:val="000000"/>
                <w:sz w:val="24"/>
                <w:szCs w:val="24"/>
              </w:rPr>
              <w:t>0,00</w:t>
            </w:r>
          </w:p>
        </w:tc>
        <w:tc>
          <w:tcPr>
            <w:tcW w:type="pct" w:w="552"/>
            <w:tcBorders>
              <w:top w:val="nil"/>
              <w:left w:val="nil"/>
              <w:bottom w:space="0" w:sz="4" w:color="auto" w:val="single"/>
              <w:right w:space="0" w:sz="4" w:color="auto" w:val="single"/>
            </w:tcBorders>
            <w:shd w:fill="auto" w:color="auto" w:val="clear"/>
            <w:vAlign w:val="center"/>
            <w:hideMark/>
          </w:tcPr>
          <w:p w:rsidRDefault="00C947C4" w:rsidP="00C947C4" w:rsidR="00C947C4" w:rsidRPr="00C947C4">
            <w:pPr>
              <w:overflowPunct/>
              <w:autoSpaceDE/>
              <w:autoSpaceDN/>
              <w:adjustRightInd/>
              <w:jc w:val="center"/>
              <w:textAlignment w:val="auto"/>
              <w:rPr>
                <w:color w:val="000000"/>
                <w:sz w:val="24"/>
                <w:szCs w:val="24"/>
              </w:rPr>
            </w:pPr>
            <w:r w:rsidRPr="00C947C4">
              <w:rPr>
                <w:color w:val="000000"/>
                <w:sz w:val="24"/>
                <w:szCs w:val="24"/>
              </w:rPr>
              <w:t>Telekomunikacijske usluge</w:t>
            </w:r>
          </w:p>
        </w:tc>
        <w:tc>
          <w:tcPr>
            <w:tcW w:type="pct" w:w="389"/>
            <w:tcBorders>
              <w:top w:val="nil"/>
              <w:left w:val="nil"/>
              <w:bottom w:space="0" w:sz="4" w:color="auto" w:val="single"/>
              <w:right w:space="0" w:sz="4" w:color="auto" w:val="single"/>
            </w:tcBorders>
            <w:shd w:fill="auto" w:color="auto" w:val="clear"/>
            <w:vAlign w:val="center"/>
            <w:hideMark/>
          </w:tcPr>
          <w:p w:rsidRDefault="00C947C4" w:rsidP="00C947C4" w:rsidR="00C947C4" w:rsidRPr="00C947C4">
            <w:pPr>
              <w:overflowPunct/>
              <w:autoSpaceDE/>
              <w:autoSpaceDN/>
              <w:adjustRightInd/>
              <w:jc w:val="center"/>
              <w:textAlignment w:val="auto"/>
              <w:rPr>
                <w:color w:val="000000"/>
                <w:sz w:val="24"/>
                <w:szCs w:val="24"/>
              </w:rPr>
            </w:pPr>
            <w:r w:rsidRPr="00C947C4">
              <w:rPr>
                <w:color w:val="000000"/>
                <w:sz w:val="24"/>
                <w:szCs w:val="24"/>
              </w:rPr>
              <w:t>5.861,88</w:t>
            </w:r>
          </w:p>
        </w:tc>
        <w:tc>
          <w:tcPr>
            <w:tcW w:type="pct" w:w="393"/>
            <w:tcBorders>
              <w:top w:val="nil"/>
              <w:left w:val="nil"/>
              <w:bottom w:space="0" w:sz="4" w:color="auto" w:val="single"/>
              <w:right w:space="0" w:sz="4" w:color="auto" w:val="single"/>
            </w:tcBorders>
            <w:shd w:fill="auto" w:color="auto" w:val="clear"/>
            <w:vAlign w:val="center"/>
            <w:hideMark/>
          </w:tcPr>
          <w:p w:rsidRDefault="00C947C4" w:rsidP="00C947C4" w:rsidR="00C947C4" w:rsidRPr="00C947C4">
            <w:pPr>
              <w:overflowPunct/>
              <w:autoSpaceDE/>
              <w:autoSpaceDN/>
              <w:adjustRightInd/>
              <w:jc w:val="center"/>
              <w:textAlignment w:val="auto"/>
              <w:rPr>
                <w:color w:val="000000"/>
                <w:sz w:val="24"/>
                <w:szCs w:val="24"/>
              </w:rPr>
            </w:pPr>
            <w:r w:rsidRPr="00C947C4">
              <w:rPr>
                <w:color w:val="000000"/>
                <w:sz w:val="24"/>
                <w:szCs w:val="24"/>
              </w:rPr>
              <w:t>U napomeni</w:t>
            </w:r>
          </w:p>
        </w:tc>
        <w:tc>
          <w:tcPr>
            <w:tcW w:type="pct" w:w="552"/>
            <w:tcBorders>
              <w:top w:val="nil"/>
              <w:left w:val="nil"/>
              <w:bottom w:space="0" w:sz="4" w:color="auto" w:val="single"/>
              <w:right w:space="0" w:sz="8" w:color="auto" w:val="single"/>
            </w:tcBorders>
            <w:shd w:fill="auto" w:color="auto" w:val="clear"/>
            <w:vAlign w:val="center"/>
            <w:hideMark/>
          </w:tcPr>
          <w:p w:rsidRDefault="00C947C4" w:rsidP="00C947C4" w:rsidR="00C947C4" w:rsidRPr="00C947C4">
            <w:pPr>
              <w:overflowPunct/>
              <w:autoSpaceDE/>
              <w:autoSpaceDN/>
              <w:adjustRightInd/>
              <w:jc w:val="center"/>
              <w:textAlignment w:val="auto"/>
              <w:rPr>
                <w:color w:val="000000"/>
                <w:sz w:val="24"/>
                <w:szCs w:val="24"/>
              </w:rPr>
            </w:pPr>
            <w:r w:rsidRPr="00C947C4">
              <w:rPr>
                <w:color w:val="000000"/>
                <w:sz w:val="24"/>
                <w:szCs w:val="24"/>
              </w:rPr>
              <w:t>-</w:t>
            </w:r>
          </w:p>
        </w:tc>
      </w:tr>
      <w:tr w:rsidTr="00C947C4" w:rsidR="00C947C4" w:rsidRPr="00110B5F">
        <w:trPr>
          <w:trHeight w:val="1560"/>
        </w:trPr>
        <w:tc>
          <w:tcPr>
            <w:tcW w:type="pct" w:w="217"/>
            <w:tcBorders>
              <w:top w:val="nil"/>
              <w:left w:space="0" w:sz="8" w:color="auto" w:val="single"/>
              <w:bottom w:space="0" w:sz="4" w:color="auto" w:val="single"/>
              <w:right w:space="0" w:sz="4" w:color="auto" w:val="single"/>
            </w:tcBorders>
            <w:shd w:fill="auto" w:color="auto" w:val="clear"/>
            <w:vAlign w:val="center"/>
            <w:hideMark/>
          </w:tcPr>
          <w:p w:rsidRDefault="00C947C4" w:rsidP="00C947C4" w:rsidR="00C947C4" w:rsidRPr="00C947C4">
            <w:pPr>
              <w:overflowPunct/>
              <w:autoSpaceDE/>
              <w:autoSpaceDN/>
              <w:adjustRightInd/>
              <w:jc w:val="center"/>
              <w:textAlignment w:val="auto"/>
              <w:rPr>
                <w:color w:val="000000"/>
                <w:sz w:val="24"/>
                <w:szCs w:val="24"/>
              </w:rPr>
            </w:pPr>
            <w:r w:rsidRPr="00C947C4">
              <w:rPr>
                <w:color w:val="000000"/>
                <w:sz w:val="24"/>
                <w:szCs w:val="24"/>
              </w:rPr>
              <w:t>10</w:t>
            </w:r>
          </w:p>
        </w:tc>
        <w:tc>
          <w:tcPr>
            <w:tcW w:type="pct" w:w="483"/>
            <w:tcBorders>
              <w:top w:val="nil"/>
              <w:left w:val="nil"/>
              <w:bottom w:space="0" w:sz="4" w:color="auto" w:val="single"/>
              <w:right w:space="0" w:sz="4" w:color="auto" w:val="single"/>
            </w:tcBorders>
            <w:shd w:fill="auto" w:color="auto" w:val="clear"/>
            <w:vAlign w:val="center"/>
            <w:hideMark/>
          </w:tcPr>
          <w:p w:rsidRDefault="00C947C4" w:rsidP="00C947C4" w:rsidR="00C947C4" w:rsidRPr="00C947C4">
            <w:pPr>
              <w:overflowPunct/>
              <w:autoSpaceDE/>
              <w:autoSpaceDN/>
              <w:adjustRightInd/>
              <w:jc w:val="center"/>
              <w:textAlignment w:val="auto"/>
              <w:rPr>
                <w:color w:val="000000"/>
                <w:sz w:val="24"/>
                <w:szCs w:val="24"/>
              </w:rPr>
            </w:pPr>
            <w:r w:rsidRPr="00C947C4">
              <w:rPr>
                <w:color w:val="000000"/>
                <w:sz w:val="24"/>
                <w:szCs w:val="24"/>
              </w:rPr>
              <w:t>TOFRADO d.o.o. u stečaju</w:t>
            </w:r>
          </w:p>
        </w:tc>
        <w:tc>
          <w:tcPr>
            <w:tcW w:type="pct" w:w="405"/>
            <w:tcBorders>
              <w:top w:val="nil"/>
              <w:left w:val="nil"/>
              <w:bottom w:space="0" w:sz="4" w:color="auto" w:val="single"/>
              <w:right w:space="0" w:sz="4" w:color="auto" w:val="single"/>
            </w:tcBorders>
            <w:shd w:fill="auto" w:color="auto" w:val="clear"/>
            <w:vAlign w:val="center"/>
            <w:hideMark/>
          </w:tcPr>
          <w:p w:rsidRDefault="00C947C4" w:rsidP="00C947C4" w:rsidR="00C947C4" w:rsidRPr="00C947C4">
            <w:pPr>
              <w:overflowPunct/>
              <w:autoSpaceDE/>
              <w:autoSpaceDN/>
              <w:adjustRightInd/>
              <w:jc w:val="center"/>
              <w:textAlignment w:val="auto"/>
              <w:rPr>
                <w:color w:val="000000"/>
                <w:sz w:val="24"/>
                <w:szCs w:val="24"/>
              </w:rPr>
            </w:pPr>
            <w:r w:rsidRPr="00C947C4">
              <w:rPr>
                <w:color w:val="000000"/>
                <w:sz w:val="24"/>
                <w:szCs w:val="24"/>
              </w:rPr>
              <w:t>92907511183</w:t>
            </w:r>
          </w:p>
        </w:tc>
        <w:tc>
          <w:tcPr>
            <w:tcW w:type="pct" w:w="615"/>
            <w:tcBorders>
              <w:top w:val="nil"/>
              <w:left w:val="nil"/>
              <w:bottom w:space="0" w:sz="4" w:color="auto" w:val="single"/>
              <w:right w:space="0" w:sz="4" w:color="auto" w:val="single"/>
            </w:tcBorders>
            <w:shd w:fill="auto" w:color="auto" w:val="clear"/>
            <w:vAlign w:val="center"/>
            <w:hideMark/>
          </w:tcPr>
          <w:p w:rsidRDefault="00C947C4" w:rsidP="00C947C4" w:rsidR="00C947C4" w:rsidRPr="00C947C4">
            <w:pPr>
              <w:overflowPunct/>
              <w:autoSpaceDE/>
              <w:autoSpaceDN/>
              <w:adjustRightInd/>
              <w:jc w:val="center"/>
              <w:textAlignment w:val="auto"/>
              <w:rPr>
                <w:color w:val="000000"/>
                <w:sz w:val="24"/>
                <w:szCs w:val="24"/>
              </w:rPr>
            </w:pPr>
            <w:r w:rsidRPr="00C947C4">
              <w:rPr>
                <w:color w:val="000000"/>
                <w:sz w:val="24"/>
                <w:szCs w:val="24"/>
              </w:rPr>
              <w:t>Ante Starčevića 16, 34310 Platernica</w:t>
            </w:r>
          </w:p>
        </w:tc>
        <w:tc>
          <w:tcPr>
            <w:tcW w:type="pct" w:w="421"/>
            <w:tcBorders>
              <w:top w:val="nil"/>
              <w:left w:val="nil"/>
              <w:bottom w:space="0" w:sz="4" w:color="auto" w:val="single"/>
              <w:right w:space="0" w:sz="4" w:color="auto" w:val="single"/>
            </w:tcBorders>
            <w:shd w:fill="auto" w:color="auto" w:val="clear"/>
            <w:vAlign w:val="center"/>
            <w:hideMark/>
          </w:tcPr>
          <w:p w:rsidRDefault="00C947C4" w:rsidP="00C947C4" w:rsidR="00C947C4" w:rsidRPr="00C947C4">
            <w:pPr>
              <w:overflowPunct/>
              <w:autoSpaceDE/>
              <w:autoSpaceDN/>
              <w:adjustRightInd/>
              <w:jc w:val="right"/>
              <w:textAlignment w:val="auto"/>
              <w:rPr>
                <w:color w:val="000000"/>
                <w:sz w:val="24"/>
                <w:szCs w:val="24"/>
              </w:rPr>
            </w:pPr>
            <w:r w:rsidRPr="00C947C4">
              <w:rPr>
                <w:color w:val="000000"/>
                <w:sz w:val="24"/>
                <w:szCs w:val="24"/>
              </w:rPr>
              <w:t>1.638.959,13</w:t>
            </w:r>
          </w:p>
        </w:tc>
        <w:tc>
          <w:tcPr>
            <w:tcW w:type="pct" w:w="552"/>
            <w:tcBorders>
              <w:top w:val="nil"/>
              <w:left w:val="nil"/>
              <w:bottom w:space="0" w:sz="4" w:color="auto" w:val="single"/>
              <w:right w:space="0" w:sz="4" w:color="auto" w:val="single"/>
            </w:tcBorders>
            <w:shd w:fill="auto" w:color="auto" w:val="clear"/>
            <w:vAlign w:val="center"/>
            <w:hideMark/>
          </w:tcPr>
          <w:p w:rsidRDefault="00C947C4" w:rsidP="00C947C4" w:rsidR="00C947C4" w:rsidRPr="00C947C4">
            <w:pPr>
              <w:overflowPunct/>
              <w:autoSpaceDE/>
              <w:autoSpaceDN/>
              <w:adjustRightInd/>
              <w:jc w:val="center"/>
              <w:textAlignment w:val="auto"/>
              <w:rPr>
                <w:color w:val="000000"/>
                <w:sz w:val="24"/>
                <w:szCs w:val="24"/>
              </w:rPr>
            </w:pPr>
            <w:r w:rsidRPr="00C947C4">
              <w:rPr>
                <w:color w:val="000000"/>
                <w:sz w:val="24"/>
                <w:szCs w:val="24"/>
              </w:rPr>
              <w:t>Ovršna isprava</w:t>
            </w:r>
          </w:p>
        </w:tc>
        <w:tc>
          <w:tcPr>
            <w:tcW w:type="pct" w:w="421"/>
            <w:tcBorders>
              <w:top w:val="nil"/>
              <w:left w:val="nil"/>
              <w:bottom w:space="0" w:sz="4" w:color="auto" w:val="single"/>
              <w:right w:space="0" w:sz="4" w:color="auto" w:val="single"/>
            </w:tcBorders>
            <w:shd w:fill="auto" w:color="auto" w:val="clear"/>
            <w:vAlign w:val="center"/>
            <w:hideMark/>
          </w:tcPr>
          <w:p w:rsidRDefault="00C947C4" w:rsidP="00C947C4" w:rsidR="00C947C4" w:rsidRPr="00C947C4">
            <w:pPr>
              <w:overflowPunct/>
              <w:autoSpaceDE/>
              <w:autoSpaceDN/>
              <w:adjustRightInd/>
              <w:jc w:val="right"/>
              <w:textAlignment w:val="auto"/>
              <w:rPr>
                <w:color w:val="000000"/>
                <w:sz w:val="24"/>
                <w:szCs w:val="24"/>
              </w:rPr>
            </w:pPr>
            <w:r w:rsidRPr="00C947C4">
              <w:rPr>
                <w:color w:val="000000"/>
                <w:sz w:val="24"/>
                <w:szCs w:val="24"/>
              </w:rPr>
              <w:t>167.733,19</w:t>
            </w:r>
          </w:p>
        </w:tc>
        <w:tc>
          <w:tcPr>
            <w:tcW w:type="pct" w:w="552"/>
            <w:tcBorders>
              <w:top w:val="nil"/>
              <w:left w:val="nil"/>
              <w:bottom w:space="0" w:sz="4" w:color="auto" w:val="single"/>
              <w:right w:space="0" w:sz="4" w:color="auto" w:val="single"/>
            </w:tcBorders>
            <w:shd w:fill="auto" w:color="auto" w:val="clear"/>
            <w:vAlign w:val="center"/>
            <w:hideMark/>
          </w:tcPr>
          <w:p w:rsidRDefault="00C947C4" w:rsidP="00C947C4" w:rsidR="00C947C4" w:rsidRPr="00C947C4">
            <w:pPr>
              <w:overflowPunct/>
              <w:autoSpaceDE/>
              <w:autoSpaceDN/>
              <w:adjustRightInd/>
              <w:jc w:val="center"/>
              <w:textAlignment w:val="auto"/>
              <w:rPr>
                <w:color w:val="000000"/>
                <w:sz w:val="24"/>
                <w:szCs w:val="24"/>
              </w:rPr>
            </w:pPr>
            <w:r w:rsidRPr="00C947C4">
              <w:rPr>
                <w:color w:val="000000"/>
                <w:sz w:val="24"/>
                <w:szCs w:val="24"/>
              </w:rPr>
              <w:t>Ovršna isprava</w:t>
            </w:r>
          </w:p>
        </w:tc>
        <w:tc>
          <w:tcPr>
            <w:tcW w:type="pct" w:w="389"/>
            <w:tcBorders>
              <w:top w:val="nil"/>
              <w:left w:val="nil"/>
              <w:bottom w:space="0" w:sz="4" w:color="auto" w:val="single"/>
              <w:right w:space="0" w:sz="4" w:color="auto" w:val="single"/>
            </w:tcBorders>
            <w:shd w:fill="auto" w:color="auto" w:val="clear"/>
            <w:vAlign w:val="center"/>
            <w:hideMark/>
          </w:tcPr>
          <w:p w:rsidRDefault="00C947C4" w:rsidP="00C947C4" w:rsidR="00C947C4" w:rsidRPr="00C947C4">
            <w:pPr>
              <w:overflowPunct/>
              <w:autoSpaceDE/>
              <w:autoSpaceDN/>
              <w:adjustRightInd/>
              <w:jc w:val="center"/>
              <w:textAlignment w:val="auto"/>
              <w:rPr>
                <w:color w:val="000000"/>
                <w:sz w:val="24"/>
                <w:szCs w:val="24"/>
              </w:rPr>
            </w:pPr>
            <w:r w:rsidRPr="00C947C4">
              <w:rPr>
                <w:color w:val="000000"/>
                <w:sz w:val="24"/>
                <w:szCs w:val="24"/>
              </w:rPr>
              <w:t>1.471.225,94</w:t>
            </w:r>
          </w:p>
        </w:tc>
        <w:tc>
          <w:tcPr>
            <w:tcW w:type="pct" w:w="393"/>
            <w:tcBorders>
              <w:top w:val="nil"/>
              <w:left w:val="nil"/>
              <w:bottom w:space="0" w:sz="4" w:color="auto" w:val="single"/>
              <w:right w:space="0" w:sz="4" w:color="auto" w:val="single"/>
            </w:tcBorders>
            <w:shd w:fill="auto" w:color="auto" w:val="clear"/>
            <w:vAlign w:val="center"/>
            <w:hideMark/>
          </w:tcPr>
          <w:p w:rsidRDefault="00C947C4" w:rsidP="00C947C4" w:rsidR="00C947C4" w:rsidRPr="00C947C4">
            <w:pPr>
              <w:overflowPunct/>
              <w:autoSpaceDE/>
              <w:autoSpaceDN/>
              <w:adjustRightInd/>
              <w:jc w:val="center"/>
              <w:textAlignment w:val="auto"/>
              <w:rPr>
                <w:color w:val="000000"/>
                <w:sz w:val="24"/>
                <w:szCs w:val="24"/>
              </w:rPr>
            </w:pPr>
            <w:r w:rsidRPr="00C947C4">
              <w:rPr>
                <w:color w:val="000000"/>
                <w:sz w:val="24"/>
                <w:szCs w:val="24"/>
              </w:rPr>
              <w:t>U napomeni</w:t>
            </w:r>
          </w:p>
        </w:tc>
        <w:tc>
          <w:tcPr>
            <w:tcW w:type="pct" w:w="552"/>
            <w:tcBorders>
              <w:top w:val="nil"/>
              <w:left w:val="nil"/>
              <w:bottom w:space="0" w:sz="4" w:color="auto" w:val="single"/>
              <w:right w:space="0" w:sz="8" w:color="auto" w:val="single"/>
            </w:tcBorders>
            <w:shd w:fill="auto" w:color="auto" w:val="clear"/>
            <w:vAlign w:val="center"/>
            <w:hideMark/>
          </w:tcPr>
          <w:p w:rsidRDefault="00C947C4" w:rsidP="00C947C4" w:rsidR="00C947C4" w:rsidRPr="00C947C4">
            <w:pPr>
              <w:overflowPunct/>
              <w:autoSpaceDE/>
              <w:autoSpaceDN/>
              <w:adjustRightInd/>
              <w:jc w:val="center"/>
              <w:textAlignment w:val="auto"/>
              <w:rPr>
                <w:color w:val="000000"/>
                <w:sz w:val="24"/>
                <w:szCs w:val="24"/>
              </w:rPr>
            </w:pPr>
            <w:r w:rsidRPr="00C947C4">
              <w:rPr>
                <w:color w:val="000000"/>
                <w:sz w:val="24"/>
                <w:szCs w:val="24"/>
              </w:rPr>
              <w:t>Rješenje o ovrsi Općinskog suda u Šibeniku pod posl.br. Ovr-1350/2013 od 18.10.2013.g.</w:t>
            </w:r>
          </w:p>
        </w:tc>
      </w:tr>
      <w:tr w:rsidTr="00C947C4" w:rsidR="00C947C4" w:rsidRPr="00C947C4">
        <w:trPr>
          <w:trHeight w:val="330"/>
        </w:trPr>
        <w:tc>
          <w:tcPr>
            <w:tcW w:type="pct" w:w="1720"/>
            <w:gridSpan w:val="4"/>
            <w:tcBorders>
              <w:top w:val="nil"/>
              <w:left w:space="0" w:sz="8" w:color="auto" w:val="single"/>
              <w:bottom w:space="0" w:sz="8" w:color="auto" w:val="single"/>
              <w:right w:space="0" w:sz="4" w:color="auto" w:val="single"/>
            </w:tcBorders>
            <w:shd w:fill="auto" w:color="auto" w:val="clear"/>
            <w:noWrap/>
            <w:vAlign w:val="center"/>
            <w:hideMark/>
          </w:tcPr>
          <w:p w:rsidRDefault="00C947C4" w:rsidP="00C947C4" w:rsidR="00C947C4" w:rsidRPr="00C947C4">
            <w:pPr>
              <w:overflowPunct/>
              <w:autoSpaceDE/>
              <w:autoSpaceDN/>
              <w:adjustRightInd/>
              <w:textAlignment w:val="auto"/>
              <w:rPr>
                <w:b/>
                <w:bCs/>
                <w:color w:val="000000"/>
                <w:sz w:val="24"/>
                <w:szCs w:val="24"/>
              </w:rPr>
            </w:pPr>
            <w:r w:rsidRPr="00C947C4">
              <w:rPr>
                <w:b/>
                <w:bCs/>
                <w:color w:val="000000"/>
                <w:sz w:val="24"/>
                <w:szCs w:val="24"/>
              </w:rPr>
              <w:t>UKUPNO:</w:t>
            </w:r>
          </w:p>
        </w:tc>
        <w:tc>
          <w:tcPr>
            <w:tcW w:type="pct" w:w="421"/>
            <w:tcBorders>
              <w:top w:val="nil"/>
              <w:left w:val="nil"/>
              <w:bottom w:space="0" w:sz="8" w:color="auto" w:val="single"/>
              <w:right w:space="0" w:sz="4" w:color="auto" w:val="single"/>
            </w:tcBorders>
            <w:shd w:fill="auto" w:color="auto" w:val="clear"/>
            <w:noWrap/>
            <w:vAlign w:val="center"/>
            <w:hideMark/>
          </w:tcPr>
          <w:p w:rsidRDefault="00C947C4" w:rsidP="00C947C4" w:rsidR="00C947C4" w:rsidRPr="00C947C4">
            <w:pPr>
              <w:overflowPunct/>
              <w:autoSpaceDE/>
              <w:autoSpaceDN/>
              <w:adjustRightInd/>
              <w:jc w:val="right"/>
              <w:textAlignment w:val="auto"/>
              <w:rPr>
                <w:b/>
                <w:bCs/>
                <w:color w:val="000000"/>
                <w:sz w:val="24"/>
                <w:szCs w:val="24"/>
              </w:rPr>
            </w:pPr>
            <w:r w:rsidRPr="00C947C4">
              <w:rPr>
                <w:b/>
                <w:bCs/>
                <w:color w:val="000000"/>
                <w:sz w:val="24"/>
                <w:szCs w:val="24"/>
              </w:rPr>
              <w:t>15.515.891,14</w:t>
            </w:r>
          </w:p>
        </w:tc>
        <w:tc>
          <w:tcPr>
            <w:tcW w:type="pct" w:w="552"/>
            <w:tcBorders>
              <w:top w:val="nil"/>
              <w:left w:val="nil"/>
              <w:bottom w:space="0" w:sz="8" w:color="auto" w:val="single"/>
              <w:right w:space="0" w:sz="4" w:color="auto" w:val="single"/>
            </w:tcBorders>
            <w:shd w:fill="auto" w:color="auto" w:val="clear"/>
            <w:noWrap/>
            <w:vAlign w:val="center"/>
            <w:hideMark/>
          </w:tcPr>
          <w:p w:rsidRDefault="00C947C4" w:rsidP="00C947C4" w:rsidR="00C947C4" w:rsidRPr="00C947C4">
            <w:pPr>
              <w:overflowPunct/>
              <w:autoSpaceDE/>
              <w:autoSpaceDN/>
              <w:adjustRightInd/>
              <w:jc w:val="center"/>
              <w:textAlignment w:val="auto"/>
              <w:rPr>
                <w:b/>
                <w:bCs/>
                <w:color w:val="000000"/>
                <w:sz w:val="24"/>
                <w:szCs w:val="24"/>
              </w:rPr>
            </w:pPr>
            <w:r w:rsidRPr="00C947C4">
              <w:rPr>
                <w:b/>
                <w:bCs/>
                <w:color w:val="000000"/>
                <w:sz w:val="24"/>
                <w:szCs w:val="24"/>
              </w:rPr>
              <w:t> </w:t>
            </w:r>
          </w:p>
        </w:tc>
        <w:tc>
          <w:tcPr>
            <w:tcW w:type="pct" w:w="421"/>
            <w:tcBorders>
              <w:top w:val="nil"/>
              <w:left w:val="nil"/>
              <w:bottom w:space="0" w:sz="8" w:color="auto" w:val="single"/>
              <w:right w:space="0" w:sz="4" w:color="auto" w:val="single"/>
            </w:tcBorders>
            <w:shd w:fill="auto" w:color="auto" w:val="clear"/>
            <w:noWrap/>
            <w:vAlign w:val="center"/>
            <w:hideMark/>
          </w:tcPr>
          <w:p w:rsidRDefault="00C947C4" w:rsidP="00C947C4" w:rsidR="00C947C4" w:rsidRPr="00C947C4">
            <w:pPr>
              <w:overflowPunct/>
              <w:autoSpaceDE/>
              <w:autoSpaceDN/>
              <w:adjustRightInd/>
              <w:jc w:val="right"/>
              <w:textAlignment w:val="auto"/>
              <w:rPr>
                <w:b/>
                <w:bCs/>
                <w:color w:val="000000"/>
                <w:sz w:val="24"/>
                <w:szCs w:val="24"/>
              </w:rPr>
            </w:pPr>
            <w:r w:rsidRPr="00C947C4">
              <w:rPr>
                <w:b/>
                <w:bCs/>
                <w:color w:val="000000"/>
                <w:sz w:val="24"/>
                <w:szCs w:val="24"/>
              </w:rPr>
              <w:t>14.038.803,32</w:t>
            </w:r>
          </w:p>
        </w:tc>
        <w:tc>
          <w:tcPr>
            <w:tcW w:type="pct" w:w="552"/>
            <w:tcBorders>
              <w:top w:val="nil"/>
              <w:left w:val="nil"/>
              <w:bottom w:space="0" w:sz="8" w:color="auto" w:val="single"/>
              <w:right w:space="0" w:sz="4" w:color="auto" w:val="single"/>
            </w:tcBorders>
            <w:shd w:fill="auto" w:color="auto" w:val="clear"/>
            <w:noWrap/>
            <w:vAlign w:val="center"/>
            <w:hideMark/>
          </w:tcPr>
          <w:p w:rsidRDefault="00C947C4" w:rsidP="00C947C4" w:rsidR="00C947C4" w:rsidRPr="00C947C4">
            <w:pPr>
              <w:overflowPunct/>
              <w:autoSpaceDE/>
              <w:autoSpaceDN/>
              <w:adjustRightInd/>
              <w:jc w:val="center"/>
              <w:textAlignment w:val="auto"/>
              <w:rPr>
                <w:b/>
                <w:bCs/>
                <w:color w:val="000000"/>
                <w:sz w:val="24"/>
                <w:szCs w:val="24"/>
              </w:rPr>
            </w:pPr>
            <w:r w:rsidRPr="00C947C4">
              <w:rPr>
                <w:b/>
                <w:bCs/>
                <w:color w:val="000000"/>
                <w:sz w:val="24"/>
                <w:szCs w:val="24"/>
              </w:rPr>
              <w:t> </w:t>
            </w:r>
          </w:p>
        </w:tc>
        <w:tc>
          <w:tcPr>
            <w:tcW w:type="pct" w:w="389"/>
            <w:tcBorders>
              <w:top w:val="nil"/>
              <w:left w:val="nil"/>
              <w:bottom w:space="0" w:sz="8" w:color="auto" w:val="single"/>
              <w:right w:space="0" w:sz="4" w:color="auto" w:val="single"/>
            </w:tcBorders>
            <w:shd w:fill="auto" w:color="auto" w:val="clear"/>
            <w:noWrap/>
            <w:vAlign w:val="center"/>
            <w:hideMark/>
          </w:tcPr>
          <w:p w:rsidRDefault="00C947C4" w:rsidP="00C947C4" w:rsidR="00C947C4" w:rsidRPr="00C947C4">
            <w:pPr>
              <w:overflowPunct/>
              <w:autoSpaceDE/>
              <w:autoSpaceDN/>
              <w:adjustRightInd/>
              <w:jc w:val="right"/>
              <w:textAlignment w:val="auto"/>
              <w:rPr>
                <w:b/>
                <w:bCs/>
                <w:color w:val="000000"/>
                <w:sz w:val="24"/>
                <w:szCs w:val="24"/>
              </w:rPr>
            </w:pPr>
            <w:r w:rsidRPr="00C947C4">
              <w:rPr>
                <w:b/>
                <w:bCs/>
                <w:color w:val="000000"/>
                <w:sz w:val="24"/>
                <w:szCs w:val="24"/>
              </w:rPr>
              <w:t>1.477.087,82</w:t>
            </w:r>
          </w:p>
        </w:tc>
        <w:tc>
          <w:tcPr>
            <w:tcW w:type="pct" w:w="393"/>
            <w:tcBorders>
              <w:top w:val="nil"/>
              <w:left w:val="nil"/>
              <w:bottom w:space="0" w:sz="8" w:color="auto" w:val="single"/>
              <w:right w:space="0" w:sz="4" w:color="auto" w:val="single"/>
            </w:tcBorders>
            <w:shd w:fill="auto" w:color="auto" w:val="clear"/>
            <w:noWrap/>
            <w:vAlign w:val="center"/>
            <w:hideMark/>
          </w:tcPr>
          <w:p w:rsidRDefault="00C947C4" w:rsidP="00C947C4" w:rsidR="00C947C4" w:rsidRPr="00C947C4">
            <w:pPr>
              <w:overflowPunct/>
              <w:autoSpaceDE/>
              <w:autoSpaceDN/>
              <w:adjustRightInd/>
              <w:jc w:val="center"/>
              <w:textAlignment w:val="auto"/>
              <w:rPr>
                <w:b/>
                <w:bCs/>
                <w:color w:val="000000"/>
                <w:sz w:val="24"/>
                <w:szCs w:val="24"/>
              </w:rPr>
            </w:pPr>
            <w:r w:rsidRPr="00C947C4">
              <w:rPr>
                <w:b/>
                <w:bCs/>
                <w:color w:val="000000"/>
                <w:sz w:val="24"/>
                <w:szCs w:val="24"/>
              </w:rPr>
              <w:t> </w:t>
            </w:r>
          </w:p>
        </w:tc>
        <w:tc>
          <w:tcPr>
            <w:tcW w:type="pct" w:w="552"/>
            <w:tcBorders>
              <w:top w:val="nil"/>
              <w:left w:val="nil"/>
              <w:bottom w:space="0" w:sz="8" w:color="auto" w:val="single"/>
              <w:right w:space="0" w:sz="8" w:color="auto" w:val="single"/>
            </w:tcBorders>
            <w:shd w:fill="auto" w:color="auto" w:val="clear"/>
            <w:noWrap/>
            <w:vAlign w:val="center"/>
            <w:hideMark/>
          </w:tcPr>
          <w:p w:rsidRDefault="00C947C4" w:rsidP="00C947C4" w:rsidR="00C947C4" w:rsidRPr="00C947C4">
            <w:pPr>
              <w:overflowPunct/>
              <w:autoSpaceDE/>
              <w:autoSpaceDN/>
              <w:adjustRightInd/>
              <w:jc w:val="center"/>
              <w:textAlignment w:val="auto"/>
              <w:rPr>
                <w:b/>
                <w:bCs/>
                <w:color w:val="000000"/>
                <w:sz w:val="24"/>
                <w:szCs w:val="24"/>
              </w:rPr>
            </w:pPr>
            <w:r w:rsidRPr="00C947C4">
              <w:rPr>
                <w:b/>
                <w:bCs/>
                <w:color w:val="000000"/>
                <w:sz w:val="24"/>
                <w:szCs w:val="24"/>
              </w:rPr>
              <w:t> </w:t>
            </w:r>
          </w:p>
        </w:tc>
      </w:tr>
    </w:tbl>
    <w:p w:rsidRDefault="00C947C4" w:rsidP="006C618A" w:rsidR="00C947C4" w:rsidRPr="00110B5F">
      <w:pPr>
        <w:jc w:val="both"/>
        <w:rPr>
          <w:sz w:val="24"/>
          <w:szCs w:val="24"/>
        </w:rPr>
      </w:pPr>
    </w:p>
    <w:p w:rsidRDefault="00C947C4" w:rsidP="006C618A" w:rsidR="006C618A" w:rsidRPr="00110B5F">
      <w:pPr>
        <w:jc w:val="both"/>
        <w:rPr>
          <w:sz w:val="24"/>
          <w:szCs w:val="24"/>
        </w:rPr>
      </w:pPr>
      <w:r w:rsidRPr="00110B5F">
        <w:rPr>
          <w:sz w:val="24"/>
          <w:szCs w:val="24"/>
        </w:rPr>
        <w:t>Napomena uz II. viši isplatni red:</w:t>
      </w:r>
    </w:p>
    <w:p w:rsidRDefault="00C947C4" w:rsidP="006C618A" w:rsidR="00C947C4" w:rsidRPr="00110B5F">
      <w:pPr>
        <w:jc w:val="both"/>
        <w:rPr>
          <w:sz w:val="24"/>
          <w:szCs w:val="24"/>
        </w:rPr>
      </w:pPr>
    </w:p>
    <w:p w:rsidRDefault="00C947C4" w:rsidP="006C618A" w:rsidR="00C947C4" w:rsidRPr="00110B5F">
      <w:pPr>
        <w:jc w:val="both"/>
        <w:rPr>
          <w:sz w:val="24"/>
          <w:szCs w:val="24"/>
        </w:rPr>
      </w:pPr>
      <w:r w:rsidRPr="00110B5F">
        <w:rPr>
          <w:sz w:val="24"/>
          <w:szCs w:val="24"/>
        </w:rPr>
        <w:t xml:space="preserve">Ad.9. Vjerovniku se osporava ukupan iznos od 5.861,88 kn i to iznos od 1.) iznos od 1.310,53 kn prijavljen po osnovi računa broj 0000033654112011 od 31.10.2011.g., 2.) iznos od 1.144,64 kn prijavljen po osnovi računa broj 0000037777122011 od 30.11.2011.g., 3.) iznos od 737,29 kn prijavljen po osnovi računa broj 0000034171012012 od 31.12.2011.g., 4.) iznos od 416,00 kn prijavljen po osnovi računa broj 0000033718022012 od 31.01.2012.g., 5.) iznos od 275,00 kn prijavljen po osnovi računa broj 0000042955032012 od 29.02.2012.g., 6.) iznos od 279,06 kn prijavljen po osnovi računa broj 0000046557042012 od 31.03.2012.g., 7.) iznos od 279,06 kn prijavljen po osnovi računa broj 0000046680052012 od 30.04.2012.g., 8.) iznos od 254,06 kn prijavljen po osnovi računa broj 0000045178062012 od 31.05.2012.g. , 9.) iznos od 304,06 kn prijavljen po osnovi računa broj 0000047487072012 od 30.06.2012.g., 10.) iznos od 254,06 kn prijavljen po osnovi računa broj 0000047432082012 od 31.07.2012.g., 11.) iznos od 279,06 kn prijavljen po osnovi računa broj 0000058668092012 od 31.08.2012.g., 12.) iznos od </w:t>
      </w:r>
      <w:r w:rsidRPr="00110B5F">
        <w:rPr>
          <w:sz w:val="24"/>
          <w:szCs w:val="24"/>
        </w:rPr>
        <w:lastRenderedPageBreak/>
        <w:t>279,06 kn prijavljen po osnovi računa broj 0000059173102012 od 30.09.2012.g., 13.) iznos od 25,00 kn prijavljen po osnovi računa broj 0000059488112012 od 31.10.2012.g., 14.) iznos od 25,00 kn prijavljen po osnovi računa broj 0000061156042013 od 31.03.2013.g., a sve iz razloga jer je za navedene račune nastupila zastara.</w:t>
      </w:r>
    </w:p>
    <w:p w:rsidRDefault="00C947C4" w:rsidP="006C618A" w:rsidR="00C947C4" w:rsidRPr="00110B5F">
      <w:pPr>
        <w:jc w:val="both"/>
        <w:rPr>
          <w:sz w:val="24"/>
          <w:szCs w:val="24"/>
        </w:rPr>
      </w:pPr>
    </w:p>
    <w:p w:rsidRDefault="00C947C4" w:rsidP="006C618A" w:rsidR="00C947C4">
      <w:pPr>
        <w:jc w:val="both"/>
        <w:rPr>
          <w:sz w:val="24"/>
          <w:szCs w:val="24"/>
        </w:rPr>
      </w:pPr>
      <w:r w:rsidRPr="00110B5F">
        <w:rPr>
          <w:sz w:val="24"/>
          <w:szCs w:val="24"/>
        </w:rPr>
        <w:t>Ad.10. Vjerovniku se osporava ukupan iznos od 1.471.225,94 kn i to iznos od 587.621,57 kn prijavljen po osnovi računa broj 1 od 31.12.2007.g. te iznos od 883.604,37 kn prijavljen po osnovi zateznih kamata po računu broj 1 od 31.12.2007.g., a sve iz razloga jer se radi o tražbini koja je prestala. Naime, društvo TOFRADO d.o.o. iz Pleternice izdalo je račun broj 1 od 31.12.2017.g. društvu H.G. NEKRETNINE d.o.o. iz Zagreba po osnovi prodaje nekretnine oznake kat.čest. 6182/4, upisane kod Općinskog suda u Šibeniku u zk.ul. 7524, k.o. Zaton, a sve temeljem Ugovora o kupoprodaji od 31.12.2007.g. ovjeren kod javnog bilježnika Maria Včelik iz Pleternice pod brojem OV-2177/07. Navedeni Ugovor o kupoprodaji raskinut je sukladno Sporazumnom raskidu ugovora o kupoprodaji nekretnina od 07.06.2011.g. ovjeren kod javnog bilježnika Mario Včelik iz Pleternice pod posl.br. OV-4087/11. Sukladno iznesenom, tražbina po osnovi kupoprodaje nekretnine i računa broj 1 od 31.12.2007.g. je prestala odnosno radi se o nepostojećoj tražbini. Za navedenu tražbinu društvo TOFRADO d.o.o. iz Pleternice raspolaže pravomoćnom ovršnom ispravom - rješenjem o ovrsi Općinskog suda u Šibeniku pod posl. br. Ovr-1350/13 no društvo H.G. NEKRETNINE d.o.o. iz Zagreba pokrenulo je parnicu radi proglašenja ovrhe nedopuštenom koja se vodi pred Trgovačkim sudom u Zadru, Stalna služba u Šibeniku pod posl.br. P-128/16.</w:t>
      </w:r>
    </w:p>
    <w:p w:rsidRDefault="00000AD1" w:rsidP="006C618A" w:rsidR="00000AD1" w:rsidRPr="00110B5F">
      <w:pPr>
        <w:jc w:val="both"/>
        <w:rPr>
          <w:sz w:val="24"/>
          <w:szCs w:val="24"/>
        </w:rPr>
      </w:pPr>
    </w:p>
    <w:p w:rsidRDefault="001B7518" w:rsidP="00C62C16" w:rsidR="009E2E3B" w:rsidRPr="00110B5F">
      <w:pPr>
        <w:ind w:firstLine="720"/>
        <w:jc w:val="both"/>
        <w:rPr>
          <w:sz w:val="24"/>
          <w:szCs w:val="24"/>
        </w:rPr>
      </w:pPr>
      <w:r w:rsidRPr="00110B5F">
        <w:rPr>
          <w:sz w:val="24"/>
          <w:szCs w:val="24"/>
        </w:rPr>
        <w:t>S o</w:t>
      </w:r>
      <w:r w:rsidR="007B3A1D" w:rsidRPr="00110B5F">
        <w:rPr>
          <w:sz w:val="24"/>
          <w:szCs w:val="24"/>
        </w:rPr>
        <w:t xml:space="preserve">bzirom </w:t>
      </w:r>
      <w:r w:rsidRPr="00110B5F">
        <w:rPr>
          <w:sz w:val="24"/>
          <w:szCs w:val="24"/>
        </w:rPr>
        <w:t xml:space="preserve">da </w:t>
      </w:r>
      <w:r w:rsidR="007B3A1D" w:rsidRPr="00110B5F">
        <w:rPr>
          <w:sz w:val="24"/>
          <w:szCs w:val="24"/>
        </w:rPr>
        <w:t xml:space="preserve">su ispitane sve prijavljene tražbine, </w:t>
      </w:r>
      <w:r w:rsidR="006E11F9" w:rsidRPr="00110B5F">
        <w:rPr>
          <w:sz w:val="24"/>
          <w:szCs w:val="24"/>
        </w:rPr>
        <w:t>sud</w:t>
      </w:r>
      <w:r w:rsidR="007B3A1D" w:rsidRPr="00110B5F">
        <w:rPr>
          <w:sz w:val="24"/>
          <w:szCs w:val="24"/>
        </w:rPr>
        <w:t xml:space="preserve"> izjavljuje da će rješenje o tome u kojem iznosu i u kojem isplatnom redu su utvrđene,</w:t>
      </w:r>
      <w:r w:rsidR="004E2E52" w:rsidRPr="00110B5F">
        <w:rPr>
          <w:sz w:val="24"/>
          <w:szCs w:val="24"/>
        </w:rPr>
        <w:t xml:space="preserve"> odnosno osporene</w:t>
      </w:r>
      <w:r w:rsidR="007B3A1D" w:rsidRPr="00110B5F">
        <w:rPr>
          <w:sz w:val="24"/>
          <w:szCs w:val="24"/>
        </w:rPr>
        <w:t xml:space="preserve"> </w:t>
      </w:r>
      <w:r w:rsidRPr="00110B5F">
        <w:rPr>
          <w:sz w:val="24"/>
          <w:szCs w:val="24"/>
        </w:rPr>
        <w:t>biti objavljeno na e-oglasnoj ploči suda.</w:t>
      </w:r>
    </w:p>
    <w:p w:rsidRDefault="001B7518" w:rsidP="00C62C16" w:rsidR="001B7518" w:rsidRPr="00110B5F">
      <w:pPr>
        <w:jc w:val="both"/>
        <w:rPr>
          <w:sz w:val="24"/>
          <w:szCs w:val="24"/>
        </w:rPr>
      </w:pPr>
    </w:p>
    <w:p w:rsidRDefault="009E2E3B" w:rsidP="00C62C16" w:rsidR="00AA0670" w:rsidRPr="00110B5F">
      <w:pPr>
        <w:jc w:val="both"/>
        <w:rPr>
          <w:bCs/>
          <w:sz w:val="24"/>
          <w:szCs w:val="24"/>
        </w:rPr>
      </w:pPr>
      <w:r w:rsidRPr="00110B5F">
        <w:rPr>
          <w:sz w:val="24"/>
          <w:szCs w:val="24"/>
        </w:rPr>
        <w:t xml:space="preserve">           </w:t>
      </w:r>
      <w:r w:rsidR="00AA0670" w:rsidRPr="00110B5F">
        <w:rPr>
          <w:bCs/>
          <w:sz w:val="24"/>
          <w:szCs w:val="24"/>
        </w:rPr>
        <w:t>Nitko od nazočnih vjerovnika nije osporio tražbine koje j</w:t>
      </w:r>
      <w:r w:rsidR="00020DF7" w:rsidRPr="00110B5F">
        <w:rPr>
          <w:bCs/>
          <w:sz w:val="24"/>
          <w:szCs w:val="24"/>
        </w:rPr>
        <w:t>e stečajni upravitelj priznao u</w:t>
      </w:r>
      <w:r w:rsidR="006C618A" w:rsidRPr="00110B5F">
        <w:rPr>
          <w:bCs/>
          <w:sz w:val="24"/>
          <w:szCs w:val="24"/>
        </w:rPr>
        <w:t xml:space="preserve"> </w:t>
      </w:r>
      <w:r w:rsidR="000457CD" w:rsidRPr="00110B5F">
        <w:rPr>
          <w:bCs/>
          <w:sz w:val="24"/>
          <w:szCs w:val="24"/>
        </w:rPr>
        <w:t>II.</w:t>
      </w:r>
      <w:r w:rsidR="00561466" w:rsidRPr="00110B5F">
        <w:rPr>
          <w:bCs/>
          <w:sz w:val="24"/>
          <w:szCs w:val="24"/>
        </w:rPr>
        <w:t xml:space="preserve"> </w:t>
      </w:r>
      <w:r w:rsidR="00AA0670" w:rsidRPr="00110B5F">
        <w:rPr>
          <w:bCs/>
          <w:sz w:val="24"/>
          <w:szCs w:val="24"/>
        </w:rPr>
        <w:t>višem isplatnom redu.</w:t>
      </w:r>
    </w:p>
    <w:p w:rsidRDefault="004E2E52" w:rsidP="00C62C16" w:rsidR="004E2E52" w:rsidRPr="00110B5F">
      <w:pPr>
        <w:jc w:val="both"/>
        <w:rPr>
          <w:bCs/>
          <w:sz w:val="24"/>
          <w:szCs w:val="24"/>
        </w:rPr>
      </w:pPr>
    </w:p>
    <w:p w:rsidRDefault="00954230" w:rsidP="00110B5F" w:rsidR="006C618A" w:rsidRPr="00110B5F">
      <w:pPr>
        <w:ind w:firstLine="720"/>
        <w:jc w:val="both"/>
        <w:rPr>
          <w:bCs/>
          <w:sz w:val="24"/>
          <w:szCs w:val="24"/>
        </w:rPr>
      </w:pPr>
      <w:r w:rsidRPr="00110B5F">
        <w:rPr>
          <w:bCs/>
          <w:sz w:val="24"/>
          <w:szCs w:val="24"/>
        </w:rPr>
        <w:t>Stečajni s</w:t>
      </w:r>
      <w:r w:rsidR="00AA0670" w:rsidRPr="00110B5F">
        <w:rPr>
          <w:bCs/>
          <w:sz w:val="24"/>
          <w:szCs w:val="24"/>
        </w:rPr>
        <w:t xml:space="preserve">udac objavljuje da se </w:t>
      </w:r>
      <w:r w:rsidR="00166167" w:rsidRPr="00110B5F">
        <w:rPr>
          <w:bCs/>
          <w:sz w:val="24"/>
          <w:szCs w:val="24"/>
        </w:rPr>
        <w:t xml:space="preserve">u tablici </w:t>
      </w:r>
      <w:r w:rsidR="00AA0670" w:rsidRPr="00110B5F">
        <w:rPr>
          <w:bCs/>
          <w:sz w:val="24"/>
          <w:szCs w:val="24"/>
        </w:rPr>
        <w:t>navedene tražbine stečajnih vjerovnika smatraju utvrđenim  i razvrstavaju u</w:t>
      </w:r>
      <w:r w:rsidR="006C618A" w:rsidRPr="00110B5F">
        <w:rPr>
          <w:bCs/>
          <w:sz w:val="24"/>
          <w:szCs w:val="24"/>
        </w:rPr>
        <w:t xml:space="preserve"> </w:t>
      </w:r>
      <w:r w:rsidR="000457CD" w:rsidRPr="00110B5F">
        <w:rPr>
          <w:bCs/>
          <w:sz w:val="24"/>
          <w:szCs w:val="24"/>
        </w:rPr>
        <w:t xml:space="preserve">II. </w:t>
      </w:r>
      <w:r w:rsidR="00D8786F" w:rsidRPr="00110B5F">
        <w:rPr>
          <w:bCs/>
          <w:sz w:val="24"/>
          <w:szCs w:val="24"/>
        </w:rPr>
        <w:t>viši isplatni red.</w:t>
      </w:r>
    </w:p>
    <w:p w:rsidRDefault="006C618A" w:rsidP="008A58F1" w:rsidR="006C618A" w:rsidRPr="00110B5F">
      <w:pPr>
        <w:numPr>
          <w:ilvl w:val="12"/>
          <w:numId w:val="0"/>
        </w:numPr>
        <w:jc w:val="both"/>
        <w:rPr>
          <w:bCs/>
          <w:sz w:val="24"/>
          <w:szCs w:val="24"/>
        </w:rPr>
      </w:pPr>
    </w:p>
    <w:p w:rsidRDefault="00000AD1" w:rsidP="00162DBE" w:rsidR="00000AD1">
      <w:pPr>
        <w:numPr>
          <w:ilvl w:val="12"/>
          <w:numId w:val="0"/>
        </w:numPr>
        <w:ind w:firstLine="720"/>
        <w:jc w:val="both"/>
        <w:rPr>
          <w:bCs/>
          <w:sz w:val="24"/>
          <w:szCs w:val="24"/>
        </w:rPr>
      </w:pPr>
    </w:p>
    <w:p w:rsidRDefault="00000AD1" w:rsidP="00162DBE" w:rsidR="00000AD1">
      <w:pPr>
        <w:numPr>
          <w:ilvl w:val="12"/>
          <w:numId w:val="0"/>
        </w:numPr>
        <w:ind w:firstLine="720"/>
        <w:jc w:val="both"/>
        <w:rPr>
          <w:bCs/>
          <w:sz w:val="24"/>
          <w:szCs w:val="24"/>
        </w:rPr>
      </w:pPr>
    </w:p>
    <w:p w:rsidRDefault="00000AD1" w:rsidP="00162DBE" w:rsidR="00000AD1">
      <w:pPr>
        <w:numPr>
          <w:ilvl w:val="12"/>
          <w:numId w:val="0"/>
        </w:numPr>
        <w:ind w:firstLine="720"/>
        <w:jc w:val="both"/>
        <w:rPr>
          <w:bCs/>
          <w:sz w:val="24"/>
          <w:szCs w:val="24"/>
        </w:rPr>
      </w:pPr>
    </w:p>
    <w:p w:rsidRDefault="00000AD1" w:rsidP="00162DBE" w:rsidR="00000AD1">
      <w:pPr>
        <w:numPr>
          <w:ilvl w:val="12"/>
          <w:numId w:val="0"/>
        </w:numPr>
        <w:ind w:firstLine="720"/>
        <w:jc w:val="both"/>
        <w:rPr>
          <w:bCs/>
          <w:sz w:val="24"/>
          <w:szCs w:val="24"/>
        </w:rPr>
      </w:pPr>
    </w:p>
    <w:p w:rsidRDefault="00000AD1" w:rsidP="00162DBE" w:rsidR="00000AD1">
      <w:pPr>
        <w:numPr>
          <w:ilvl w:val="12"/>
          <w:numId w:val="0"/>
        </w:numPr>
        <w:ind w:firstLine="720"/>
        <w:jc w:val="both"/>
        <w:rPr>
          <w:bCs/>
          <w:sz w:val="24"/>
          <w:szCs w:val="24"/>
        </w:rPr>
      </w:pPr>
    </w:p>
    <w:p w:rsidRDefault="00000AD1" w:rsidP="00162DBE" w:rsidR="00000AD1">
      <w:pPr>
        <w:numPr>
          <w:ilvl w:val="12"/>
          <w:numId w:val="0"/>
        </w:numPr>
        <w:ind w:firstLine="720"/>
        <w:jc w:val="both"/>
        <w:rPr>
          <w:bCs/>
          <w:sz w:val="24"/>
          <w:szCs w:val="24"/>
        </w:rPr>
      </w:pPr>
    </w:p>
    <w:p w:rsidRDefault="00000AD1" w:rsidP="00162DBE" w:rsidR="00000AD1">
      <w:pPr>
        <w:numPr>
          <w:ilvl w:val="12"/>
          <w:numId w:val="0"/>
        </w:numPr>
        <w:ind w:firstLine="720"/>
        <w:jc w:val="both"/>
        <w:rPr>
          <w:bCs/>
          <w:sz w:val="24"/>
          <w:szCs w:val="24"/>
        </w:rPr>
      </w:pPr>
    </w:p>
    <w:p w:rsidRDefault="00000AD1" w:rsidP="00162DBE" w:rsidR="00000AD1">
      <w:pPr>
        <w:numPr>
          <w:ilvl w:val="12"/>
          <w:numId w:val="0"/>
        </w:numPr>
        <w:ind w:firstLine="720"/>
        <w:jc w:val="both"/>
        <w:rPr>
          <w:bCs/>
          <w:sz w:val="24"/>
          <w:szCs w:val="24"/>
        </w:rPr>
      </w:pPr>
    </w:p>
    <w:p w:rsidRDefault="00000AD1" w:rsidP="00162DBE" w:rsidR="00000AD1">
      <w:pPr>
        <w:numPr>
          <w:ilvl w:val="12"/>
          <w:numId w:val="0"/>
        </w:numPr>
        <w:ind w:firstLine="720"/>
        <w:jc w:val="both"/>
        <w:rPr>
          <w:bCs/>
          <w:sz w:val="24"/>
          <w:szCs w:val="24"/>
        </w:rPr>
      </w:pPr>
    </w:p>
    <w:p w:rsidRDefault="00000AD1" w:rsidP="00162DBE" w:rsidR="00000AD1">
      <w:pPr>
        <w:numPr>
          <w:ilvl w:val="12"/>
          <w:numId w:val="0"/>
        </w:numPr>
        <w:ind w:firstLine="720"/>
        <w:jc w:val="both"/>
        <w:rPr>
          <w:bCs/>
          <w:sz w:val="24"/>
          <w:szCs w:val="24"/>
        </w:rPr>
      </w:pPr>
    </w:p>
    <w:p w:rsidRDefault="00000AD1" w:rsidP="00162DBE" w:rsidR="00000AD1">
      <w:pPr>
        <w:numPr>
          <w:ilvl w:val="12"/>
          <w:numId w:val="0"/>
        </w:numPr>
        <w:ind w:firstLine="720"/>
        <w:jc w:val="both"/>
        <w:rPr>
          <w:bCs/>
          <w:sz w:val="24"/>
          <w:szCs w:val="24"/>
        </w:rPr>
      </w:pPr>
    </w:p>
    <w:p w:rsidRDefault="00000AD1" w:rsidP="00162DBE" w:rsidR="00000AD1">
      <w:pPr>
        <w:numPr>
          <w:ilvl w:val="12"/>
          <w:numId w:val="0"/>
        </w:numPr>
        <w:ind w:firstLine="720"/>
        <w:jc w:val="both"/>
        <w:rPr>
          <w:bCs/>
          <w:sz w:val="24"/>
          <w:szCs w:val="24"/>
        </w:rPr>
      </w:pPr>
    </w:p>
    <w:p w:rsidRDefault="00000AD1" w:rsidP="00162DBE" w:rsidR="00000AD1">
      <w:pPr>
        <w:numPr>
          <w:ilvl w:val="12"/>
          <w:numId w:val="0"/>
        </w:numPr>
        <w:ind w:firstLine="720"/>
        <w:jc w:val="both"/>
        <w:rPr>
          <w:bCs/>
          <w:sz w:val="24"/>
          <w:szCs w:val="24"/>
        </w:rPr>
      </w:pPr>
    </w:p>
    <w:p w:rsidRDefault="00000AD1" w:rsidP="00162DBE" w:rsidR="00000AD1">
      <w:pPr>
        <w:numPr>
          <w:ilvl w:val="12"/>
          <w:numId w:val="0"/>
        </w:numPr>
        <w:ind w:firstLine="720"/>
        <w:jc w:val="both"/>
        <w:rPr>
          <w:bCs/>
          <w:sz w:val="24"/>
          <w:szCs w:val="24"/>
        </w:rPr>
      </w:pPr>
    </w:p>
    <w:p w:rsidRDefault="00057A5A" w:rsidP="00162DBE" w:rsidR="00C00486" w:rsidRPr="00110B5F">
      <w:pPr>
        <w:numPr>
          <w:ilvl w:val="12"/>
          <w:numId w:val="0"/>
        </w:numPr>
        <w:ind w:firstLine="720"/>
        <w:jc w:val="both"/>
        <w:rPr>
          <w:bCs/>
          <w:sz w:val="24"/>
          <w:szCs w:val="24"/>
        </w:rPr>
      </w:pPr>
      <w:r w:rsidRPr="00110B5F">
        <w:rPr>
          <w:bCs/>
          <w:sz w:val="24"/>
          <w:szCs w:val="24"/>
        </w:rPr>
        <w:lastRenderedPageBreak/>
        <w:t>Stečajni upravitelj</w:t>
      </w:r>
      <w:r w:rsidR="001C42B4" w:rsidRPr="00110B5F">
        <w:rPr>
          <w:bCs/>
          <w:sz w:val="24"/>
          <w:szCs w:val="24"/>
        </w:rPr>
        <w:t xml:space="preserve"> ističe </w:t>
      </w:r>
      <w:r w:rsidR="00FE0FF0" w:rsidRPr="00110B5F">
        <w:rPr>
          <w:bCs/>
          <w:sz w:val="24"/>
          <w:szCs w:val="24"/>
        </w:rPr>
        <w:t xml:space="preserve">kako </w:t>
      </w:r>
      <w:r w:rsidR="001A4F52" w:rsidRPr="00110B5F">
        <w:rPr>
          <w:bCs/>
          <w:sz w:val="24"/>
          <w:szCs w:val="24"/>
        </w:rPr>
        <w:t>se radi o slijedećim razlučnim pravima:</w:t>
      </w:r>
    </w:p>
    <w:p w:rsidRDefault="00110B5F" w:rsidP="00162DBE" w:rsidR="00110B5F" w:rsidRPr="00110B5F">
      <w:pPr>
        <w:numPr>
          <w:ilvl w:val="12"/>
          <w:numId w:val="0"/>
        </w:numPr>
        <w:ind w:firstLine="720"/>
        <w:jc w:val="both"/>
        <w:rPr>
          <w:bCs/>
          <w:sz w:val="24"/>
          <w:szCs w:val="24"/>
        </w:rPr>
      </w:pPr>
    </w:p>
    <w:tbl>
      <w:tblPr>
        <w:tblW w:type="pct" w:w="5000"/>
        <w:tblLook w:val="04A0" w:noVBand="1" w:noHBand="0" w:lastColumn="0" w:firstColumn="1" w:lastRow="0" w:firstRow="1"/>
      </w:tblPr>
      <w:tblGrid>
        <w:gridCol w:w="565"/>
        <w:gridCol w:w="1506"/>
        <w:gridCol w:w="1651"/>
        <w:gridCol w:w="2517"/>
        <w:gridCol w:w="1258"/>
        <w:gridCol w:w="1718"/>
        <w:gridCol w:w="2453"/>
        <w:gridCol w:w="2863"/>
      </w:tblGrid>
      <w:tr w:rsidTr="00110B5F" w:rsidR="00110B5F" w:rsidRPr="00110B5F">
        <w:trPr>
          <w:trHeight w:val="300"/>
        </w:trPr>
        <w:tc>
          <w:tcPr>
            <w:tcW w:type="pct" w:w="194"/>
            <w:vMerge w:val="restart"/>
            <w:tcBorders>
              <w:top w:space="0" w:sz="8" w:color="auto" w:val="single"/>
              <w:left w:space="0" w:sz="8" w:color="auto" w:val="single"/>
              <w:bottom w:space="0" w:sz="8" w:color="000000" w:val="single"/>
              <w:right w:space="0" w:sz="4" w:color="auto" w:val="single"/>
            </w:tcBorders>
            <w:shd w:fill="auto" w:color="auto" w:val="clear"/>
            <w:vAlign w:val="center"/>
            <w:hideMark/>
          </w:tcPr>
          <w:p w:rsidRDefault="00110B5F" w:rsidP="00110B5F" w:rsidR="00110B5F" w:rsidRPr="00110B5F">
            <w:pPr>
              <w:overflowPunct/>
              <w:autoSpaceDE/>
              <w:autoSpaceDN/>
              <w:adjustRightInd/>
              <w:jc w:val="center"/>
              <w:textAlignment w:val="auto"/>
              <w:rPr>
                <w:b/>
                <w:bCs/>
                <w:sz w:val="24"/>
                <w:szCs w:val="24"/>
              </w:rPr>
            </w:pPr>
            <w:r w:rsidRPr="00110B5F">
              <w:rPr>
                <w:b/>
                <w:bCs/>
                <w:sz w:val="24"/>
                <w:szCs w:val="24"/>
              </w:rPr>
              <w:t>RB</w:t>
            </w:r>
          </w:p>
        </w:tc>
        <w:tc>
          <w:tcPr>
            <w:tcW w:type="pct" w:w="518"/>
            <w:vMerge w:val="restart"/>
            <w:tcBorders>
              <w:top w:space="0" w:sz="8" w:color="auto" w:val="single"/>
              <w:left w:space="0" w:sz="4" w:color="auto" w:val="single"/>
              <w:bottom w:space="0" w:sz="8" w:color="000000" w:val="single"/>
              <w:right w:space="0" w:sz="4" w:color="auto" w:val="single"/>
            </w:tcBorders>
            <w:shd w:fill="auto" w:color="auto" w:val="clear"/>
            <w:vAlign w:val="center"/>
            <w:hideMark/>
          </w:tcPr>
          <w:p w:rsidRDefault="00110B5F" w:rsidP="00110B5F" w:rsidR="00110B5F" w:rsidRPr="00110B5F">
            <w:pPr>
              <w:overflowPunct/>
              <w:autoSpaceDE/>
              <w:autoSpaceDN/>
              <w:adjustRightInd/>
              <w:jc w:val="center"/>
              <w:textAlignment w:val="auto"/>
              <w:rPr>
                <w:b/>
                <w:bCs/>
                <w:sz w:val="24"/>
                <w:szCs w:val="24"/>
              </w:rPr>
            </w:pPr>
            <w:r w:rsidRPr="00110B5F">
              <w:rPr>
                <w:b/>
                <w:bCs/>
                <w:sz w:val="24"/>
                <w:szCs w:val="24"/>
              </w:rPr>
              <w:t>Ime i prezime / tvrtka ili naziv razlučnog vjerovnika</w:t>
            </w:r>
          </w:p>
        </w:tc>
        <w:tc>
          <w:tcPr>
            <w:tcW w:type="pct" w:w="568"/>
            <w:vMerge w:val="restart"/>
            <w:tcBorders>
              <w:top w:space="0" w:sz="8" w:color="auto" w:val="single"/>
              <w:left w:space="0" w:sz="4" w:color="auto" w:val="single"/>
              <w:bottom w:space="0" w:sz="8" w:color="000000" w:val="single"/>
              <w:right w:space="0" w:sz="4" w:color="auto" w:val="single"/>
            </w:tcBorders>
            <w:shd w:fill="auto" w:color="auto" w:val="clear"/>
            <w:vAlign w:val="center"/>
            <w:hideMark/>
          </w:tcPr>
          <w:p w:rsidRDefault="00110B5F" w:rsidP="00110B5F" w:rsidR="00110B5F" w:rsidRPr="00110B5F">
            <w:pPr>
              <w:overflowPunct/>
              <w:autoSpaceDE/>
              <w:autoSpaceDN/>
              <w:adjustRightInd/>
              <w:jc w:val="center"/>
              <w:textAlignment w:val="auto"/>
              <w:rPr>
                <w:b/>
                <w:bCs/>
                <w:sz w:val="24"/>
                <w:szCs w:val="24"/>
              </w:rPr>
            </w:pPr>
            <w:r w:rsidRPr="00110B5F">
              <w:rPr>
                <w:b/>
                <w:bCs/>
                <w:sz w:val="24"/>
                <w:szCs w:val="24"/>
              </w:rPr>
              <w:t>OIB razlučnog vjerovnika</w:t>
            </w:r>
          </w:p>
        </w:tc>
        <w:tc>
          <w:tcPr>
            <w:tcW w:type="pct" w:w="866"/>
            <w:vMerge w:val="restart"/>
            <w:tcBorders>
              <w:top w:space="0" w:sz="8" w:color="auto" w:val="single"/>
              <w:left w:space="0" w:sz="4" w:color="auto" w:val="single"/>
              <w:bottom w:space="0" w:sz="8" w:color="000000" w:val="single"/>
              <w:right w:space="0" w:sz="4" w:color="auto" w:val="single"/>
            </w:tcBorders>
            <w:shd w:fill="auto" w:color="auto" w:val="clear"/>
            <w:vAlign w:val="center"/>
            <w:hideMark/>
          </w:tcPr>
          <w:p w:rsidRDefault="00110B5F" w:rsidP="00110B5F" w:rsidR="00110B5F" w:rsidRPr="00110B5F">
            <w:pPr>
              <w:overflowPunct/>
              <w:autoSpaceDE/>
              <w:autoSpaceDN/>
              <w:adjustRightInd/>
              <w:jc w:val="center"/>
              <w:textAlignment w:val="auto"/>
              <w:rPr>
                <w:b/>
                <w:bCs/>
                <w:sz w:val="24"/>
                <w:szCs w:val="24"/>
              </w:rPr>
            </w:pPr>
            <w:r w:rsidRPr="00110B5F">
              <w:rPr>
                <w:b/>
                <w:bCs/>
                <w:sz w:val="24"/>
                <w:szCs w:val="24"/>
              </w:rPr>
              <w:t>Adresa/sjedište razlučnog vjerovnika</w:t>
            </w:r>
          </w:p>
        </w:tc>
        <w:tc>
          <w:tcPr>
            <w:tcW w:type="pct" w:w="433"/>
            <w:vMerge w:val="restart"/>
            <w:tcBorders>
              <w:top w:space="0" w:sz="8" w:color="auto" w:val="single"/>
              <w:left w:space="0" w:sz="4" w:color="auto" w:val="single"/>
              <w:bottom w:space="0" w:sz="8" w:color="000000" w:val="single"/>
              <w:right w:space="0" w:sz="4" w:color="auto" w:val="single"/>
            </w:tcBorders>
            <w:shd w:fill="auto" w:color="auto" w:val="clear"/>
            <w:vAlign w:val="center"/>
            <w:hideMark/>
          </w:tcPr>
          <w:p w:rsidRDefault="00110B5F" w:rsidP="00110B5F" w:rsidR="00110B5F" w:rsidRPr="00110B5F">
            <w:pPr>
              <w:overflowPunct/>
              <w:autoSpaceDE/>
              <w:autoSpaceDN/>
              <w:adjustRightInd/>
              <w:jc w:val="center"/>
              <w:textAlignment w:val="auto"/>
              <w:rPr>
                <w:b/>
                <w:bCs/>
                <w:sz w:val="24"/>
                <w:szCs w:val="24"/>
              </w:rPr>
            </w:pPr>
            <w:r w:rsidRPr="00110B5F">
              <w:rPr>
                <w:b/>
                <w:bCs/>
                <w:sz w:val="24"/>
                <w:szCs w:val="24"/>
              </w:rPr>
              <w:t xml:space="preserve">Javna knjiga u koju je razlučno pravo upisano </w:t>
            </w:r>
          </w:p>
        </w:tc>
        <w:tc>
          <w:tcPr>
            <w:tcW w:type="pct" w:w="591"/>
            <w:vMerge w:val="restart"/>
            <w:tcBorders>
              <w:top w:space="0" w:sz="8" w:color="auto" w:val="single"/>
              <w:left w:space="0" w:sz="4" w:color="auto" w:val="single"/>
              <w:bottom w:space="0" w:sz="8" w:color="000000" w:val="single"/>
              <w:right w:space="0" w:sz="4" w:color="auto" w:val="single"/>
            </w:tcBorders>
            <w:shd w:fill="auto" w:color="auto" w:val="clear"/>
            <w:vAlign w:val="center"/>
            <w:hideMark/>
          </w:tcPr>
          <w:p w:rsidRDefault="00110B5F" w:rsidP="00110B5F" w:rsidR="00110B5F" w:rsidRPr="00110B5F">
            <w:pPr>
              <w:overflowPunct/>
              <w:autoSpaceDE/>
              <w:autoSpaceDN/>
              <w:adjustRightInd/>
              <w:jc w:val="center"/>
              <w:textAlignment w:val="auto"/>
              <w:rPr>
                <w:b/>
                <w:bCs/>
                <w:sz w:val="24"/>
                <w:szCs w:val="24"/>
              </w:rPr>
            </w:pPr>
            <w:r w:rsidRPr="00110B5F">
              <w:rPr>
                <w:b/>
                <w:bCs/>
                <w:sz w:val="24"/>
                <w:szCs w:val="24"/>
              </w:rPr>
              <w:t>Iznos tražbine osigurane razlučnim pravom</w:t>
            </w:r>
          </w:p>
        </w:tc>
        <w:tc>
          <w:tcPr>
            <w:tcW w:type="pct" w:w="844"/>
            <w:vMerge w:val="restart"/>
            <w:tcBorders>
              <w:top w:space="0" w:sz="8" w:color="auto" w:val="single"/>
              <w:left w:space="0" w:sz="4" w:color="auto" w:val="single"/>
              <w:bottom w:space="0" w:sz="8" w:color="000000" w:val="single"/>
              <w:right w:space="0" w:sz="4" w:color="auto" w:val="single"/>
            </w:tcBorders>
            <w:shd w:fill="auto" w:color="auto" w:val="clear"/>
            <w:vAlign w:val="center"/>
            <w:hideMark/>
          </w:tcPr>
          <w:p w:rsidRDefault="00110B5F" w:rsidP="00110B5F" w:rsidR="00110B5F" w:rsidRPr="00110B5F">
            <w:pPr>
              <w:overflowPunct/>
              <w:autoSpaceDE/>
              <w:autoSpaceDN/>
              <w:adjustRightInd/>
              <w:jc w:val="center"/>
              <w:textAlignment w:val="auto"/>
              <w:rPr>
                <w:b/>
                <w:bCs/>
                <w:sz w:val="24"/>
                <w:szCs w:val="24"/>
              </w:rPr>
            </w:pPr>
            <w:r w:rsidRPr="00110B5F">
              <w:rPr>
                <w:b/>
                <w:bCs/>
                <w:sz w:val="24"/>
                <w:szCs w:val="24"/>
              </w:rPr>
              <w:t>Pravna osnova tražbine osigurane razlučnim pravom</w:t>
            </w:r>
          </w:p>
        </w:tc>
        <w:tc>
          <w:tcPr>
            <w:tcW w:type="pct" w:w="985"/>
            <w:vMerge w:val="restart"/>
            <w:tcBorders>
              <w:top w:space="0" w:sz="8" w:color="auto" w:val="single"/>
              <w:left w:space="0" w:sz="4" w:color="auto" w:val="single"/>
              <w:bottom w:space="0" w:sz="8" w:color="000000" w:val="single"/>
              <w:right w:space="0" w:sz="8" w:color="auto" w:val="single"/>
            </w:tcBorders>
            <w:shd w:fill="auto" w:color="auto" w:val="clear"/>
            <w:vAlign w:val="center"/>
            <w:hideMark/>
          </w:tcPr>
          <w:p w:rsidRDefault="00110B5F" w:rsidP="00110B5F" w:rsidR="00110B5F" w:rsidRPr="00110B5F">
            <w:pPr>
              <w:overflowPunct/>
              <w:autoSpaceDE/>
              <w:autoSpaceDN/>
              <w:adjustRightInd/>
              <w:jc w:val="center"/>
              <w:textAlignment w:val="auto"/>
              <w:rPr>
                <w:b/>
                <w:bCs/>
                <w:sz w:val="24"/>
                <w:szCs w:val="24"/>
              </w:rPr>
            </w:pPr>
            <w:r w:rsidRPr="00110B5F">
              <w:rPr>
                <w:b/>
                <w:bCs/>
                <w:sz w:val="24"/>
                <w:szCs w:val="24"/>
              </w:rPr>
              <w:t>Dio imovine na koji se odnosi razlučno pravo</w:t>
            </w:r>
          </w:p>
        </w:tc>
      </w:tr>
      <w:tr w:rsidTr="00110B5F" w:rsidR="00110B5F" w:rsidRPr="00110B5F">
        <w:trPr>
          <w:trHeight w:val="300"/>
        </w:trPr>
        <w:tc>
          <w:tcPr>
            <w:tcW w:type="pct" w:w="194"/>
            <w:vMerge/>
            <w:tcBorders>
              <w:top w:space="0" w:sz="8" w:color="auto" w:val="single"/>
              <w:left w:space="0" w:sz="8" w:color="auto" w:val="single"/>
              <w:bottom w:space="0" w:sz="8" w:color="000000" w:val="single"/>
              <w:right w:space="0" w:sz="4" w:color="auto" w:val="single"/>
            </w:tcBorders>
            <w:vAlign w:val="center"/>
            <w:hideMark/>
          </w:tcPr>
          <w:p w:rsidRDefault="00110B5F" w:rsidP="00110B5F" w:rsidR="00110B5F" w:rsidRPr="00110B5F">
            <w:pPr>
              <w:overflowPunct/>
              <w:autoSpaceDE/>
              <w:autoSpaceDN/>
              <w:adjustRightInd/>
              <w:textAlignment w:val="auto"/>
              <w:rPr>
                <w:b/>
                <w:bCs/>
                <w:sz w:val="24"/>
                <w:szCs w:val="24"/>
              </w:rPr>
            </w:pPr>
          </w:p>
        </w:tc>
        <w:tc>
          <w:tcPr>
            <w:tcW w:type="pct" w:w="518"/>
            <w:vMerge/>
            <w:tcBorders>
              <w:top w:space="0" w:sz="8" w:color="auto" w:val="single"/>
              <w:left w:space="0" w:sz="4" w:color="auto" w:val="single"/>
              <w:bottom w:space="0" w:sz="8" w:color="000000" w:val="single"/>
              <w:right w:space="0" w:sz="4" w:color="auto" w:val="single"/>
            </w:tcBorders>
            <w:vAlign w:val="center"/>
            <w:hideMark/>
          </w:tcPr>
          <w:p w:rsidRDefault="00110B5F" w:rsidP="00110B5F" w:rsidR="00110B5F" w:rsidRPr="00110B5F">
            <w:pPr>
              <w:overflowPunct/>
              <w:autoSpaceDE/>
              <w:autoSpaceDN/>
              <w:adjustRightInd/>
              <w:textAlignment w:val="auto"/>
              <w:rPr>
                <w:b/>
                <w:bCs/>
                <w:sz w:val="24"/>
                <w:szCs w:val="24"/>
              </w:rPr>
            </w:pPr>
          </w:p>
        </w:tc>
        <w:tc>
          <w:tcPr>
            <w:tcW w:type="pct" w:w="568"/>
            <w:vMerge/>
            <w:tcBorders>
              <w:top w:space="0" w:sz="8" w:color="auto" w:val="single"/>
              <w:left w:space="0" w:sz="4" w:color="auto" w:val="single"/>
              <w:bottom w:space="0" w:sz="8" w:color="000000" w:val="single"/>
              <w:right w:space="0" w:sz="4" w:color="auto" w:val="single"/>
            </w:tcBorders>
            <w:vAlign w:val="center"/>
            <w:hideMark/>
          </w:tcPr>
          <w:p w:rsidRDefault="00110B5F" w:rsidP="00110B5F" w:rsidR="00110B5F" w:rsidRPr="00110B5F">
            <w:pPr>
              <w:overflowPunct/>
              <w:autoSpaceDE/>
              <w:autoSpaceDN/>
              <w:adjustRightInd/>
              <w:textAlignment w:val="auto"/>
              <w:rPr>
                <w:b/>
                <w:bCs/>
                <w:sz w:val="24"/>
                <w:szCs w:val="24"/>
              </w:rPr>
            </w:pPr>
          </w:p>
        </w:tc>
        <w:tc>
          <w:tcPr>
            <w:tcW w:type="pct" w:w="866"/>
            <w:vMerge/>
            <w:tcBorders>
              <w:top w:space="0" w:sz="8" w:color="auto" w:val="single"/>
              <w:left w:space="0" w:sz="4" w:color="auto" w:val="single"/>
              <w:bottom w:space="0" w:sz="8" w:color="000000" w:val="single"/>
              <w:right w:space="0" w:sz="4" w:color="auto" w:val="single"/>
            </w:tcBorders>
            <w:vAlign w:val="center"/>
            <w:hideMark/>
          </w:tcPr>
          <w:p w:rsidRDefault="00110B5F" w:rsidP="00110B5F" w:rsidR="00110B5F" w:rsidRPr="00110B5F">
            <w:pPr>
              <w:overflowPunct/>
              <w:autoSpaceDE/>
              <w:autoSpaceDN/>
              <w:adjustRightInd/>
              <w:textAlignment w:val="auto"/>
              <w:rPr>
                <w:b/>
                <w:bCs/>
                <w:sz w:val="24"/>
                <w:szCs w:val="24"/>
              </w:rPr>
            </w:pPr>
          </w:p>
        </w:tc>
        <w:tc>
          <w:tcPr>
            <w:tcW w:type="pct" w:w="433"/>
            <w:vMerge/>
            <w:tcBorders>
              <w:top w:space="0" w:sz="8" w:color="auto" w:val="single"/>
              <w:left w:space="0" w:sz="4" w:color="auto" w:val="single"/>
              <w:bottom w:space="0" w:sz="8" w:color="000000" w:val="single"/>
              <w:right w:space="0" w:sz="4" w:color="auto" w:val="single"/>
            </w:tcBorders>
            <w:vAlign w:val="center"/>
            <w:hideMark/>
          </w:tcPr>
          <w:p w:rsidRDefault="00110B5F" w:rsidP="00110B5F" w:rsidR="00110B5F" w:rsidRPr="00110B5F">
            <w:pPr>
              <w:overflowPunct/>
              <w:autoSpaceDE/>
              <w:autoSpaceDN/>
              <w:adjustRightInd/>
              <w:textAlignment w:val="auto"/>
              <w:rPr>
                <w:b/>
                <w:bCs/>
                <w:sz w:val="24"/>
                <w:szCs w:val="24"/>
              </w:rPr>
            </w:pPr>
          </w:p>
        </w:tc>
        <w:tc>
          <w:tcPr>
            <w:tcW w:type="pct" w:w="591"/>
            <w:vMerge/>
            <w:tcBorders>
              <w:top w:space="0" w:sz="8" w:color="auto" w:val="single"/>
              <w:left w:space="0" w:sz="4" w:color="auto" w:val="single"/>
              <w:bottom w:space="0" w:sz="8" w:color="000000" w:val="single"/>
              <w:right w:space="0" w:sz="4" w:color="auto" w:val="single"/>
            </w:tcBorders>
            <w:vAlign w:val="center"/>
            <w:hideMark/>
          </w:tcPr>
          <w:p w:rsidRDefault="00110B5F" w:rsidP="00110B5F" w:rsidR="00110B5F" w:rsidRPr="00110B5F">
            <w:pPr>
              <w:overflowPunct/>
              <w:autoSpaceDE/>
              <w:autoSpaceDN/>
              <w:adjustRightInd/>
              <w:textAlignment w:val="auto"/>
              <w:rPr>
                <w:b/>
                <w:bCs/>
                <w:sz w:val="24"/>
                <w:szCs w:val="24"/>
              </w:rPr>
            </w:pPr>
          </w:p>
        </w:tc>
        <w:tc>
          <w:tcPr>
            <w:tcW w:type="pct" w:w="844"/>
            <w:vMerge/>
            <w:tcBorders>
              <w:top w:space="0" w:sz="8" w:color="auto" w:val="single"/>
              <w:left w:space="0" w:sz="4" w:color="auto" w:val="single"/>
              <w:bottom w:space="0" w:sz="8" w:color="000000" w:val="single"/>
              <w:right w:space="0" w:sz="4" w:color="auto" w:val="single"/>
            </w:tcBorders>
            <w:vAlign w:val="center"/>
            <w:hideMark/>
          </w:tcPr>
          <w:p w:rsidRDefault="00110B5F" w:rsidP="00110B5F" w:rsidR="00110B5F" w:rsidRPr="00110B5F">
            <w:pPr>
              <w:overflowPunct/>
              <w:autoSpaceDE/>
              <w:autoSpaceDN/>
              <w:adjustRightInd/>
              <w:textAlignment w:val="auto"/>
              <w:rPr>
                <w:b/>
                <w:bCs/>
                <w:sz w:val="24"/>
                <w:szCs w:val="24"/>
              </w:rPr>
            </w:pPr>
          </w:p>
        </w:tc>
        <w:tc>
          <w:tcPr>
            <w:tcW w:type="pct" w:w="985"/>
            <w:vMerge/>
            <w:tcBorders>
              <w:top w:space="0" w:sz="8" w:color="auto" w:val="single"/>
              <w:left w:space="0" w:sz="4" w:color="auto" w:val="single"/>
              <w:bottom w:space="0" w:sz="8" w:color="000000" w:val="single"/>
              <w:right w:space="0" w:sz="8" w:color="auto" w:val="single"/>
            </w:tcBorders>
            <w:vAlign w:val="center"/>
            <w:hideMark/>
          </w:tcPr>
          <w:p w:rsidRDefault="00110B5F" w:rsidP="00110B5F" w:rsidR="00110B5F" w:rsidRPr="00110B5F">
            <w:pPr>
              <w:overflowPunct/>
              <w:autoSpaceDE/>
              <w:autoSpaceDN/>
              <w:adjustRightInd/>
              <w:textAlignment w:val="auto"/>
              <w:rPr>
                <w:b/>
                <w:bCs/>
                <w:sz w:val="24"/>
                <w:szCs w:val="24"/>
              </w:rPr>
            </w:pPr>
          </w:p>
        </w:tc>
      </w:tr>
      <w:tr w:rsidTr="00110B5F" w:rsidR="00110B5F" w:rsidRPr="00110B5F">
        <w:trPr>
          <w:trHeight w:val="1200"/>
        </w:trPr>
        <w:tc>
          <w:tcPr>
            <w:tcW w:type="pct" w:w="194"/>
            <w:vMerge/>
            <w:tcBorders>
              <w:top w:space="0" w:sz="8" w:color="auto" w:val="single"/>
              <w:left w:space="0" w:sz="8" w:color="auto" w:val="single"/>
              <w:bottom w:space="0" w:sz="8" w:color="000000" w:val="single"/>
              <w:right w:space="0" w:sz="4" w:color="auto" w:val="single"/>
            </w:tcBorders>
            <w:vAlign w:val="center"/>
            <w:hideMark/>
          </w:tcPr>
          <w:p w:rsidRDefault="00110B5F" w:rsidP="00110B5F" w:rsidR="00110B5F" w:rsidRPr="00110B5F">
            <w:pPr>
              <w:overflowPunct/>
              <w:autoSpaceDE/>
              <w:autoSpaceDN/>
              <w:adjustRightInd/>
              <w:textAlignment w:val="auto"/>
              <w:rPr>
                <w:b/>
                <w:bCs/>
                <w:sz w:val="24"/>
                <w:szCs w:val="24"/>
              </w:rPr>
            </w:pPr>
          </w:p>
        </w:tc>
        <w:tc>
          <w:tcPr>
            <w:tcW w:type="pct" w:w="518"/>
            <w:vMerge/>
            <w:tcBorders>
              <w:top w:space="0" w:sz="8" w:color="auto" w:val="single"/>
              <w:left w:space="0" w:sz="4" w:color="auto" w:val="single"/>
              <w:bottom w:space="0" w:sz="8" w:color="000000" w:val="single"/>
              <w:right w:space="0" w:sz="4" w:color="auto" w:val="single"/>
            </w:tcBorders>
            <w:vAlign w:val="center"/>
            <w:hideMark/>
          </w:tcPr>
          <w:p w:rsidRDefault="00110B5F" w:rsidP="00110B5F" w:rsidR="00110B5F" w:rsidRPr="00110B5F">
            <w:pPr>
              <w:overflowPunct/>
              <w:autoSpaceDE/>
              <w:autoSpaceDN/>
              <w:adjustRightInd/>
              <w:textAlignment w:val="auto"/>
              <w:rPr>
                <w:b/>
                <w:bCs/>
                <w:sz w:val="24"/>
                <w:szCs w:val="24"/>
              </w:rPr>
            </w:pPr>
          </w:p>
        </w:tc>
        <w:tc>
          <w:tcPr>
            <w:tcW w:type="pct" w:w="568"/>
            <w:vMerge/>
            <w:tcBorders>
              <w:top w:space="0" w:sz="8" w:color="auto" w:val="single"/>
              <w:left w:space="0" w:sz="4" w:color="auto" w:val="single"/>
              <w:bottom w:space="0" w:sz="8" w:color="000000" w:val="single"/>
              <w:right w:space="0" w:sz="4" w:color="auto" w:val="single"/>
            </w:tcBorders>
            <w:vAlign w:val="center"/>
            <w:hideMark/>
          </w:tcPr>
          <w:p w:rsidRDefault="00110B5F" w:rsidP="00110B5F" w:rsidR="00110B5F" w:rsidRPr="00110B5F">
            <w:pPr>
              <w:overflowPunct/>
              <w:autoSpaceDE/>
              <w:autoSpaceDN/>
              <w:adjustRightInd/>
              <w:textAlignment w:val="auto"/>
              <w:rPr>
                <w:b/>
                <w:bCs/>
                <w:sz w:val="24"/>
                <w:szCs w:val="24"/>
              </w:rPr>
            </w:pPr>
          </w:p>
        </w:tc>
        <w:tc>
          <w:tcPr>
            <w:tcW w:type="pct" w:w="866"/>
            <w:vMerge/>
            <w:tcBorders>
              <w:top w:space="0" w:sz="8" w:color="auto" w:val="single"/>
              <w:left w:space="0" w:sz="4" w:color="auto" w:val="single"/>
              <w:bottom w:space="0" w:sz="8" w:color="000000" w:val="single"/>
              <w:right w:space="0" w:sz="4" w:color="auto" w:val="single"/>
            </w:tcBorders>
            <w:vAlign w:val="center"/>
            <w:hideMark/>
          </w:tcPr>
          <w:p w:rsidRDefault="00110B5F" w:rsidP="00110B5F" w:rsidR="00110B5F" w:rsidRPr="00110B5F">
            <w:pPr>
              <w:overflowPunct/>
              <w:autoSpaceDE/>
              <w:autoSpaceDN/>
              <w:adjustRightInd/>
              <w:textAlignment w:val="auto"/>
              <w:rPr>
                <w:b/>
                <w:bCs/>
                <w:sz w:val="24"/>
                <w:szCs w:val="24"/>
              </w:rPr>
            </w:pPr>
          </w:p>
        </w:tc>
        <w:tc>
          <w:tcPr>
            <w:tcW w:type="pct" w:w="433"/>
            <w:vMerge/>
            <w:tcBorders>
              <w:top w:space="0" w:sz="8" w:color="auto" w:val="single"/>
              <w:left w:space="0" w:sz="4" w:color="auto" w:val="single"/>
              <w:bottom w:space="0" w:sz="8" w:color="000000" w:val="single"/>
              <w:right w:space="0" w:sz="4" w:color="auto" w:val="single"/>
            </w:tcBorders>
            <w:vAlign w:val="center"/>
            <w:hideMark/>
          </w:tcPr>
          <w:p w:rsidRDefault="00110B5F" w:rsidP="00110B5F" w:rsidR="00110B5F" w:rsidRPr="00110B5F">
            <w:pPr>
              <w:overflowPunct/>
              <w:autoSpaceDE/>
              <w:autoSpaceDN/>
              <w:adjustRightInd/>
              <w:textAlignment w:val="auto"/>
              <w:rPr>
                <w:b/>
                <w:bCs/>
                <w:sz w:val="24"/>
                <w:szCs w:val="24"/>
              </w:rPr>
            </w:pPr>
          </w:p>
        </w:tc>
        <w:tc>
          <w:tcPr>
            <w:tcW w:type="pct" w:w="591"/>
            <w:vMerge/>
            <w:tcBorders>
              <w:top w:space="0" w:sz="8" w:color="auto" w:val="single"/>
              <w:left w:space="0" w:sz="4" w:color="auto" w:val="single"/>
              <w:bottom w:space="0" w:sz="8" w:color="000000" w:val="single"/>
              <w:right w:space="0" w:sz="4" w:color="auto" w:val="single"/>
            </w:tcBorders>
            <w:vAlign w:val="center"/>
            <w:hideMark/>
          </w:tcPr>
          <w:p w:rsidRDefault="00110B5F" w:rsidP="00110B5F" w:rsidR="00110B5F" w:rsidRPr="00110B5F">
            <w:pPr>
              <w:overflowPunct/>
              <w:autoSpaceDE/>
              <w:autoSpaceDN/>
              <w:adjustRightInd/>
              <w:textAlignment w:val="auto"/>
              <w:rPr>
                <w:b/>
                <w:bCs/>
                <w:sz w:val="24"/>
                <w:szCs w:val="24"/>
              </w:rPr>
            </w:pPr>
          </w:p>
        </w:tc>
        <w:tc>
          <w:tcPr>
            <w:tcW w:type="pct" w:w="844"/>
            <w:vMerge/>
            <w:tcBorders>
              <w:top w:space="0" w:sz="8" w:color="auto" w:val="single"/>
              <w:left w:space="0" w:sz="4" w:color="auto" w:val="single"/>
              <w:bottom w:space="0" w:sz="8" w:color="000000" w:val="single"/>
              <w:right w:space="0" w:sz="4" w:color="auto" w:val="single"/>
            </w:tcBorders>
            <w:vAlign w:val="center"/>
            <w:hideMark/>
          </w:tcPr>
          <w:p w:rsidRDefault="00110B5F" w:rsidP="00110B5F" w:rsidR="00110B5F" w:rsidRPr="00110B5F">
            <w:pPr>
              <w:overflowPunct/>
              <w:autoSpaceDE/>
              <w:autoSpaceDN/>
              <w:adjustRightInd/>
              <w:textAlignment w:val="auto"/>
              <w:rPr>
                <w:b/>
                <w:bCs/>
                <w:sz w:val="24"/>
                <w:szCs w:val="24"/>
              </w:rPr>
            </w:pPr>
          </w:p>
        </w:tc>
        <w:tc>
          <w:tcPr>
            <w:tcW w:type="pct" w:w="985"/>
            <w:vMerge/>
            <w:tcBorders>
              <w:top w:space="0" w:sz="8" w:color="auto" w:val="single"/>
              <w:left w:space="0" w:sz="4" w:color="auto" w:val="single"/>
              <w:bottom w:space="0" w:sz="8" w:color="000000" w:val="single"/>
              <w:right w:space="0" w:sz="8" w:color="auto" w:val="single"/>
            </w:tcBorders>
            <w:vAlign w:val="center"/>
            <w:hideMark/>
          </w:tcPr>
          <w:p w:rsidRDefault="00110B5F" w:rsidP="00110B5F" w:rsidR="00110B5F" w:rsidRPr="00110B5F">
            <w:pPr>
              <w:overflowPunct/>
              <w:autoSpaceDE/>
              <w:autoSpaceDN/>
              <w:adjustRightInd/>
              <w:textAlignment w:val="auto"/>
              <w:rPr>
                <w:b/>
                <w:bCs/>
                <w:sz w:val="24"/>
                <w:szCs w:val="24"/>
              </w:rPr>
            </w:pPr>
          </w:p>
        </w:tc>
      </w:tr>
      <w:tr w:rsidTr="00110B5F" w:rsidR="00110B5F" w:rsidRPr="00110B5F">
        <w:trPr>
          <w:trHeight w:val="2520"/>
        </w:trPr>
        <w:tc>
          <w:tcPr>
            <w:tcW w:type="pct" w:w="194"/>
            <w:tcBorders>
              <w:top w:val="nil"/>
              <w:left w:space="0" w:sz="8" w:color="auto" w:val="single"/>
              <w:bottom w:space="0" w:sz="4" w:color="auto" w:val="single"/>
              <w:right w:space="0" w:sz="4" w:color="auto" w:val="single"/>
            </w:tcBorders>
            <w:shd w:fill="auto" w:color="auto" w:val="clear"/>
            <w:vAlign w:val="center"/>
            <w:hideMark/>
          </w:tcPr>
          <w:p w:rsidRDefault="00110B5F" w:rsidP="00110B5F" w:rsidR="00110B5F" w:rsidRPr="00110B5F">
            <w:pPr>
              <w:overflowPunct/>
              <w:autoSpaceDE/>
              <w:autoSpaceDN/>
              <w:adjustRightInd/>
              <w:jc w:val="center"/>
              <w:textAlignment w:val="auto"/>
              <w:rPr>
                <w:sz w:val="24"/>
                <w:szCs w:val="24"/>
              </w:rPr>
            </w:pPr>
            <w:r w:rsidRPr="00110B5F">
              <w:rPr>
                <w:sz w:val="24"/>
                <w:szCs w:val="24"/>
              </w:rPr>
              <w:t>1</w:t>
            </w:r>
          </w:p>
        </w:tc>
        <w:tc>
          <w:tcPr>
            <w:tcW w:type="pct" w:w="518"/>
            <w:tcBorders>
              <w:top w:val="nil"/>
              <w:left w:val="nil"/>
              <w:bottom w:space="0" w:sz="4" w:color="auto" w:val="single"/>
              <w:right w:space="0" w:sz="4" w:color="auto" w:val="single"/>
            </w:tcBorders>
            <w:shd w:fill="auto" w:color="auto" w:val="clear"/>
            <w:vAlign w:val="center"/>
            <w:hideMark/>
          </w:tcPr>
          <w:p w:rsidRDefault="00110B5F" w:rsidP="00110B5F" w:rsidR="00110B5F" w:rsidRPr="00110B5F">
            <w:pPr>
              <w:overflowPunct/>
              <w:autoSpaceDE/>
              <w:autoSpaceDN/>
              <w:adjustRightInd/>
              <w:jc w:val="center"/>
              <w:textAlignment w:val="auto"/>
              <w:rPr>
                <w:sz w:val="24"/>
                <w:szCs w:val="24"/>
              </w:rPr>
            </w:pPr>
            <w:r w:rsidRPr="00110B5F">
              <w:rPr>
                <w:sz w:val="24"/>
                <w:szCs w:val="24"/>
              </w:rPr>
              <w:t>DDM INVEST I AG</w:t>
            </w:r>
          </w:p>
        </w:tc>
        <w:tc>
          <w:tcPr>
            <w:tcW w:type="pct" w:w="568"/>
            <w:tcBorders>
              <w:top w:val="nil"/>
              <w:left w:val="nil"/>
              <w:bottom w:space="0" w:sz="4" w:color="auto" w:val="single"/>
              <w:right w:space="0" w:sz="4" w:color="auto" w:val="single"/>
            </w:tcBorders>
            <w:shd w:fill="auto" w:color="auto" w:val="clear"/>
            <w:vAlign w:val="center"/>
            <w:hideMark/>
          </w:tcPr>
          <w:p w:rsidRDefault="00110B5F" w:rsidP="00110B5F" w:rsidR="00110B5F" w:rsidRPr="00110B5F">
            <w:pPr>
              <w:overflowPunct/>
              <w:autoSpaceDE/>
              <w:autoSpaceDN/>
              <w:adjustRightInd/>
              <w:jc w:val="center"/>
              <w:textAlignment w:val="auto"/>
              <w:rPr>
                <w:sz w:val="24"/>
                <w:szCs w:val="24"/>
              </w:rPr>
            </w:pPr>
            <w:r w:rsidRPr="00110B5F">
              <w:rPr>
                <w:sz w:val="24"/>
                <w:szCs w:val="24"/>
              </w:rPr>
              <w:t>41627324374</w:t>
            </w:r>
          </w:p>
        </w:tc>
        <w:tc>
          <w:tcPr>
            <w:tcW w:type="pct" w:w="866"/>
            <w:tcBorders>
              <w:top w:val="nil"/>
              <w:left w:val="nil"/>
              <w:bottom w:space="0" w:sz="4" w:color="auto" w:val="single"/>
              <w:right w:space="0" w:sz="4" w:color="auto" w:val="single"/>
            </w:tcBorders>
            <w:shd w:fill="auto" w:color="auto" w:val="clear"/>
            <w:vAlign w:val="center"/>
            <w:hideMark/>
          </w:tcPr>
          <w:p w:rsidRDefault="00110B5F" w:rsidP="00110B5F" w:rsidR="00110B5F" w:rsidRPr="00110B5F">
            <w:pPr>
              <w:overflowPunct/>
              <w:autoSpaceDE/>
              <w:autoSpaceDN/>
              <w:adjustRightInd/>
              <w:jc w:val="center"/>
              <w:textAlignment w:val="auto"/>
              <w:rPr>
                <w:sz w:val="24"/>
                <w:szCs w:val="24"/>
              </w:rPr>
            </w:pPr>
            <w:r w:rsidRPr="00110B5F">
              <w:rPr>
                <w:sz w:val="24"/>
                <w:szCs w:val="24"/>
              </w:rPr>
              <w:t>Schochenmulestrasse 4, 6340 Baar, Švicarska</w:t>
            </w:r>
          </w:p>
        </w:tc>
        <w:tc>
          <w:tcPr>
            <w:tcW w:type="pct" w:w="433"/>
            <w:tcBorders>
              <w:top w:val="nil"/>
              <w:left w:val="nil"/>
              <w:bottom w:space="0" w:sz="4" w:color="auto" w:val="single"/>
              <w:right w:space="0" w:sz="4" w:color="auto" w:val="single"/>
            </w:tcBorders>
            <w:shd w:fill="auto" w:color="auto" w:val="clear"/>
            <w:vAlign w:val="center"/>
            <w:hideMark/>
          </w:tcPr>
          <w:p w:rsidRDefault="00110B5F" w:rsidP="00110B5F" w:rsidR="00110B5F" w:rsidRPr="00110B5F">
            <w:pPr>
              <w:overflowPunct/>
              <w:autoSpaceDE/>
              <w:autoSpaceDN/>
              <w:adjustRightInd/>
              <w:jc w:val="center"/>
              <w:textAlignment w:val="auto"/>
              <w:rPr>
                <w:sz w:val="24"/>
                <w:szCs w:val="24"/>
              </w:rPr>
            </w:pPr>
            <w:r w:rsidRPr="00110B5F">
              <w:rPr>
                <w:sz w:val="24"/>
                <w:szCs w:val="24"/>
              </w:rPr>
              <w:t>Zemljišne knjige</w:t>
            </w:r>
          </w:p>
        </w:tc>
        <w:tc>
          <w:tcPr>
            <w:tcW w:type="pct" w:w="591"/>
            <w:tcBorders>
              <w:top w:val="nil"/>
              <w:left w:val="nil"/>
              <w:bottom w:space="0" w:sz="4" w:color="auto" w:val="single"/>
              <w:right w:space="0" w:sz="4" w:color="auto" w:val="single"/>
            </w:tcBorders>
            <w:shd w:fill="auto" w:color="auto" w:val="clear"/>
            <w:vAlign w:val="center"/>
            <w:hideMark/>
          </w:tcPr>
          <w:p w:rsidRDefault="00110B5F" w:rsidP="00110B5F" w:rsidR="00110B5F" w:rsidRPr="00110B5F">
            <w:pPr>
              <w:overflowPunct/>
              <w:autoSpaceDE/>
              <w:autoSpaceDN/>
              <w:adjustRightInd/>
              <w:jc w:val="right"/>
              <w:textAlignment w:val="auto"/>
              <w:rPr>
                <w:sz w:val="24"/>
                <w:szCs w:val="24"/>
              </w:rPr>
            </w:pPr>
            <w:r w:rsidRPr="00110B5F">
              <w:rPr>
                <w:sz w:val="24"/>
                <w:szCs w:val="24"/>
              </w:rPr>
              <w:t>13.314.998,17</w:t>
            </w:r>
          </w:p>
        </w:tc>
        <w:tc>
          <w:tcPr>
            <w:tcW w:type="pct" w:w="844"/>
            <w:tcBorders>
              <w:top w:val="nil"/>
              <w:left w:val="nil"/>
              <w:bottom w:space="0" w:sz="4" w:color="auto" w:val="single"/>
              <w:right w:space="0" w:sz="4" w:color="auto" w:val="single"/>
            </w:tcBorders>
            <w:shd w:fill="auto" w:color="auto" w:val="clear"/>
            <w:vAlign w:val="center"/>
            <w:hideMark/>
          </w:tcPr>
          <w:p w:rsidRDefault="00110B5F" w:rsidP="00110B5F" w:rsidR="00110B5F" w:rsidRPr="00110B5F">
            <w:pPr>
              <w:overflowPunct/>
              <w:autoSpaceDE/>
              <w:autoSpaceDN/>
              <w:adjustRightInd/>
              <w:jc w:val="center"/>
              <w:textAlignment w:val="auto"/>
              <w:rPr>
                <w:sz w:val="24"/>
                <w:szCs w:val="24"/>
              </w:rPr>
            </w:pPr>
            <w:r w:rsidRPr="00110B5F">
              <w:rPr>
                <w:sz w:val="24"/>
                <w:szCs w:val="24"/>
              </w:rPr>
              <w:t>Sporazum radi osiguranja novčane tražbine zasnivanjem založnog prava od 23.01.2008.g. pod brojem Ov-867/08 JB Vlasta Zajec iz Zagreba</w:t>
            </w:r>
          </w:p>
        </w:tc>
        <w:tc>
          <w:tcPr>
            <w:tcW w:type="pct" w:w="985"/>
            <w:vMerge w:val="restart"/>
            <w:tcBorders>
              <w:top w:val="nil"/>
              <w:left w:space="0" w:sz="4" w:color="auto" w:val="single"/>
              <w:bottom w:space="0" w:sz="8" w:color="000000" w:val="single"/>
              <w:right w:space="0" w:sz="8" w:color="auto" w:val="single"/>
            </w:tcBorders>
            <w:shd w:fill="auto" w:color="auto" w:val="clear"/>
            <w:vAlign w:val="center"/>
            <w:hideMark/>
          </w:tcPr>
          <w:p w:rsidRDefault="00110B5F" w:rsidP="00110B5F" w:rsidR="00110B5F" w:rsidRPr="00110B5F">
            <w:pPr>
              <w:overflowPunct/>
              <w:autoSpaceDE/>
              <w:autoSpaceDN/>
              <w:adjustRightInd/>
              <w:jc w:val="center"/>
              <w:textAlignment w:val="auto"/>
              <w:rPr>
                <w:sz w:val="24"/>
                <w:szCs w:val="24"/>
              </w:rPr>
            </w:pPr>
            <w:r w:rsidRPr="00110B5F">
              <w:rPr>
                <w:sz w:val="24"/>
                <w:szCs w:val="24"/>
              </w:rPr>
              <w:t>Nekretnina oznake kat.čest. 6182/3 upisana kod Općinskog suda u Šibeniku u zk. uložak broj 7567, poduložak 3, suvlasnički dio 25/100,  k.o. Zaton, u naravi stan 1 u prizemlju koji se sastoji od hodnika, dnevnog boravka i blagavaonice s kuhinjom, spavaće sobe, kupaonice, terase, loggie, ukupne neto korisne površine 69,42m2, s pripacima u dvorištu: vrtom V2, neto korisne površine 30m2, vrtom V4, neto korisne površine 27m2</w:t>
            </w:r>
          </w:p>
        </w:tc>
      </w:tr>
      <w:tr w:rsidTr="00110B5F" w:rsidR="00110B5F" w:rsidRPr="00110B5F">
        <w:trPr>
          <w:trHeight w:val="2610"/>
        </w:trPr>
        <w:tc>
          <w:tcPr>
            <w:tcW w:type="pct" w:w="194"/>
            <w:tcBorders>
              <w:top w:val="nil"/>
              <w:left w:space="0" w:sz="8" w:color="auto" w:val="single"/>
              <w:bottom w:space="0" w:sz="8" w:color="auto" w:val="single"/>
              <w:right w:space="0" w:sz="4" w:color="auto" w:val="single"/>
            </w:tcBorders>
            <w:shd w:fill="auto" w:color="auto" w:val="clear"/>
            <w:vAlign w:val="center"/>
            <w:hideMark/>
          </w:tcPr>
          <w:p w:rsidRDefault="00110B5F" w:rsidP="00110B5F" w:rsidR="00110B5F" w:rsidRPr="00110B5F">
            <w:pPr>
              <w:overflowPunct/>
              <w:autoSpaceDE/>
              <w:autoSpaceDN/>
              <w:adjustRightInd/>
              <w:jc w:val="center"/>
              <w:textAlignment w:val="auto"/>
              <w:rPr>
                <w:sz w:val="24"/>
                <w:szCs w:val="24"/>
              </w:rPr>
            </w:pPr>
            <w:r w:rsidRPr="00110B5F">
              <w:rPr>
                <w:sz w:val="24"/>
                <w:szCs w:val="24"/>
              </w:rPr>
              <w:t>2</w:t>
            </w:r>
          </w:p>
        </w:tc>
        <w:tc>
          <w:tcPr>
            <w:tcW w:type="pct" w:w="518"/>
            <w:tcBorders>
              <w:top w:val="nil"/>
              <w:left w:val="nil"/>
              <w:bottom w:space="0" w:sz="8" w:color="auto" w:val="single"/>
              <w:right w:space="0" w:sz="4" w:color="auto" w:val="single"/>
            </w:tcBorders>
            <w:shd w:fill="auto" w:color="auto" w:val="clear"/>
            <w:vAlign w:val="center"/>
            <w:hideMark/>
          </w:tcPr>
          <w:p w:rsidRDefault="00110B5F" w:rsidP="00110B5F" w:rsidR="00110B5F" w:rsidRPr="00110B5F">
            <w:pPr>
              <w:overflowPunct/>
              <w:autoSpaceDE/>
              <w:autoSpaceDN/>
              <w:adjustRightInd/>
              <w:jc w:val="center"/>
              <w:textAlignment w:val="auto"/>
              <w:rPr>
                <w:sz w:val="24"/>
                <w:szCs w:val="24"/>
              </w:rPr>
            </w:pPr>
            <w:r w:rsidRPr="00110B5F">
              <w:rPr>
                <w:sz w:val="24"/>
                <w:szCs w:val="24"/>
              </w:rPr>
              <w:t>TOFRADO d.o.o. u stečaju</w:t>
            </w:r>
          </w:p>
        </w:tc>
        <w:tc>
          <w:tcPr>
            <w:tcW w:type="pct" w:w="568"/>
            <w:tcBorders>
              <w:top w:val="nil"/>
              <w:left w:val="nil"/>
              <w:bottom w:space="0" w:sz="8" w:color="auto" w:val="single"/>
              <w:right w:space="0" w:sz="4" w:color="auto" w:val="single"/>
            </w:tcBorders>
            <w:shd w:fill="auto" w:color="auto" w:val="clear"/>
            <w:vAlign w:val="center"/>
            <w:hideMark/>
          </w:tcPr>
          <w:p w:rsidRDefault="00110B5F" w:rsidP="00110B5F" w:rsidR="00110B5F" w:rsidRPr="00110B5F">
            <w:pPr>
              <w:overflowPunct/>
              <w:autoSpaceDE/>
              <w:autoSpaceDN/>
              <w:adjustRightInd/>
              <w:jc w:val="center"/>
              <w:textAlignment w:val="auto"/>
              <w:rPr>
                <w:color w:val="000000"/>
                <w:sz w:val="24"/>
                <w:szCs w:val="24"/>
              </w:rPr>
            </w:pPr>
            <w:r w:rsidRPr="00110B5F">
              <w:rPr>
                <w:color w:val="000000"/>
                <w:sz w:val="24"/>
                <w:szCs w:val="24"/>
              </w:rPr>
              <w:t>92907511183</w:t>
            </w:r>
          </w:p>
        </w:tc>
        <w:tc>
          <w:tcPr>
            <w:tcW w:type="pct" w:w="866"/>
            <w:tcBorders>
              <w:top w:val="nil"/>
              <w:left w:val="nil"/>
              <w:bottom w:space="0" w:sz="8" w:color="auto" w:val="single"/>
              <w:right w:space="0" w:sz="4" w:color="auto" w:val="single"/>
            </w:tcBorders>
            <w:shd w:fill="auto" w:color="auto" w:val="clear"/>
            <w:vAlign w:val="center"/>
            <w:hideMark/>
          </w:tcPr>
          <w:p w:rsidRDefault="00110B5F" w:rsidP="00110B5F" w:rsidR="00110B5F" w:rsidRPr="00110B5F">
            <w:pPr>
              <w:overflowPunct/>
              <w:autoSpaceDE/>
              <w:autoSpaceDN/>
              <w:adjustRightInd/>
              <w:jc w:val="center"/>
              <w:textAlignment w:val="auto"/>
              <w:rPr>
                <w:color w:val="000000"/>
                <w:sz w:val="24"/>
                <w:szCs w:val="24"/>
              </w:rPr>
            </w:pPr>
            <w:r w:rsidRPr="00110B5F">
              <w:rPr>
                <w:color w:val="000000"/>
                <w:sz w:val="24"/>
                <w:szCs w:val="24"/>
              </w:rPr>
              <w:t>Ante Starčevića 16, 34310 Platernica</w:t>
            </w:r>
          </w:p>
        </w:tc>
        <w:tc>
          <w:tcPr>
            <w:tcW w:type="pct" w:w="433"/>
            <w:tcBorders>
              <w:top w:val="nil"/>
              <w:left w:val="nil"/>
              <w:bottom w:space="0" w:sz="8" w:color="auto" w:val="single"/>
              <w:right w:space="0" w:sz="4" w:color="auto" w:val="single"/>
            </w:tcBorders>
            <w:shd w:fill="auto" w:color="auto" w:val="clear"/>
            <w:vAlign w:val="center"/>
            <w:hideMark/>
          </w:tcPr>
          <w:p w:rsidRDefault="00110B5F" w:rsidP="00110B5F" w:rsidR="00110B5F" w:rsidRPr="00110B5F">
            <w:pPr>
              <w:overflowPunct/>
              <w:autoSpaceDE/>
              <w:autoSpaceDN/>
              <w:adjustRightInd/>
              <w:jc w:val="center"/>
              <w:textAlignment w:val="auto"/>
              <w:rPr>
                <w:sz w:val="24"/>
                <w:szCs w:val="24"/>
              </w:rPr>
            </w:pPr>
            <w:r w:rsidRPr="00110B5F">
              <w:rPr>
                <w:sz w:val="24"/>
                <w:szCs w:val="24"/>
              </w:rPr>
              <w:t>Zemljišne knjige</w:t>
            </w:r>
          </w:p>
        </w:tc>
        <w:tc>
          <w:tcPr>
            <w:tcW w:type="pct" w:w="591"/>
            <w:tcBorders>
              <w:top w:val="nil"/>
              <w:left w:val="nil"/>
              <w:bottom w:space="0" w:sz="8" w:color="auto" w:val="single"/>
              <w:right w:space="0" w:sz="4" w:color="auto" w:val="single"/>
            </w:tcBorders>
            <w:shd w:fill="auto" w:color="auto" w:val="clear"/>
            <w:vAlign w:val="center"/>
            <w:hideMark/>
          </w:tcPr>
          <w:p w:rsidRDefault="00110B5F" w:rsidP="00110B5F" w:rsidR="00110B5F" w:rsidRPr="00110B5F">
            <w:pPr>
              <w:overflowPunct/>
              <w:autoSpaceDE/>
              <w:autoSpaceDN/>
              <w:adjustRightInd/>
              <w:jc w:val="right"/>
              <w:textAlignment w:val="auto"/>
              <w:rPr>
                <w:sz w:val="24"/>
                <w:szCs w:val="24"/>
              </w:rPr>
            </w:pPr>
            <w:r w:rsidRPr="00110B5F">
              <w:rPr>
                <w:sz w:val="24"/>
                <w:szCs w:val="24"/>
              </w:rPr>
              <w:t>1.559.738,68</w:t>
            </w:r>
          </w:p>
        </w:tc>
        <w:tc>
          <w:tcPr>
            <w:tcW w:type="pct" w:w="844"/>
            <w:tcBorders>
              <w:top w:val="nil"/>
              <w:left w:val="nil"/>
              <w:bottom w:space="0" w:sz="8" w:color="auto" w:val="single"/>
              <w:right w:space="0" w:sz="4" w:color="auto" w:val="single"/>
            </w:tcBorders>
            <w:shd w:fill="auto" w:color="auto" w:val="clear"/>
            <w:vAlign w:val="center"/>
            <w:hideMark/>
          </w:tcPr>
          <w:p w:rsidRDefault="00110B5F" w:rsidP="00110B5F" w:rsidR="00110B5F" w:rsidRPr="00110B5F">
            <w:pPr>
              <w:overflowPunct/>
              <w:autoSpaceDE/>
              <w:autoSpaceDN/>
              <w:adjustRightInd/>
              <w:jc w:val="center"/>
              <w:textAlignment w:val="auto"/>
              <w:rPr>
                <w:sz w:val="24"/>
                <w:szCs w:val="24"/>
              </w:rPr>
            </w:pPr>
            <w:r w:rsidRPr="00110B5F">
              <w:rPr>
                <w:sz w:val="24"/>
                <w:szCs w:val="24"/>
              </w:rPr>
              <w:t>Rješenje o ovrsi Općinskog suda u Šibeniku od 15.11.2013.g. pod. posl.br. Ovr-1350/13</w:t>
            </w:r>
          </w:p>
        </w:tc>
        <w:tc>
          <w:tcPr>
            <w:tcW w:type="pct" w:w="985"/>
            <w:vMerge/>
            <w:tcBorders>
              <w:top w:val="nil"/>
              <w:left w:space="0" w:sz="4" w:color="auto" w:val="single"/>
              <w:bottom w:space="0" w:sz="8" w:color="000000" w:val="single"/>
              <w:right w:space="0" w:sz="8" w:color="auto" w:val="single"/>
            </w:tcBorders>
            <w:vAlign w:val="center"/>
            <w:hideMark/>
          </w:tcPr>
          <w:p w:rsidRDefault="00110B5F" w:rsidP="00110B5F" w:rsidR="00110B5F" w:rsidRPr="00110B5F">
            <w:pPr>
              <w:overflowPunct/>
              <w:autoSpaceDE/>
              <w:autoSpaceDN/>
              <w:adjustRightInd/>
              <w:textAlignment w:val="auto"/>
              <w:rPr>
                <w:sz w:val="24"/>
                <w:szCs w:val="24"/>
              </w:rPr>
            </w:pPr>
          </w:p>
        </w:tc>
      </w:tr>
    </w:tbl>
    <w:p w:rsidRDefault="00110B5F" w:rsidP="00162DBE" w:rsidR="00110B5F" w:rsidRPr="00110B5F">
      <w:pPr>
        <w:numPr>
          <w:ilvl w:val="12"/>
          <w:numId w:val="0"/>
        </w:numPr>
        <w:ind w:firstLine="720"/>
        <w:jc w:val="both"/>
        <w:rPr>
          <w:bCs/>
          <w:sz w:val="24"/>
          <w:szCs w:val="24"/>
        </w:rPr>
      </w:pPr>
    </w:p>
    <w:p w:rsidRDefault="00110B5F" w:rsidP="00162DBE" w:rsidR="001A4F52" w:rsidRPr="00110B5F">
      <w:pPr>
        <w:numPr>
          <w:ilvl w:val="12"/>
          <w:numId w:val="0"/>
        </w:numPr>
        <w:ind w:firstLine="720"/>
        <w:jc w:val="both"/>
        <w:rPr>
          <w:bCs/>
          <w:sz w:val="24"/>
          <w:szCs w:val="24"/>
        </w:rPr>
      </w:pPr>
      <w:r w:rsidRPr="00110B5F">
        <w:rPr>
          <w:bCs/>
          <w:sz w:val="24"/>
          <w:szCs w:val="24"/>
        </w:rPr>
        <w:t>Napomena:</w:t>
      </w:r>
    </w:p>
    <w:p w:rsidRDefault="00110B5F" w:rsidP="00162DBE" w:rsidR="00110B5F" w:rsidRPr="00110B5F">
      <w:pPr>
        <w:numPr>
          <w:ilvl w:val="12"/>
          <w:numId w:val="0"/>
        </w:numPr>
        <w:ind w:firstLine="720"/>
        <w:jc w:val="both"/>
        <w:rPr>
          <w:bCs/>
          <w:sz w:val="24"/>
          <w:szCs w:val="24"/>
        </w:rPr>
      </w:pPr>
      <w:r w:rsidRPr="00110B5F">
        <w:rPr>
          <w:bCs/>
          <w:sz w:val="24"/>
          <w:szCs w:val="24"/>
        </w:rPr>
        <w:t xml:space="preserve">Ad.1. Razlučni vjerovnik DDM INVEST I AG iz Švicarske, OIB:41627324374 razlučno pravo stekao je temeljem Ugovora o ustupanju potraživanja od 26.07.2018.g. sklopljen između ABANKE d.d. iz Ljubljane, Republika Slovenija, OIB:89346389541 (pravni slijednik BANKE CELJE d.d., OIB:24044360807) kao ustupitelja i društva DDM INVEST I AG iz Švicarske, OIB:41627324374 kao primatelja, ovjeren kod javnog bilježnika Nade Kumar iz Ljubljane pod posl.br. OV-3334/2018 dana 30.07.2018.g. Razlučni vjerovnik DDM INVEST I AG iz Švicarske, OIB:41627324374 svoje razlučno pravo do današnjeg dana nije upisao u zemljišne knjige već je i dalje upisano društvo BANKA CELJE d.d. iz Slovenije, OIB:24044360807. Uvidom u aktivni izvadak utvrđeno je da postoji aktivna plomba pod brojem Z-13834/2018 od 18.10.2018.g. sa </w:t>
      </w:r>
      <w:r w:rsidRPr="00110B5F">
        <w:rPr>
          <w:bCs/>
          <w:sz w:val="24"/>
          <w:szCs w:val="24"/>
        </w:rPr>
        <w:lastRenderedPageBreak/>
        <w:t>sadržajem prijedloga uknjižbe založnog prava stoga pretpostavljam da se radi o prijedlogu za uknjižbu novog razlučnog vjerovnika DDM INVEST I AG iz Švicarske.</w:t>
      </w:r>
    </w:p>
    <w:p w:rsidRDefault="00110B5F" w:rsidP="00162DBE" w:rsidR="00110B5F" w:rsidRPr="00110B5F">
      <w:pPr>
        <w:numPr>
          <w:ilvl w:val="12"/>
          <w:numId w:val="0"/>
        </w:numPr>
        <w:ind w:firstLine="720"/>
        <w:jc w:val="both"/>
        <w:rPr>
          <w:bCs/>
          <w:sz w:val="24"/>
          <w:szCs w:val="24"/>
        </w:rPr>
      </w:pPr>
      <w:r w:rsidRPr="00110B5F">
        <w:rPr>
          <w:bCs/>
          <w:sz w:val="24"/>
          <w:szCs w:val="24"/>
        </w:rPr>
        <w:t>Ad.2. Pred Trgovačkim sudom u Zadru, Stalna služba u Šibeniku pod posl.br. P-128/16 vodi se parnica radi proglašenja ovrhe nedopuštenom (Ovr-1350/13) obzirom da je prestala tražbina temeljem koje je društvo TOFRADO d.o.o. iz Pleternice izdalo račun na temelju kojeg je doneseno pravomoćno i ovršno rješenje o ovrsi pod posl.br. Ovr-1350/13.  Naime, društvo TOFRADO d.o.o. iz Pleternice izdalo je račun broj 1 od 31.12.2017.g. društvu H.G. NEKRETNINE d.o.o. iz Zagreba po osnovi prodaje nekretnine oznake kat.čest. 6182/4, upisane kod Općinskog suda u Šibeniku u zk.ul. 7524, k.o. Zaton, a sve temeljem Ugovora o kupoprodaji od 31.12.2007.g. ovjeren kod javnog bilježnika Maria Včelik iz Pleternice pod brojem OV-2177/07. Navedeni Ugovor o kupoprodaji raskinut je sukladno Sporazumnom raskidu ugovora o kupoprodaji nekretnina od 07.06.2011.g. ovjeren kod javnog bilježnika Mario Včelik iz Pleternice pod posl.br. OV-4087/11. Sukladno iznesenom, tražbina po osnovi kupoprodaje nekretnine i računa broj 1 od 31.12.2007.g. je prestala odnosno radi se o nepostojećoj tražbini.</w:t>
      </w:r>
    </w:p>
    <w:p w:rsidRDefault="00B47401" w:rsidP="00FE0FF0" w:rsidR="00B47401" w:rsidRPr="00110B5F">
      <w:pPr>
        <w:numPr>
          <w:ilvl w:val="12"/>
          <w:numId w:val="0"/>
        </w:numPr>
        <w:jc w:val="both"/>
        <w:rPr>
          <w:bCs/>
          <w:sz w:val="24"/>
          <w:szCs w:val="24"/>
        </w:rPr>
      </w:pPr>
    </w:p>
    <w:p w:rsidRDefault="00806FDD" w:rsidP="00C62C16" w:rsidR="002A7EC3" w:rsidRPr="00110B5F">
      <w:pPr>
        <w:ind w:firstLine="720"/>
        <w:jc w:val="both"/>
        <w:rPr>
          <w:bCs/>
          <w:sz w:val="24"/>
          <w:szCs w:val="24"/>
        </w:rPr>
      </w:pPr>
      <w:r w:rsidRPr="00110B5F">
        <w:rPr>
          <w:bCs/>
          <w:sz w:val="24"/>
          <w:szCs w:val="24"/>
        </w:rPr>
        <w:t xml:space="preserve">Stečajni upravitelj </w:t>
      </w:r>
      <w:r w:rsidR="00166167" w:rsidRPr="00110B5F">
        <w:rPr>
          <w:bCs/>
          <w:sz w:val="24"/>
          <w:szCs w:val="24"/>
        </w:rPr>
        <w:t>ističe</w:t>
      </w:r>
      <w:r w:rsidRPr="00110B5F">
        <w:rPr>
          <w:bCs/>
          <w:sz w:val="24"/>
          <w:szCs w:val="24"/>
        </w:rPr>
        <w:t xml:space="preserve"> kako </w:t>
      </w:r>
      <w:r w:rsidR="00C557D7" w:rsidRPr="00110B5F">
        <w:rPr>
          <w:bCs/>
          <w:sz w:val="24"/>
          <w:szCs w:val="24"/>
        </w:rPr>
        <w:t xml:space="preserve">nema izlučnih prava. </w:t>
      </w:r>
    </w:p>
    <w:p w:rsidRDefault="002B7B9E" w:rsidP="00C62C16" w:rsidR="002B7B9E" w:rsidRPr="00110B5F">
      <w:pPr>
        <w:jc w:val="both"/>
        <w:rPr>
          <w:bCs/>
          <w:sz w:val="24"/>
          <w:szCs w:val="24"/>
        </w:rPr>
      </w:pPr>
    </w:p>
    <w:p w:rsidRDefault="00723D06" w:rsidP="00C62C16" w:rsidR="00723D06" w:rsidRPr="00110B5F">
      <w:pPr>
        <w:pStyle w:val="Odlomakpopisa"/>
        <w:jc w:val="both"/>
        <w:rPr>
          <w:rFonts w:hAnsi="Times New Roman" w:ascii="Times New Roman"/>
          <w:bCs/>
          <w:sz w:val="24"/>
          <w:szCs w:val="24"/>
        </w:rPr>
      </w:pPr>
      <w:r w:rsidRPr="00110B5F">
        <w:rPr>
          <w:rFonts w:hAnsi="Times New Roman" w:ascii="Times New Roman"/>
          <w:bCs/>
          <w:sz w:val="24"/>
          <w:szCs w:val="24"/>
        </w:rPr>
        <w:t xml:space="preserve">Dovršeno u </w:t>
      </w:r>
      <w:r w:rsidR="00F04834" w:rsidRPr="00110B5F">
        <w:rPr>
          <w:rFonts w:hAnsi="Times New Roman" w:ascii="Times New Roman"/>
          <w:bCs/>
          <w:sz w:val="24"/>
          <w:szCs w:val="24"/>
        </w:rPr>
        <w:t>10,05</w:t>
      </w:r>
      <w:r w:rsidR="00B074BB" w:rsidRPr="00110B5F">
        <w:rPr>
          <w:rFonts w:hAnsi="Times New Roman" w:ascii="Times New Roman"/>
          <w:bCs/>
          <w:sz w:val="24"/>
          <w:szCs w:val="24"/>
        </w:rPr>
        <w:t xml:space="preserve"> </w:t>
      </w:r>
      <w:r w:rsidRPr="00110B5F">
        <w:rPr>
          <w:rFonts w:hAnsi="Times New Roman" w:ascii="Times New Roman"/>
          <w:bCs/>
          <w:sz w:val="24"/>
          <w:szCs w:val="24"/>
        </w:rPr>
        <w:t>sati.</w:t>
      </w:r>
    </w:p>
    <w:p w:rsidRDefault="004007FD" w:rsidP="00C62C16" w:rsidR="004007FD" w:rsidRPr="00110B5F">
      <w:pPr>
        <w:numPr>
          <w:ilvl w:val="12"/>
          <w:numId w:val="0"/>
        </w:numPr>
        <w:jc w:val="both"/>
        <w:rPr>
          <w:bCs/>
          <w:sz w:val="24"/>
          <w:szCs w:val="24"/>
        </w:rPr>
        <w:sectPr w:rsidSect="00B47401" w:rsidR="004007FD" w:rsidRPr="00110B5F">
          <w:pgSz w:orient="landscape" w:h="12240" w:w="15840"/>
          <w:pgMar w:gutter="0" w:footer="709" w:header="709" w:left="958" w:bottom="851" w:right="567" w:top="1418"/>
          <w:cols w:space="708"/>
          <w:titlePg/>
          <w:docGrid w:linePitch="360"/>
        </w:sectPr>
      </w:pPr>
    </w:p>
    <w:p w:rsidRDefault="005E5D9C" w:rsidP="00C62C16" w:rsidR="00852275" w:rsidRPr="00110B5F">
      <w:pPr>
        <w:numPr>
          <w:ilvl w:val="12"/>
          <w:numId w:val="0"/>
        </w:numPr>
        <w:jc w:val="both"/>
        <w:rPr>
          <w:bCs/>
          <w:sz w:val="24"/>
          <w:szCs w:val="24"/>
        </w:rPr>
      </w:pPr>
      <w:r w:rsidRPr="00110B5F">
        <w:rPr>
          <w:bCs/>
          <w:sz w:val="24"/>
          <w:szCs w:val="24"/>
        </w:rPr>
        <w:lastRenderedPageBreak/>
        <w:t>Na temelju odredbe</w:t>
      </w:r>
      <w:r w:rsidR="00853FF6" w:rsidRPr="00110B5F">
        <w:rPr>
          <w:bCs/>
          <w:sz w:val="24"/>
          <w:szCs w:val="24"/>
        </w:rPr>
        <w:t xml:space="preserve"> </w:t>
      </w:r>
      <w:r w:rsidR="00971100" w:rsidRPr="00110B5F">
        <w:rPr>
          <w:bCs/>
          <w:sz w:val="24"/>
          <w:szCs w:val="24"/>
        </w:rPr>
        <w:t>čl. 130. st. 4</w:t>
      </w:r>
      <w:r w:rsidR="00853FF6" w:rsidRPr="00110B5F">
        <w:rPr>
          <w:bCs/>
          <w:sz w:val="24"/>
          <w:szCs w:val="24"/>
        </w:rPr>
        <w:t>. Stečajnog zakona, spajaju se ispitno i izvještajno ročište te se prelazi na:</w:t>
      </w:r>
    </w:p>
    <w:p w:rsidRDefault="00117D8C" w:rsidP="00C62C16" w:rsidR="00117D8C" w:rsidRPr="00110B5F">
      <w:pPr>
        <w:numPr>
          <w:ilvl w:val="12"/>
          <w:numId w:val="0"/>
        </w:numPr>
        <w:jc w:val="both"/>
        <w:rPr>
          <w:bCs/>
          <w:sz w:val="24"/>
          <w:szCs w:val="24"/>
        </w:rPr>
      </w:pPr>
    </w:p>
    <w:p w:rsidRDefault="00853FF6" w:rsidP="008F46A0" w:rsidR="00853FF6" w:rsidRPr="00110B5F">
      <w:pPr>
        <w:numPr>
          <w:ilvl w:val="12"/>
          <w:numId w:val="0"/>
        </w:numPr>
        <w:jc w:val="center"/>
        <w:rPr>
          <w:bCs/>
          <w:sz w:val="24"/>
          <w:szCs w:val="24"/>
        </w:rPr>
      </w:pPr>
      <w:r w:rsidRPr="00110B5F">
        <w:rPr>
          <w:bCs/>
          <w:sz w:val="24"/>
          <w:szCs w:val="24"/>
        </w:rPr>
        <w:t>SKUPŠTINU VJEROVNIKA S</w:t>
      </w:r>
    </w:p>
    <w:p w:rsidRDefault="00853FF6" w:rsidP="008F46A0" w:rsidR="00853FF6" w:rsidRPr="00110B5F">
      <w:pPr>
        <w:numPr>
          <w:ilvl w:val="12"/>
          <w:numId w:val="0"/>
        </w:numPr>
        <w:jc w:val="center"/>
        <w:rPr>
          <w:bCs/>
          <w:sz w:val="24"/>
          <w:szCs w:val="24"/>
        </w:rPr>
      </w:pPr>
      <w:r w:rsidRPr="00110B5F">
        <w:rPr>
          <w:bCs/>
          <w:sz w:val="24"/>
          <w:szCs w:val="24"/>
        </w:rPr>
        <w:t>IZVJEŠTAJ</w:t>
      </w:r>
      <w:r w:rsidR="005E5D9C" w:rsidRPr="00110B5F">
        <w:rPr>
          <w:bCs/>
          <w:sz w:val="24"/>
          <w:szCs w:val="24"/>
        </w:rPr>
        <w:t>N</w:t>
      </w:r>
      <w:r w:rsidRPr="00110B5F">
        <w:rPr>
          <w:bCs/>
          <w:sz w:val="24"/>
          <w:szCs w:val="24"/>
        </w:rPr>
        <w:t>OG ROČIŠTA</w:t>
      </w:r>
    </w:p>
    <w:p w:rsidRDefault="00853FF6" w:rsidP="00C62C16" w:rsidR="00853FF6" w:rsidRPr="00110B5F">
      <w:pPr>
        <w:numPr>
          <w:ilvl w:val="12"/>
          <w:numId w:val="0"/>
        </w:numPr>
        <w:jc w:val="both"/>
        <w:rPr>
          <w:bCs/>
          <w:sz w:val="24"/>
          <w:szCs w:val="24"/>
        </w:rPr>
      </w:pPr>
    </w:p>
    <w:p w:rsidRDefault="008F629C" w:rsidP="00C62C16" w:rsidR="008F629C" w:rsidRPr="00110B5F">
      <w:pPr>
        <w:ind w:firstLine="720"/>
        <w:jc w:val="both"/>
        <w:rPr>
          <w:sz w:val="24"/>
          <w:szCs w:val="24"/>
        </w:rPr>
      </w:pPr>
      <w:r w:rsidRPr="00110B5F">
        <w:rPr>
          <w:sz w:val="24"/>
          <w:szCs w:val="24"/>
        </w:rPr>
        <w:t xml:space="preserve">Utvrđuje se da su na izvještajnom ročištu nazočni vjerovnici koji su bili nazočni na ispitnom ročištu. </w:t>
      </w:r>
    </w:p>
    <w:p w:rsidRDefault="006B22FB" w:rsidP="00C62C16" w:rsidR="006B22FB" w:rsidRPr="00110B5F">
      <w:pPr>
        <w:ind w:firstLine="720"/>
        <w:jc w:val="both"/>
        <w:rPr>
          <w:sz w:val="24"/>
          <w:szCs w:val="24"/>
        </w:rPr>
      </w:pPr>
    </w:p>
    <w:p w:rsidRDefault="000F4ADA" w:rsidP="00C62C16" w:rsidR="006B22FB" w:rsidRPr="00110B5F">
      <w:pPr>
        <w:ind w:firstLine="720"/>
        <w:jc w:val="both"/>
        <w:rPr>
          <w:sz w:val="24"/>
          <w:szCs w:val="24"/>
        </w:rPr>
      </w:pPr>
      <w:r w:rsidRPr="00110B5F">
        <w:rPr>
          <w:sz w:val="24"/>
          <w:szCs w:val="24"/>
        </w:rPr>
        <w:t>Sudac</w:t>
      </w:r>
      <w:r w:rsidR="006B22FB" w:rsidRPr="00110B5F">
        <w:rPr>
          <w:sz w:val="24"/>
          <w:szCs w:val="24"/>
        </w:rPr>
        <w:t xml:space="preserve"> otvara r</w:t>
      </w:r>
      <w:r w:rsidR="00806FDD" w:rsidRPr="00110B5F">
        <w:rPr>
          <w:sz w:val="24"/>
          <w:szCs w:val="24"/>
        </w:rPr>
        <w:t>očište</w:t>
      </w:r>
      <w:r w:rsidR="006B22FB" w:rsidRPr="00110B5F">
        <w:rPr>
          <w:sz w:val="24"/>
          <w:szCs w:val="24"/>
        </w:rPr>
        <w:t xml:space="preserve"> i objavljuje da je predmet današnjeg izvještajnog ročišta</w:t>
      </w:r>
      <w:r w:rsidR="00725E76" w:rsidRPr="00110B5F">
        <w:rPr>
          <w:sz w:val="24"/>
          <w:szCs w:val="24"/>
        </w:rPr>
        <w:t xml:space="preserve"> (članak 227 SZ-a)</w:t>
      </w:r>
      <w:r w:rsidR="006B22FB" w:rsidRPr="00110B5F">
        <w:rPr>
          <w:sz w:val="24"/>
          <w:szCs w:val="24"/>
        </w:rPr>
        <w:t xml:space="preserve"> donošenje odluka sukladno čl. 107. SZ-a.</w:t>
      </w:r>
    </w:p>
    <w:p w:rsidRDefault="00BB6FEA" w:rsidP="00C62C16" w:rsidR="00BB6FEA" w:rsidRPr="00110B5F">
      <w:pPr>
        <w:jc w:val="both"/>
        <w:rPr>
          <w:sz w:val="24"/>
          <w:szCs w:val="24"/>
        </w:rPr>
      </w:pPr>
    </w:p>
    <w:p w:rsidRDefault="00BB6FEA" w:rsidP="00C62C16" w:rsidR="00BB6FEA" w:rsidRPr="00110B5F">
      <w:pPr>
        <w:jc w:val="both"/>
        <w:rPr>
          <w:sz w:val="24"/>
          <w:szCs w:val="24"/>
        </w:rPr>
      </w:pPr>
      <w:r w:rsidRPr="00110B5F">
        <w:rPr>
          <w:sz w:val="24"/>
          <w:szCs w:val="24"/>
        </w:rPr>
        <w:tab/>
        <w:t xml:space="preserve">Poziva se stečajni upravitelj podnijeti izvješće o gospodarskom položaju stečajnog dužnika i njegovim uzrocima. Navedeno izvješće bilo je objavljeno na mrežnoj stranici e-oglasna ploča Trgovačkog suda u Zagrebu. Sudac upoznaje vjerovnike da se  mogu očitovati o izvješću stečajnog upravitelja.(čl. 227. st.4. SZ-a). </w:t>
      </w:r>
    </w:p>
    <w:p w:rsidRDefault="00BB6FEA" w:rsidP="00C62C16" w:rsidR="00BB6FEA" w:rsidRPr="00110B5F">
      <w:pPr>
        <w:jc w:val="both"/>
        <w:rPr>
          <w:sz w:val="24"/>
          <w:szCs w:val="24"/>
        </w:rPr>
      </w:pPr>
    </w:p>
    <w:p w:rsidRDefault="00BB6FEA" w:rsidP="00515EF4" w:rsidR="000959C4" w:rsidRPr="00110B5F">
      <w:pPr>
        <w:ind w:firstLine="720"/>
        <w:jc w:val="both"/>
        <w:rPr>
          <w:bCs/>
          <w:sz w:val="24"/>
          <w:szCs w:val="24"/>
        </w:rPr>
      </w:pPr>
      <w:r w:rsidRPr="00110B5F">
        <w:rPr>
          <w:bCs/>
          <w:sz w:val="24"/>
          <w:szCs w:val="24"/>
        </w:rPr>
        <w:t>Stečajni upravitelj usmeno izlaže kao u svom pisanom izvješću, koje je sastavni dio ovog stečajnog spisa</w:t>
      </w:r>
      <w:r w:rsidR="00115571" w:rsidRPr="00110B5F">
        <w:rPr>
          <w:bCs/>
          <w:sz w:val="24"/>
          <w:szCs w:val="24"/>
        </w:rPr>
        <w:t>.</w:t>
      </w:r>
    </w:p>
    <w:p w:rsidRDefault="001A4F52" w:rsidP="00515EF4" w:rsidR="001A4F52" w:rsidRPr="00110B5F">
      <w:pPr>
        <w:ind w:firstLine="720"/>
        <w:jc w:val="both"/>
        <w:rPr>
          <w:bCs/>
          <w:sz w:val="24"/>
          <w:szCs w:val="24"/>
        </w:rPr>
      </w:pPr>
    </w:p>
    <w:p w:rsidRDefault="00110B5F" w:rsidP="00110B5F" w:rsidR="00110B5F" w:rsidRPr="00110B5F">
      <w:pPr>
        <w:jc w:val="both"/>
        <w:rPr>
          <w:sz w:val="24"/>
          <w:szCs w:val="24"/>
        </w:rPr>
      </w:pPr>
      <w:r w:rsidRPr="00110B5F">
        <w:rPr>
          <w:sz w:val="24"/>
          <w:szCs w:val="24"/>
        </w:rPr>
        <w:t>Stečajni dužnik vlasnik je ukupno sedam nekretnina i to;</w:t>
      </w:r>
    </w:p>
    <w:p w:rsidRDefault="00110B5F" w:rsidP="00110B5F" w:rsidR="00110B5F" w:rsidRPr="00110B5F">
      <w:pPr>
        <w:jc w:val="both"/>
        <w:rPr>
          <w:sz w:val="24"/>
          <w:szCs w:val="24"/>
        </w:rPr>
      </w:pPr>
    </w:p>
    <w:p w:rsidRDefault="00110B5F" w:rsidP="00110B5F" w:rsidR="00110B5F" w:rsidRPr="00110B5F">
      <w:pPr>
        <w:numPr>
          <w:ilvl w:val="0"/>
          <w:numId w:val="30"/>
        </w:numPr>
        <w:overflowPunct/>
        <w:autoSpaceDE/>
        <w:autoSpaceDN/>
        <w:adjustRightInd/>
        <w:jc w:val="both"/>
        <w:textAlignment w:val="auto"/>
        <w:rPr>
          <w:sz w:val="24"/>
          <w:szCs w:val="24"/>
        </w:rPr>
      </w:pPr>
      <w:r w:rsidRPr="00110B5F">
        <w:rPr>
          <w:sz w:val="24"/>
          <w:szCs w:val="24"/>
        </w:rPr>
        <w:t>Nekretnina oznake kat.čest. 6182/3 upisana kod Općinskog suda u Šibeniku u zk. uložak broj 7567, poduložak 3, suvlasnički dio 25/100,  k.o. Zaton, u naravi stan 1 u prizemlju koji se sastoji od hodnika, dnevnog boravka i blagavaonice s kuhinjom, spavaće sobe, kupaonice, terase, loggie, ukupne neto korisne površine 69,42m2, s pripacima u dvorištu: vrtom V2, neto korisne površine 30m2, vrtom V4, neto korisne površine 27m2</w:t>
      </w:r>
    </w:p>
    <w:p w:rsidRDefault="00110B5F" w:rsidP="00110B5F" w:rsidR="00110B5F" w:rsidRPr="00110B5F">
      <w:pPr>
        <w:numPr>
          <w:ilvl w:val="0"/>
          <w:numId w:val="30"/>
        </w:numPr>
        <w:overflowPunct/>
        <w:autoSpaceDE/>
        <w:autoSpaceDN/>
        <w:adjustRightInd/>
        <w:jc w:val="both"/>
        <w:textAlignment w:val="auto"/>
        <w:rPr>
          <w:sz w:val="24"/>
          <w:szCs w:val="24"/>
        </w:rPr>
      </w:pPr>
      <w:r w:rsidRPr="00110B5F">
        <w:rPr>
          <w:sz w:val="24"/>
          <w:szCs w:val="24"/>
        </w:rPr>
        <w:t>Nekretnina oznake kat.čest. 6182/3 upisana kod Općinskog suda u Šibeniku u zk. uložak broj 7567, poduložak 4, suvlasnički dio 25/100,  k.o. Zaton, u naravi stan 2 na katu, koji se sastoji od stubišta i podesta, hodnika, dnevnog boravka i blagavaonice s kuhinjom, dvije spavaće sobe, kupaonice, terase, loggie, ukupne neto korisne površine 68,59 m2, s pripacima u dvorištu: vrtom V1, neto korisne površine 35m2, vrtom V3 neto korisne površine 30m2</w:t>
      </w:r>
    </w:p>
    <w:p w:rsidRDefault="00110B5F" w:rsidP="00110B5F" w:rsidR="00110B5F" w:rsidRPr="00110B5F">
      <w:pPr>
        <w:numPr>
          <w:ilvl w:val="0"/>
          <w:numId w:val="30"/>
        </w:numPr>
        <w:overflowPunct/>
        <w:autoSpaceDE/>
        <w:autoSpaceDN/>
        <w:adjustRightInd/>
        <w:jc w:val="both"/>
        <w:textAlignment w:val="auto"/>
        <w:rPr>
          <w:sz w:val="24"/>
          <w:szCs w:val="24"/>
        </w:rPr>
      </w:pPr>
      <w:r w:rsidRPr="00110B5F">
        <w:rPr>
          <w:sz w:val="24"/>
          <w:szCs w:val="24"/>
        </w:rPr>
        <w:t>Nekretnina oznake kat.čest. 6182/1 upisana kod Općinskog suda u Šibeniku u zk. uložak broj 7693, poduložak 1, suvlasnički dio 128/260,  k.o. Zaton, u naravi prizemni dio etažnog stana P1, koji se sastoji od ulaznog trijema hodnika, prostorije: kuhinje i dnevnog boravka, prostorija:sobe i kupaonice i terase te dio etažnog stana P1, na prvom katu koji se sastoji od stubišta, dva hodnika, prostorije: tri sobe i dvije kupaonice te dva balkona, označeno zelenom bojom, sve ukupne površine 128,08 m2, stanu P1 pripada vrt oznake V1, površine 12,39 m2</w:t>
      </w:r>
    </w:p>
    <w:p w:rsidRDefault="00110B5F" w:rsidP="00110B5F" w:rsidR="00110B5F" w:rsidRPr="00110B5F">
      <w:pPr>
        <w:numPr>
          <w:ilvl w:val="0"/>
          <w:numId w:val="30"/>
        </w:numPr>
        <w:overflowPunct/>
        <w:autoSpaceDE/>
        <w:autoSpaceDN/>
        <w:adjustRightInd/>
        <w:jc w:val="both"/>
        <w:textAlignment w:val="auto"/>
        <w:rPr>
          <w:sz w:val="24"/>
          <w:szCs w:val="24"/>
        </w:rPr>
      </w:pPr>
      <w:r w:rsidRPr="00110B5F">
        <w:rPr>
          <w:sz w:val="24"/>
          <w:szCs w:val="24"/>
        </w:rPr>
        <w:t>Nekretnina oznake kat.čest. 7500/30 upisana kod Općinskog suda u Šibeniku u zk. uložak broj 7536, poduložak 5, suvlasnički dio 53/328,  k.o. Zaton, u naravi stan VP1 na visokom potkrovlju, koji se sastoji od prostorije: kuhinje i dnevnog boravka, prostorija: dvije spavaće sobe i kupaonica te terase, označeno zelenom bojom, sveukupne površine 53,38 m2</w:t>
      </w:r>
    </w:p>
    <w:p w:rsidRDefault="00110B5F" w:rsidP="00110B5F" w:rsidR="00110B5F" w:rsidRPr="00110B5F">
      <w:pPr>
        <w:numPr>
          <w:ilvl w:val="0"/>
          <w:numId w:val="30"/>
        </w:numPr>
        <w:overflowPunct/>
        <w:autoSpaceDE/>
        <w:autoSpaceDN/>
        <w:adjustRightInd/>
        <w:jc w:val="both"/>
        <w:textAlignment w:val="auto"/>
        <w:rPr>
          <w:sz w:val="24"/>
          <w:szCs w:val="24"/>
        </w:rPr>
      </w:pPr>
      <w:r w:rsidRPr="00110B5F">
        <w:rPr>
          <w:sz w:val="24"/>
          <w:szCs w:val="24"/>
        </w:rPr>
        <w:t xml:space="preserve">Nekretnina oznake kat.čest. 7500/30 upisana kod Općinskog suda u Šibeniku u zk. uložak broj 7536, poduložak 6, suvlasnički dio 54/328,  k.o. Zaton, u naravi stan VP2 u visokom potkrovlju, koji se sastoji od prostorije: kuhinje i dnevnog boravka, prostorija: dvije </w:t>
      </w:r>
      <w:r w:rsidRPr="00110B5F">
        <w:rPr>
          <w:sz w:val="24"/>
          <w:szCs w:val="24"/>
        </w:rPr>
        <w:lastRenderedPageBreak/>
        <w:t>spavaće sobe i kupaonica te terase, označeno narančastom bojom, sveukupne površine 53,56 m2</w:t>
      </w:r>
    </w:p>
    <w:p w:rsidRDefault="00110B5F" w:rsidP="00110B5F" w:rsidR="00110B5F" w:rsidRPr="00110B5F">
      <w:pPr>
        <w:numPr>
          <w:ilvl w:val="0"/>
          <w:numId w:val="30"/>
        </w:numPr>
        <w:overflowPunct/>
        <w:autoSpaceDE/>
        <w:autoSpaceDN/>
        <w:adjustRightInd/>
        <w:jc w:val="both"/>
        <w:textAlignment w:val="auto"/>
        <w:rPr>
          <w:sz w:val="24"/>
          <w:szCs w:val="24"/>
        </w:rPr>
      </w:pPr>
      <w:r w:rsidRPr="00110B5F">
        <w:rPr>
          <w:sz w:val="24"/>
          <w:szCs w:val="24"/>
        </w:rPr>
        <w:t>Nekretnina oznake kat.čest. 7500/28 upisana kod Općinskog suda u Šibeniku u zk. uložak broj 7582, poduložak 6, suvlasnički dio 39/384,  k.o. Zaton, u naravi stan I3 na katu koji se sastoji od prostorije kuhinje, blagovaonice i dnevnog boravka, prostorija: spavaće spobe i kupaonice te terase, označeno plavom bojom, sveukupne površine 38,99 m2</w:t>
      </w:r>
    </w:p>
    <w:p w:rsidRDefault="00110B5F" w:rsidP="00110B5F" w:rsidR="00110B5F" w:rsidRPr="00110B5F">
      <w:pPr>
        <w:numPr>
          <w:ilvl w:val="0"/>
          <w:numId w:val="30"/>
        </w:numPr>
        <w:overflowPunct/>
        <w:autoSpaceDE/>
        <w:autoSpaceDN/>
        <w:adjustRightInd/>
        <w:jc w:val="both"/>
        <w:textAlignment w:val="auto"/>
        <w:rPr>
          <w:sz w:val="24"/>
          <w:szCs w:val="24"/>
        </w:rPr>
      </w:pPr>
      <w:r w:rsidRPr="00110B5F">
        <w:rPr>
          <w:sz w:val="24"/>
          <w:szCs w:val="24"/>
        </w:rPr>
        <w:t>Nekretnina oznake kat. čest. 6182/4 upisana kod Općinskog suda u Šibeniku u zk. uložak broj 7524, poduložak 2, ½ suvlasničkog dijela 132/259,  k.o. Zaton, u naravi stan P2 i to u prizemlju stubište,  hodnik, prostorija: kuhinja i dnevni boravak, prostorija: soba i kupaonica i terase te dio etažnog stana P2 na prvom katu koji se sastoji od 1. i 2. kraka stubišta, podesta, hodnika, prostorija: tri sobe i kupaonice, balkon, označeno narančastom bojom, sveukupne površine 131,52 m2</w:t>
      </w:r>
    </w:p>
    <w:p w:rsidRDefault="00110B5F" w:rsidP="00110B5F" w:rsidR="00110B5F" w:rsidRPr="00110B5F">
      <w:pPr>
        <w:jc w:val="both"/>
        <w:rPr>
          <w:sz w:val="24"/>
          <w:szCs w:val="24"/>
        </w:rPr>
      </w:pPr>
    </w:p>
    <w:p w:rsidRDefault="00110B5F" w:rsidP="00110B5F" w:rsidR="00110B5F" w:rsidRPr="00110B5F">
      <w:pPr>
        <w:jc w:val="both"/>
        <w:rPr>
          <w:sz w:val="24"/>
          <w:szCs w:val="24"/>
        </w:rPr>
      </w:pPr>
      <w:r w:rsidRPr="00110B5F">
        <w:rPr>
          <w:sz w:val="24"/>
          <w:szCs w:val="24"/>
        </w:rPr>
        <w:t>Navedene nekretnine opterećene su razlučnim pravima više razlučnih vjerovnika, a sve kako je navedeno u  tablicama razlučnih prava.</w:t>
      </w:r>
    </w:p>
    <w:p w:rsidRDefault="00110B5F" w:rsidP="00110B5F" w:rsidR="00110B5F" w:rsidRPr="00110B5F">
      <w:pPr>
        <w:jc w:val="both"/>
        <w:rPr>
          <w:sz w:val="24"/>
          <w:szCs w:val="24"/>
        </w:rPr>
      </w:pPr>
    </w:p>
    <w:p w:rsidRDefault="00110B5F" w:rsidP="00110B5F" w:rsidR="00110B5F" w:rsidRPr="00110B5F">
      <w:pPr>
        <w:jc w:val="both"/>
        <w:rPr>
          <w:sz w:val="24"/>
          <w:szCs w:val="24"/>
        </w:rPr>
      </w:pPr>
      <w:r w:rsidRPr="00110B5F">
        <w:rPr>
          <w:sz w:val="24"/>
          <w:szCs w:val="24"/>
        </w:rPr>
        <w:t>Nekretnina oznake kat. čest. 6182/4 upisana kod Općinskog suda u Šibeniku u zk. uložak broj 7524, poduložak 2 (redni broj 7), 132/259, u naravi predstavlja dva odvojena stana, no zbog zabilježbe provedbe ovrhe etažiranje nije provedeno u zemljišnim knjigama. Sukladno Elaboratu etažne podjele izrađenom od strane društva COMTING d.o.o. iz Zagreba, broj elaborata 1310-E iz lipnja 2013.g. stečajni je dužnik punopravni vlasnik nekretnine oznake kat. čest. 6182/4 upisane kod Općinskog suda u Šibeniku u zk. uložak broj 7524, udio 25/100, u naravi trosobni stan S3 na katu koji se sastoji od stubišta s podestom, hodnika, dnevnog boravka s blagavaonicom i kuhinjom, dvije spavaće sobe, kupaonice i terase, ukupne neto korisne površine 60,46m2 te pripadak stanu - vrt V3 tlocrtne površine 95m2.</w:t>
      </w:r>
    </w:p>
    <w:p w:rsidRDefault="00110B5F" w:rsidP="00110B5F" w:rsidR="00110B5F" w:rsidRPr="00110B5F">
      <w:pPr>
        <w:jc w:val="both"/>
        <w:rPr>
          <w:sz w:val="24"/>
          <w:szCs w:val="24"/>
        </w:rPr>
      </w:pPr>
    </w:p>
    <w:p w:rsidRDefault="00110B5F" w:rsidP="00110B5F" w:rsidR="00110B5F" w:rsidRPr="00110B5F">
      <w:pPr>
        <w:jc w:val="both"/>
        <w:rPr>
          <w:sz w:val="24"/>
          <w:szCs w:val="24"/>
        </w:rPr>
      </w:pPr>
      <w:r w:rsidRPr="00110B5F">
        <w:rPr>
          <w:b/>
          <w:sz w:val="24"/>
          <w:szCs w:val="24"/>
        </w:rPr>
        <w:t>Pokretnine</w:t>
      </w:r>
    </w:p>
    <w:p w:rsidRDefault="00110B5F" w:rsidP="00110B5F" w:rsidR="00110B5F" w:rsidRPr="00110B5F">
      <w:pPr>
        <w:jc w:val="both"/>
        <w:rPr>
          <w:sz w:val="24"/>
          <w:szCs w:val="24"/>
        </w:rPr>
      </w:pPr>
    </w:p>
    <w:p w:rsidRDefault="00110B5F" w:rsidP="00110B5F" w:rsidR="00110B5F" w:rsidRPr="00110B5F">
      <w:pPr>
        <w:jc w:val="both"/>
        <w:rPr>
          <w:sz w:val="24"/>
          <w:szCs w:val="24"/>
        </w:rPr>
      </w:pPr>
      <w:r w:rsidRPr="00110B5F">
        <w:rPr>
          <w:sz w:val="24"/>
          <w:szCs w:val="24"/>
        </w:rPr>
        <w:t>Pokretne imovine nema.</w:t>
      </w:r>
    </w:p>
    <w:p w:rsidRDefault="00110B5F" w:rsidP="00110B5F" w:rsidR="00110B5F" w:rsidRPr="00110B5F">
      <w:pPr>
        <w:jc w:val="both"/>
        <w:rPr>
          <w:sz w:val="24"/>
          <w:szCs w:val="24"/>
        </w:rPr>
      </w:pPr>
    </w:p>
    <w:p w:rsidRDefault="00110B5F" w:rsidP="00110B5F" w:rsidR="00110B5F" w:rsidRPr="00110B5F">
      <w:pPr>
        <w:jc w:val="both"/>
        <w:rPr>
          <w:b/>
          <w:sz w:val="24"/>
          <w:szCs w:val="24"/>
        </w:rPr>
      </w:pPr>
      <w:r w:rsidRPr="00110B5F">
        <w:rPr>
          <w:b/>
          <w:sz w:val="24"/>
          <w:szCs w:val="24"/>
        </w:rPr>
        <w:t>Potraživanja</w:t>
      </w:r>
    </w:p>
    <w:p w:rsidRDefault="00110B5F" w:rsidP="00110B5F" w:rsidR="00110B5F" w:rsidRPr="00110B5F">
      <w:pPr>
        <w:jc w:val="both"/>
        <w:rPr>
          <w:sz w:val="24"/>
          <w:szCs w:val="24"/>
        </w:rPr>
      </w:pPr>
    </w:p>
    <w:p w:rsidRDefault="00110B5F" w:rsidP="00110B5F" w:rsidR="00110B5F" w:rsidRPr="00110B5F">
      <w:pPr>
        <w:jc w:val="both"/>
        <w:rPr>
          <w:sz w:val="24"/>
          <w:szCs w:val="24"/>
        </w:rPr>
      </w:pPr>
      <w:r w:rsidRPr="00110B5F">
        <w:rPr>
          <w:sz w:val="24"/>
          <w:szCs w:val="24"/>
        </w:rPr>
        <w:t>Potraživanja evidentirana u bilanci na dan 31.12.2014.g. iznosila su 118.287,00 kn i čine ih potraživanja od ranijeg zakonskog zastupnika po osnovi pozajmica u iznosu od 115.979,65 kn te potraživanje za uplaćene predujmove za nabavu usluga u iznosu od 2.307,35 kn. U tijeku je usklada i dogovor s ranijim direktorom društva u vezi podmirenja duga. Također, prema bilanci na dan 31.12.2014.g. na kontu obračunati troškovi budućeg razdoblja evidentiran je potražni saldo u iznosu od 1.381.595,00 kn no obzirom da mi raniji zakonski zastupnik i ranije knjigovodstvo dužnika nisu dostavili analitiku potraživanja i obveza, još uvijek nisam uspjela ustanoviti o kakvom se točno potraživanju radi.</w:t>
      </w:r>
    </w:p>
    <w:p w:rsidRDefault="00110B5F" w:rsidP="00110B5F" w:rsidR="00110B5F" w:rsidRPr="00110B5F">
      <w:pPr>
        <w:jc w:val="both"/>
        <w:rPr>
          <w:sz w:val="24"/>
          <w:szCs w:val="24"/>
        </w:rPr>
      </w:pPr>
    </w:p>
    <w:p w:rsidRDefault="00110B5F" w:rsidP="00110B5F" w:rsidR="00110B5F" w:rsidRPr="00110B5F">
      <w:pPr>
        <w:jc w:val="both"/>
        <w:rPr>
          <w:b/>
          <w:sz w:val="24"/>
          <w:szCs w:val="24"/>
        </w:rPr>
      </w:pPr>
      <w:r w:rsidRPr="00110B5F">
        <w:rPr>
          <w:b/>
          <w:sz w:val="24"/>
          <w:szCs w:val="24"/>
        </w:rPr>
        <w:t>Imovina na kojoj postoje izlučna prava</w:t>
      </w:r>
    </w:p>
    <w:p w:rsidRDefault="00110B5F" w:rsidP="00110B5F" w:rsidR="00110B5F" w:rsidRPr="00110B5F">
      <w:pPr>
        <w:jc w:val="both"/>
        <w:rPr>
          <w:sz w:val="24"/>
          <w:szCs w:val="24"/>
        </w:rPr>
      </w:pPr>
    </w:p>
    <w:p w:rsidRDefault="00110B5F" w:rsidP="00110B5F" w:rsidR="00110B5F" w:rsidRPr="00110B5F">
      <w:pPr>
        <w:jc w:val="both"/>
        <w:rPr>
          <w:sz w:val="24"/>
          <w:szCs w:val="24"/>
        </w:rPr>
      </w:pPr>
      <w:r w:rsidRPr="00110B5F">
        <w:rPr>
          <w:sz w:val="24"/>
          <w:szCs w:val="24"/>
        </w:rPr>
        <w:t xml:space="preserve">Stečajni dužnik nije u posjedu imovine koja bi bila predmet izlučnih prava. </w:t>
      </w:r>
    </w:p>
    <w:p w:rsidRDefault="00110B5F" w:rsidP="00110B5F" w:rsidR="00110B5F" w:rsidRPr="00110B5F">
      <w:pPr>
        <w:jc w:val="both"/>
        <w:rPr>
          <w:sz w:val="24"/>
          <w:szCs w:val="24"/>
        </w:rPr>
      </w:pPr>
    </w:p>
    <w:p w:rsidRDefault="00110B5F" w:rsidP="00110B5F" w:rsidR="00110B5F" w:rsidRPr="00110B5F">
      <w:pPr>
        <w:jc w:val="both"/>
        <w:rPr>
          <w:b/>
          <w:sz w:val="24"/>
          <w:szCs w:val="24"/>
        </w:rPr>
      </w:pPr>
      <w:r w:rsidRPr="00110B5F">
        <w:rPr>
          <w:b/>
          <w:sz w:val="24"/>
          <w:szCs w:val="24"/>
        </w:rPr>
        <w:t>Financijska imovina</w:t>
      </w:r>
    </w:p>
    <w:p w:rsidRDefault="00110B5F" w:rsidP="00110B5F" w:rsidR="00110B5F" w:rsidRPr="00110B5F">
      <w:pPr>
        <w:jc w:val="both"/>
        <w:rPr>
          <w:sz w:val="24"/>
          <w:szCs w:val="24"/>
        </w:rPr>
      </w:pPr>
    </w:p>
    <w:p w:rsidRDefault="00110B5F" w:rsidP="00110B5F" w:rsidR="00110B5F" w:rsidRPr="00110B5F">
      <w:pPr>
        <w:jc w:val="both"/>
        <w:rPr>
          <w:sz w:val="24"/>
          <w:szCs w:val="24"/>
        </w:rPr>
      </w:pPr>
      <w:r w:rsidRPr="00110B5F">
        <w:rPr>
          <w:sz w:val="24"/>
          <w:szCs w:val="24"/>
        </w:rPr>
        <w:t>Stečajni dužnik prema mojim dosadašnjim informacijama nije vlasnik udjela u drugim društvima, niti dionica.</w:t>
      </w:r>
    </w:p>
    <w:p w:rsidRDefault="00110B5F" w:rsidP="00110B5F" w:rsidR="00110B5F" w:rsidRPr="00110B5F">
      <w:pPr>
        <w:jc w:val="both"/>
        <w:rPr>
          <w:sz w:val="24"/>
          <w:szCs w:val="24"/>
        </w:rPr>
      </w:pPr>
    </w:p>
    <w:p w:rsidRDefault="00110B5F" w:rsidP="00110B5F" w:rsidR="00110B5F" w:rsidRPr="00110B5F">
      <w:pPr>
        <w:jc w:val="both"/>
        <w:rPr>
          <w:b/>
          <w:sz w:val="24"/>
          <w:szCs w:val="24"/>
        </w:rPr>
      </w:pPr>
      <w:r w:rsidRPr="00110B5F">
        <w:rPr>
          <w:b/>
          <w:sz w:val="24"/>
          <w:szCs w:val="24"/>
        </w:rPr>
        <w:lastRenderedPageBreak/>
        <w:t>Problematika vezano uz kupoprodaju nekretnine oznake kat.čest 6182/4 upisane kod Općinskog suda u Šibeniku u zk. uložak 7524, poduložak 1, k.o. Zaton</w:t>
      </w:r>
    </w:p>
    <w:p w:rsidRDefault="00110B5F" w:rsidP="00110B5F" w:rsidR="00110B5F" w:rsidRPr="00110B5F">
      <w:pPr>
        <w:jc w:val="both"/>
        <w:rPr>
          <w:b/>
          <w:sz w:val="24"/>
          <w:szCs w:val="24"/>
        </w:rPr>
      </w:pPr>
    </w:p>
    <w:p w:rsidRDefault="00110B5F" w:rsidP="00110B5F" w:rsidR="00110B5F" w:rsidRPr="00110B5F">
      <w:pPr>
        <w:jc w:val="both"/>
        <w:rPr>
          <w:sz w:val="24"/>
          <w:szCs w:val="24"/>
        </w:rPr>
      </w:pPr>
      <w:r w:rsidRPr="00110B5F">
        <w:rPr>
          <w:sz w:val="24"/>
          <w:szCs w:val="24"/>
        </w:rPr>
        <w:t xml:space="preserve">Društvo TOFRADO d.o.o. iz Pleternice, OIB:92907511183 kao prodavatelj i društvo H.G. NEKRETNINE d.o.o. iz Zagreba kao kupac, dana 31.12.2007.g. sklopili su Ugovor o kupoprodaji nekretnine oznake 127/259 dijelova kat.čest. 6182/4, upisane kod Općinskog suda u Šibeniku u zk.ul. 7524, poduložak 1, k.o. Zaton, ovjeren kod javnog bilježnika Maria Včelik iz Pleternice pod brojem OV-2177/07. Temeljem navedenog ugovora društvo TOFRADO d.o.o. iz Pleternice istog dana, dakle 31.12.2007.g. društvu H.G. NEKRETNINE d.o.o. iz Zagreba izdalo je račun broj 1 na iznos od 1.788.240,67 kn. Dana 23.01.2008.g. iste stranke, iz meni nepoznatih razloga, ponovno sklapaju identičan Ugovor o kupoprodaji iste nekretnine kojeg ovjeravaju kod javnog bilježnika Vlaste Zajec iz Zagreba pod brojem OV-878/08. </w:t>
      </w:r>
    </w:p>
    <w:p w:rsidRDefault="00110B5F" w:rsidP="00110B5F" w:rsidR="00110B5F" w:rsidRPr="00110B5F">
      <w:pPr>
        <w:jc w:val="both"/>
        <w:rPr>
          <w:sz w:val="24"/>
          <w:szCs w:val="24"/>
        </w:rPr>
      </w:pPr>
    </w:p>
    <w:p w:rsidRDefault="00110B5F" w:rsidP="00110B5F" w:rsidR="00110B5F" w:rsidRPr="00110B5F">
      <w:pPr>
        <w:jc w:val="both"/>
        <w:rPr>
          <w:sz w:val="24"/>
          <w:szCs w:val="24"/>
        </w:rPr>
      </w:pPr>
      <w:r w:rsidRPr="00110B5F">
        <w:rPr>
          <w:sz w:val="24"/>
          <w:szCs w:val="24"/>
        </w:rPr>
        <w:t xml:space="preserve">Dana 05.02.2008.g. ovaj stečajni dužnik po osnovi plaćanja predmetnog stana društvu TOFRADO d.o.o. prenosi novčana sredstva u iznosu od 700.619,10 kn, te dana 27.05.2008.g. iznos od 500.000,00 kn, odnosno ukupno 1.200.619,10 kn. </w:t>
      </w:r>
    </w:p>
    <w:p w:rsidRDefault="00110B5F" w:rsidP="00110B5F" w:rsidR="00110B5F" w:rsidRPr="00110B5F">
      <w:pPr>
        <w:jc w:val="both"/>
        <w:rPr>
          <w:sz w:val="24"/>
          <w:szCs w:val="24"/>
        </w:rPr>
      </w:pPr>
    </w:p>
    <w:p w:rsidRDefault="00110B5F" w:rsidP="00110B5F" w:rsidR="00110B5F" w:rsidRPr="00110B5F">
      <w:pPr>
        <w:jc w:val="both"/>
        <w:rPr>
          <w:sz w:val="24"/>
          <w:szCs w:val="24"/>
        </w:rPr>
      </w:pPr>
      <w:r w:rsidRPr="00110B5F">
        <w:rPr>
          <w:sz w:val="24"/>
          <w:szCs w:val="24"/>
        </w:rPr>
        <w:t xml:space="preserve">Tijekom 2009.g. TOFRADO d.o.o. iz Pleternice protiv ovog stečajnog dužnika pred JB Mariom Včelikom iz Požege pokreće postupak prisilne naplate potraživanja u iznosu od 623.398,84 kn unutar kojeg potraživanja se nalazi i potraživanje u iznosu od 587.621,57 kn po osnovi neplaćenog računa broj 1 od 31.12.2007.g. Navedeni JB izdao je rješenje o ovrsi dana 21.11.2009.g. pod posl.br. Ovrv-90/09, a koje je postalo pravomoćno. </w:t>
      </w:r>
    </w:p>
    <w:p w:rsidRDefault="00110B5F" w:rsidP="00110B5F" w:rsidR="00110B5F" w:rsidRPr="00110B5F">
      <w:pPr>
        <w:jc w:val="both"/>
        <w:rPr>
          <w:sz w:val="24"/>
          <w:szCs w:val="24"/>
        </w:rPr>
      </w:pPr>
    </w:p>
    <w:p w:rsidRDefault="00110B5F" w:rsidP="00110B5F" w:rsidR="00110B5F" w:rsidRPr="00110B5F">
      <w:pPr>
        <w:jc w:val="both"/>
        <w:rPr>
          <w:sz w:val="24"/>
          <w:szCs w:val="24"/>
        </w:rPr>
      </w:pPr>
      <w:r w:rsidRPr="00110B5F">
        <w:rPr>
          <w:sz w:val="24"/>
          <w:szCs w:val="24"/>
        </w:rPr>
        <w:t xml:space="preserve">Međutim, dana 02.06.2011.g. stranke Sporazumno raskidaju Ugovora o kupoprodaji od 31.12.2007.g. (potpise ovjeravaju pred JB Maria Včelik iz Požege pod brojevima OV-4087/11 i OV-7692/11), slijedom koje činjenice je TOFRADO d.o.o. u svojim poslovnim knjigama trebao stornirati račun broj 1 od 31.12.2007.g. u iznosu od 1.788.240,67 kn, te napraviti novi račun sukladno Ugovoru od 23.01.2008.g.  Također, slijedom činjenice da potraživanje po osnovi računa broj 1 od 31.12.2007.g. više ne postoji, djelomično je van snage trebalo staviti i ovršnu ispravu donesenu pred JB Mariom Včelikom iz Požege pod posl.br. Ovrv-90/09, i to upravo u iznosu od 587.621,57 kn. </w:t>
      </w:r>
    </w:p>
    <w:p w:rsidRDefault="00110B5F" w:rsidP="00110B5F" w:rsidR="00110B5F" w:rsidRPr="00110B5F">
      <w:pPr>
        <w:jc w:val="both"/>
        <w:rPr>
          <w:sz w:val="24"/>
          <w:szCs w:val="24"/>
        </w:rPr>
      </w:pPr>
    </w:p>
    <w:p w:rsidRDefault="00110B5F" w:rsidP="00110B5F" w:rsidR="00110B5F" w:rsidRPr="00110B5F">
      <w:pPr>
        <w:jc w:val="both"/>
        <w:rPr>
          <w:sz w:val="24"/>
          <w:szCs w:val="24"/>
        </w:rPr>
      </w:pPr>
      <w:r w:rsidRPr="00110B5F">
        <w:rPr>
          <w:sz w:val="24"/>
          <w:szCs w:val="24"/>
        </w:rPr>
        <w:t xml:space="preserve">Nadalje, društvo TOFRADO d.o.o. ne samo da nije izvan snage stavilo pravomoćno rješenje o ovrsi JB Maria Včelika iz Požege pod posl.br. Ovrv-90/09, već je tijekom 2013.g. temeljem te isprave pred Općinskim sudom u Šibeniku pod posl.br. Ovr-1350/13 pokrenulo ovrhu na svih sedam nekretnina u vlasništvu ovog stečajnog dužnika. Obzirom da se radi o ovršnoj ispravi koja se temelji na nepostojećem potraživanju, ovaj je stečajni dužnik pred Trgovačkim sudom u Zadru, Stalna služba u Šibeniku pokrenuo parnicu radi proglašenja te ovrhe nedopuštenom, a koja parnica se vodi pod posl.br. P-128/16 </w:t>
      </w:r>
    </w:p>
    <w:p w:rsidRDefault="00110B5F" w:rsidP="00110B5F" w:rsidR="00110B5F" w:rsidRPr="00110B5F">
      <w:pPr>
        <w:jc w:val="both"/>
        <w:rPr>
          <w:sz w:val="24"/>
          <w:szCs w:val="24"/>
        </w:rPr>
      </w:pPr>
    </w:p>
    <w:p w:rsidRDefault="00110B5F" w:rsidP="00110B5F" w:rsidR="00110B5F" w:rsidRPr="00110B5F">
      <w:pPr>
        <w:jc w:val="both"/>
        <w:rPr>
          <w:sz w:val="24"/>
          <w:szCs w:val="24"/>
        </w:rPr>
      </w:pPr>
      <w:r w:rsidRPr="00110B5F">
        <w:rPr>
          <w:sz w:val="24"/>
          <w:szCs w:val="24"/>
        </w:rPr>
        <w:t>Ovdje posebno naglašavam da društvo TOFRADO d.o.o. iz Pleternice ovom stečajnom dužniku nikada nije izdalo tabularnu ispravu radi upisa prava vlasništva, odnosno da je i na današnji dan u zemljišnim knjigama kao vlasnik stana upisano društvo TOFRADO d.o.o. iz Pleternice.</w:t>
      </w:r>
    </w:p>
    <w:p w:rsidRDefault="00110B5F" w:rsidP="00110B5F" w:rsidR="00110B5F" w:rsidRPr="00110B5F">
      <w:pPr>
        <w:jc w:val="both"/>
        <w:rPr>
          <w:sz w:val="24"/>
          <w:szCs w:val="24"/>
        </w:rPr>
      </w:pPr>
    </w:p>
    <w:p w:rsidRDefault="00110B5F" w:rsidP="00110B5F" w:rsidR="00110B5F" w:rsidRPr="00110B5F">
      <w:pPr>
        <w:jc w:val="both"/>
        <w:rPr>
          <w:sz w:val="24"/>
          <w:szCs w:val="24"/>
        </w:rPr>
      </w:pPr>
      <w:r w:rsidRPr="00110B5F">
        <w:rPr>
          <w:sz w:val="24"/>
          <w:szCs w:val="24"/>
        </w:rPr>
        <w:t>Nakon otvaranja stečajnog postupka stupila sam u kontakt sa stečajnim upraviteljem društva TOFRADO d.o.o. u stečaju iz Pleternice gosp. Jozom Perićem radi dogovora oko mirnog rješavanja gore navedenog spora no na žalost gosp. Perić za sada nije iskazao interes za mirno rješenje ovog spora.</w:t>
      </w:r>
    </w:p>
    <w:p w:rsidRDefault="00110B5F" w:rsidP="00110B5F" w:rsidR="00110B5F" w:rsidRPr="00110B5F">
      <w:pPr>
        <w:jc w:val="both"/>
        <w:rPr>
          <w:sz w:val="24"/>
          <w:szCs w:val="24"/>
        </w:rPr>
      </w:pPr>
    </w:p>
    <w:p w:rsidRDefault="00110B5F" w:rsidP="00110B5F" w:rsidR="00110B5F" w:rsidRPr="00110B5F">
      <w:pPr>
        <w:jc w:val="both"/>
        <w:rPr>
          <w:sz w:val="24"/>
          <w:szCs w:val="24"/>
        </w:rPr>
      </w:pPr>
      <w:r w:rsidRPr="00110B5F">
        <w:rPr>
          <w:sz w:val="24"/>
          <w:szCs w:val="24"/>
        </w:rPr>
        <w:lastRenderedPageBreak/>
        <w:t xml:space="preserve">Obzirom na činjenicu da je društvo H.G. NEKRETNINE d.o.o. društvu TOFRADO d.o.o. po osnovi kupoprodaje predmetne nekretnine nesporno uplatilo iznos od 1.200.619,10 kn koji iznos predstavlja 67,14% (1.200.619,10/1.788.240,67) ukupno ugovorene kupoprodajne cijene, te obzirom na činjenicu da se kupoprodaja ne može raskinuti jer ne postoje uvjeti da TOFRADO d.o.o. u stečaju ovom stečajnom dužniku vrati dio kupovnine koji je primio, smatram da je među strankama potrebno sklopiti aneks važećem kupoprodajnom ugovoru kojim će se definirati da je ovaj stečajni dužnik kupio 67% nekretnine po cijeni od 1.200.619,10 kn, naravno uz uvjet da istovremeno TOFRADO d.o.o. u stečaju kao prodavatelj ovom stečajnom dužniku izda tabularnu izjavu za upis vlasništva tog suvlasničkog dijela. Na ovaj će se način stvoriti uvjeti da oba stečajna dužnika svoje suvlasničke dijelove nekretnine unovče svaki u svom stečajnom postupku. Također, na ovaj bi se način sporazumno okončao i postupak ovrhe koja se vodi pred Općinskim sudom u Šibeniku pod posl.br. Ovr-1350/13, kao i parnica radi proglašenja ovrhe nedopuštenom koja se vodi pred Trgovačkim sudom u Zadru, Stalna služba u Šibeniku pod posl.br. P-128/16 iz razloga jer u slučaju ovog dogovora, ti postupci postaju bespredmetni. </w:t>
      </w:r>
    </w:p>
    <w:p w:rsidRDefault="00110B5F" w:rsidP="00110B5F" w:rsidR="00110B5F" w:rsidRPr="00110B5F">
      <w:pPr>
        <w:jc w:val="both"/>
        <w:rPr>
          <w:sz w:val="24"/>
          <w:szCs w:val="24"/>
        </w:rPr>
      </w:pPr>
    </w:p>
    <w:p w:rsidRDefault="00110B5F" w:rsidP="00110B5F" w:rsidR="00110B5F" w:rsidRPr="00110B5F">
      <w:pPr>
        <w:jc w:val="both"/>
        <w:rPr>
          <w:sz w:val="24"/>
          <w:szCs w:val="24"/>
        </w:rPr>
      </w:pPr>
    </w:p>
    <w:p w:rsidRDefault="00110B5F" w:rsidP="00110B5F" w:rsidR="00110B5F" w:rsidRPr="00110B5F">
      <w:pPr>
        <w:jc w:val="both"/>
        <w:rPr>
          <w:sz w:val="24"/>
          <w:szCs w:val="24"/>
        </w:rPr>
      </w:pPr>
      <w:r w:rsidRPr="00110B5F">
        <w:rPr>
          <w:b/>
          <w:sz w:val="24"/>
          <w:szCs w:val="24"/>
        </w:rPr>
        <w:t>Sudski postupci</w:t>
      </w:r>
    </w:p>
    <w:p w:rsidRDefault="00110B5F" w:rsidP="00110B5F" w:rsidR="00110B5F" w:rsidRPr="00110B5F">
      <w:pPr>
        <w:jc w:val="both"/>
        <w:rPr>
          <w:b/>
          <w:sz w:val="24"/>
          <w:szCs w:val="24"/>
        </w:rPr>
      </w:pPr>
    </w:p>
    <w:p w:rsidRDefault="00110B5F" w:rsidP="00110B5F" w:rsidR="00110B5F" w:rsidRPr="00110B5F">
      <w:pPr>
        <w:jc w:val="both"/>
        <w:rPr>
          <w:b/>
          <w:sz w:val="24"/>
          <w:szCs w:val="24"/>
        </w:rPr>
      </w:pPr>
      <w:r w:rsidRPr="00110B5F">
        <w:rPr>
          <w:sz w:val="24"/>
          <w:szCs w:val="24"/>
        </w:rPr>
        <w:t>Na dan otvaranja stečajnog postupka stečajni dužnik pred Trgovačkim sudom u Zadru, Stalna služba u Šibeniku pod posl.br. P-128/16 protiv društva TOFRADO d.o.o. u stečaju vodi parnicu radi proglašenja ovrhe nedopuštenom (Ovr-1350/13).</w:t>
      </w:r>
    </w:p>
    <w:p w:rsidRDefault="00110B5F" w:rsidP="00110B5F" w:rsidR="00110B5F" w:rsidRPr="00110B5F">
      <w:pPr>
        <w:jc w:val="both"/>
        <w:rPr>
          <w:b/>
          <w:sz w:val="24"/>
          <w:szCs w:val="24"/>
        </w:rPr>
      </w:pPr>
    </w:p>
    <w:p w:rsidRDefault="00110B5F" w:rsidP="00110B5F" w:rsidR="00110B5F" w:rsidRPr="00110B5F">
      <w:pPr>
        <w:jc w:val="both"/>
        <w:rPr>
          <w:sz w:val="24"/>
          <w:szCs w:val="24"/>
        </w:rPr>
      </w:pPr>
      <w:r w:rsidRPr="00110B5F">
        <w:rPr>
          <w:b/>
          <w:sz w:val="24"/>
          <w:szCs w:val="24"/>
        </w:rPr>
        <w:t>Zaključak</w:t>
      </w:r>
    </w:p>
    <w:p w:rsidRDefault="00110B5F" w:rsidP="00110B5F" w:rsidR="00110B5F" w:rsidRPr="00110B5F">
      <w:pPr>
        <w:jc w:val="both"/>
        <w:rPr>
          <w:sz w:val="24"/>
          <w:szCs w:val="24"/>
        </w:rPr>
      </w:pPr>
    </w:p>
    <w:p w:rsidRDefault="00110B5F" w:rsidP="00110B5F" w:rsidR="00110B5F" w:rsidRPr="00110B5F">
      <w:pPr>
        <w:jc w:val="both"/>
        <w:rPr>
          <w:sz w:val="24"/>
          <w:szCs w:val="24"/>
        </w:rPr>
      </w:pPr>
      <w:r w:rsidRPr="00110B5F">
        <w:rPr>
          <w:sz w:val="24"/>
          <w:szCs w:val="24"/>
        </w:rPr>
        <w:t>Za ispitno ročište prijavljeno je ukupno 15.515.891,14 kn, od čega je 14.038.803,32 kn priznato kao tražbine vjerovnika 2. višeg isplatnog reda dok je iznos od 1.477.087,82 kn osporen.</w:t>
      </w:r>
    </w:p>
    <w:p w:rsidRDefault="00110B5F" w:rsidP="00110B5F" w:rsidR="00110B5F" w:rsidRPr="00110B5F">
      <w:pPr>
        <w:jc w:val="both"/>
        <w:rPr>
          <w:sz w:val="24"/>
          <w:szCs w:val="24"/>
        </w:rPr>
      </w:pPr>
    </w:p>
    <w:p w:rsidRDefault="00110B5F" w:rsidP="005F4968" w:rsidR="005F4968" w:rsidRPr="00110B5F">
      <w:pPr>
        <w:jc w:val="both"/>
        <w:rPr>
          <w:sz w:val="24"/>
          <w:szCs w:val="24"/>
        </w:rPr>
      </w:pPr>
      <w:r w:rsidRPr="00110B5F">
        <w:rPr>
          <w:sz w:val="24"/>
          <w:szCs w:val="24"/>
        </w:rPr>
        <w:t>Obzirom na činjenicu da su sve nekretnine opterećene razlučnim pravima više razlučnih vjerovnika, za tražbine koje višestruko prelaze njihovu tržišnu vrijednost, predmnijevam da stečajna masa neće biti dostatna niti za djelomično namirenje stečajnih vjerovnika.</w:t>
      </w:r>
    </w:p>
    <w:p w:rsidRDefault="005F4968" w:rsidP="00515EF4" w:rsidR="005F4968" w:rsidRPr="00110B5F">
      <w:pPr>
        <w:ind w:firstLine="720"/>
        <w:jc w:val="both"/>
        <w:rPr>
          <w:bCs/>
          <w:sz w:val="24"/>
          <w:szCs w:val="24"/>
        </w:rPr>
      </w:pPr>
    </w:p>
    <w:p w:rsidRDefault="00E637B8" w:rsidP="00515EF4" w:rsidR="00E637B8" w:rsidRPr="00110B5F">
      <w:pPr>
        <w:ind w:firstLine="720"/>
        <w:jc w:val="both"/>
        <w:rPr>
          <w:sz w:val="24"/>
          <w:szCs w:val="24"/>
        </w:rPr>
      </w:pPr>
      <w:r w:rsidRPr="00110B5F">
        <w:rPr>
          <w:sz w:val="24"/>
          <w:szCs w:val="24"/>
        </w:rPr>
        <w:t xml:space="preserve">Sud upoznaje nazočne da prema čl. 106. st 1. SZ pravo glasa imaju stečajni vjerovnici čije su tražbine utvrđene. Pravo glasa imaju i vjerovnici osporenih tražbina, ako postojanje svoje tražbine dokazuju ovršnom ispravom, osim ako se javnom ili javno ovjerovljenom ispravom ne dokaže prestanak postojanja tražbine, no u ovom konkretnom stečajnom postupku nad navedenim dužnikom nema osporenih tražbina. </w:t>
      </w:r>
    </w:p>
    <w:p w:rsidRDefault="00E637B8" w:rsidP="00515EF4" w:rsidR="00E637B8" w:rsidRPr="00110B5F">
      <w:pPr>
        <w:ind w:firstLine="720"/>
        <w:jc w:val="both"/>
        <w:rPr>
          <w:sz w:val="24"/>
          <w:szCs w:val="24"/>
        </w:rPr>
      </w:pPr>
    </w:p>
    <w:p w:rsidRDefault="00E637B8" w:rsidP="00515EF4" w:rsidR="00E637B8" w:rsidRPr="00110B5F">
      <w:pPr>
        <w:ind w:firstLine="720"/>
        <w:jc w:val="both"/>
        <w:rPr>
          <w:sz w:val="24"/>
          <w:szCs w:val="24"/>
        </w:rPr>
      </w:pPr>
      <w:r w:rsidRPr="00110B5F">
        <w:rPr>
          <w:sz w:val="24"/>
          <w:szCs w:val="24"/>
        </w:rPr>
        <w:t xml:space="preserve"> Na temelju odredbe čl. 105. st. 2. SZ-a smatra se da je na skupštini vjerovnika odluka donesena ako zbroj iznosa tražbina stečajnih vjerovnika koji su glasovali za neku odluku iznosi više od zbroja iznosa tražbina vjerovnika koji su glasovali protiv te odluke. </w:t>
      </w:r>
    </w:p>
    <w:p w:rsidRDefault="00E637B8" w:rsidP="00515EF4" w:rsidR="00E637B8" w:rsidRPr="00110B5F">
      <w:pPr>
        <w:jc w:val="both"/>
        <w:rPr>
          <w:sz w:val="24"/>
          <w:szCs w:val="24"/>
        </w:rPr>
      </w:pPr>
    </w:p>
    <w:p w:rsidRDefault="00E637B8" w:rsidP="00515EF4" w:rsidR="00E637B8" w:rsidRPr="00110B5F">
      <w:pPr>
        <w:ind w:firstLine="720"/>
        <w:jc w:val="both"/>
        <w:rPr>
          <w:sz w:val="24"/>
          <w:szCs w:val="24"/>
        </w:rPr>
      </w:pPr>
      <w:r w:rsidRPr="00110B5F">
        <w:rPr>
          <w:sz w:val="24"/>
          <w:szCs w:val="24"/>
        </w:rPr>
        <w:t xml:space="preserve">Sud obavještava vjerovnike kako će se glasovati dizanjem ruke. Nakon glasovanja  sud će objaviti rezultate glasovanja. </w:t>
      </w:r>
    </w:p>
    <w:p w:rsidRDefault="00E637B8" w:rsidP="00C62C16" w:rsidR="00E637B8" w:rsidRPr="00110B5F">
      <w:pPr>
        <w:ind w:firstLine="720"/>
        <w:jc w:val="both"/>
        <w:rPr>
          <w:bCs/>
          <w:sz w:val="24"/>
          <w:szCs w:val="24"/>
        </w:rPr>
      </w:pPr>
    </w:p>
    <w:p w:rsidRDefault="00455FA4" w:rsidP="00455FA4" w:rsidR="00F709A9">
      <w:pPr>
        <w:jc w:val="both"/>
        <w:rPr>
          <w:bCs/>
          <w:sz w:val="24"/>
          <w:szCs w:val="24"/>
        </w:rPr>
      </w:pPr>
      <w:r>
        <w:rPr>
          <w:bCs/>
          <w:sz w:val="24"/>
          <w:szCs w:val="24"/>
        </w:rPr>
        <w:t xml:space="preserve">Punomoćnik vjerovnika UPIMOL 2000 d.o.o., OIB: 65759966884, </w:t>
      </w:r>
      <w:r w:rsidRPr="004921CA">
        <w:rPr>
          <w:bCs/>
          <w:sz w:val="24"/>
          <w:szCs w:val="24"/>
        </w:rPr>
        <w:t>Partizanska 39, 2310 Slovenska Bistrica, Slovenija</w:t>
      </w:r>
      <w:r>
        <w:rPr>
          <w:bCs/>
          <w:sz w:val="24"/>
          <w:szCs w:val="24"/>
        </w:rPr>
        <w:t xml:space="preserve"> predlaže da se od OS Šibenik sukladno čl. 169. SZ-a obustavi predmetna ovrha pod brojem Ovr-1350/13 i da se predmet dostavi ovome sudu na daljnje postupanje. Isto tako predlaže na okolnost procjene vrijednosti nekretnine koja je opterećena razlučnim pravom UPIMOL 2000 d.o.o., OIB: 65759966884, </w:t>
      </w:r>
      <w:r w:rsidRPr="004921CA">
        <w:rPr>
          <w:bCs/>
          <w:sz w:val="24"/>
          <w:szCs w:val="24"/>
        </w:rPr>
        <w:t xml:space="preserve">Partizanska 39, 2310 Slovenska </w:t>
      </w:r>
      <w:r w:rsidRPr="004921CA">
        <w:rPr>
          <w:bCs/>
          <w:sz w:val="24"/>
          <w:szCs w:val="24"/>
        </w:rPr>
        <w:lastRenderedPageBreak/>
        <w:t>Bistrica, Slovenija</w:t>
      </w:r>
      <w:r>
        <w:rPr>
          <w:bCs/>
          <w:sz w:val="24"/>
          <w:szCs w:val="24"/>
        </w:rPr>
        <w:t xml:space="preserve"> da se odredi vještačenje čije troškove će po pozivu suda predujmiti UPIMOL 2000 d.o.o., OIB: 65759966884, </w:t>
      </w:r>
      <w:r w:rsidRPr="004921CA">
        <w:rPr>
          <w:bCs/>
          <w:sz w:val="24"/>
          <w:szCs w:val="24"/>
        </w:rPr>
        <w:t>Partizanska 39, 2310 Slovenska Bistrica, Slovenija</w:t>
      </w:r>
      <w:r>
        <w:rPr>
          <w:bCs/>
          <w:sz w:val="24"/>
          <w:szCs w:val="24"/>
        </w:rPr>
        <w:t>.</w:t>
      </w:r>
    </w:p>
    <w:p w:rsidRDefault="008B25B7" w:rsidP="00455FA4" w:rsidR="008B25B7">
      <w:pPr>
        <w:jc w:val="both"/>
        <w:rPr>
          <w:bCs/>
          <w:sz w:val="24"/>
          <w:szCs w:val="24"/>
        </w:rPr>
      </w:pPr>
    </w:p>
    <w:p w:rsidRDefault="008B25B7" w:rsidP="00455FA4" w:rsidR="008B25B7">
      <w:pPr>
        <w:jc w:val="both"/>
        <w:rPr>
          <w:bCs/>
          <w:sz w:val="24"/>
          <w:szCs w:val="24"/>
        </w:rPr>
      </w:pPr>
      <w:r>
        <w:rPr>
          <w:bCs/>
          <w:sz w:val="24"/>
          <w:szCs w:val="24"/>
        </w:rPr>
        <w:t>Stečajni upravitelj navodi da je u posjedu svih nekretnina u vlasništvu</w:t>
      </w:r>
      <w:r w:rsidR="007D0C12">
        <w:rPr>
          <w:bCs/>
          <w:sz w:val="24"/>
          <w:szCs w:val="24"/>
        </w:rPr>
        <w:t xml:space="preserve"> stečajnog dužnika.</w:t>
      </w:r>
    </w:p>
    <w:p w:rsidRDefault="00F709A9" w:rsidP="00455FA4" w:rsidR="00F709A9">
      <w:pPr>
        <w:jc w:val="both"/>
        <w:rPr>
          <w:bCs/>
          <w:sz w:val="24"/>
          <w:szCs w:val="24"/>
        </w:rPr>
      </w:pPr>
    </w:p>
    <w:p w:rsidRDefault="001E5599" w:rsidP="00D41E30" w:rsidR="00A7081A" w:rsidRPr="00110B5F">
      <w:pPr>
        <w:ind w:firstLine="720"/>
        <w:jc w:val="both"/>
        <w:rPr>
          <w:bCs/>
          <w:sz w:val="24"/>
          <w:szCs w:val="24"/>
        </w:rPr>
      </w:pPr>
      <w:r w:rsidRPr="00110B5F">
        <w:rPr>
          <w:bCs/>
          <w:sz w:val="24"/>
          <w:szCs w:val="24"/>
        </w:rPr>
        <w:t>Prisutni stečajni vjerovni</w:t>
      </w:r>
      <w:r w:rsidR="00D41E30" w:rsidRPr="00110B5F">
        <w:rPr>
          <w:bCs/>
          <w:sz w:val="24"/>
          <w:szCs w:val="24"/>
        </w:rPr>
        <w:t xml:space="preserve">ci </w:t>
      </w:r>
      <w:r w:rsidR="005928D1" w:rsidRPr="00110B5F">
        <w:rPr>
          <w:bCs/>
          <w:sz w:val="24"/>
          <w:szCs w:val="24"/>
        </w:rPr>
        <w:t>suglas</w:t>
      </w:r>
      <w:r w:rsidR="00F70574" w:rsidRPr="00110B5F">
        <w:rPr>
          <w:bCs/>
          <w:sz w:val="24"/>
          <w:szCs w:val="24"/>
        </w:rPr>
        <w:t>n</w:t>
      </w:r>
      <w:r w:rsidR="00D41E30" w:rsidRPr="00110B5F">
        <w:rPr>
          <w:bCs/>
          <w:sz w:val="24"/>
          <w:szCs w:val="24"/>
        </w:rPr>
        <w:t>i su</w:t>
      </w:r>
      <w:r w:rsidR="00F70574" w:rsidRPr="00110B5F">
        <w:rPr>
          <w:bCs/>
          <w:sz w:val="24"/>
          <w:szCs w:val="24"/>
        </w:rPr>
        <w:t xml:space="preserve"> da</w:t>
      </w:r>
      <w:r w:rsidR="00A30477" w:rsidRPr="00110B5F">
        <w:rPr>
          <w:bCs/>
          <w:sz w:val="24"/>
          <w:szCs w:val="24"/>
        </w:rPr>
        <w:t xml:space="preserve"> se donesu </w:t>
      </w:r>
      <w:r w:rsidR="002B7B9E" w:rsidRPr="00110B5F">
        <w:rPr>
          <w:bCs/>
          <w:sz w:val="24"/>
          <w:szCs w:val="24"/>
        </w:rPr>
        <w:t>sljedeće:</w:t>
      </w:r>
    </w:p>
    <w:p w:rsidRDefault="007752F6" w:rsidP="00C62C16" w:rsidR="007752F6" w:rsidRPr="00110B5F">
      <w:pPr>
        <w:jc w:val="both"/>
        <w:rPr>
          <w:bCs/>
          <w:sz w:val="24"/>
          <w:szCs w:val="24"/>
        </w:rPr>
      </w:pPr>
    </w:p>
    <w:p w:rsidRDefault="00A7081A" w:rsidP="00C6522F" w:rsidR="008D2F0C" w:rsidRPr="00110B5F">
      <w:pPr>
        <w:jc w:val="center"/>
        <w:rPr>
          <w:bCs/>
          <w:sz w:val="24"/>
          <w:szCs w:val="24"/>
        </w:rPr>
      </w:pPr>
      <w:r w:rsidRPr="00110B5F">
        <w:rPr>
          <w:bCs/>
          <w:sz w:val="24"/>
          <w:szCs w:val="24"/>
        </w:rPr>
        <w:t>O D L U K E</w:t>
      </w:r>
    </w:p>
    <w:p w:rsidRDefault="007752F6" w:rsidP="00C62C16" w:rsidR="007752F6" w:rsidRPr="00110B5F">
      <w:pPr>
        <w:jc w:val="both"/>
        <w:rPr>
          <w:bCs/>
          <w:sz w:val="24"/>
          <w:szCs w:val="24"/>
        </w:rPr>
      </w:pPr>
    </w:p>
    <w:p w:rsidRDefault="00110B5F" w:rsidP="00110B5F" w:rsidR="00110B5F" w:rsidRPr="00110B5F">
      <w:pPr>
        <w:numPr>
          <w:ilvl w:val="0"/>
          <w:numId w:val="31"/>
        </w:numPr>
        <w:overflowPunct/>
        <w:autoSpaceDE/>
        <w:autoSpaceDN/>
        <w:adjustRightInd/>
        <w:jc w:val="both"/>
        <w:textAlignment w:val="auto"/>
        <w:rPr>
          <w:sz w:val="24"/>
          <w:szCs w:val="24"/>
        </w:rPr>
      </w:pPr>
      <w:r w:rsidRPr="00110B5F">
        <w:rPr>
          <w:sz w:val="24"/>
          <w:szCs w:val="24"/>
        </w:rPr>
        <w:t>Prihvaća se u cijelosti izvješće stečajnog upravitelja o gospodarskom položaju stečajnog dužnika i njegovim uzrocima.</w:t>
      </w:r>
    </w:p>
    <w:p w:rsidRDefault="00110B5F" w:rsidP="00110B5F" w:rsidR="00110B5F" w:rsidRPr="00110B5F">
      <w:pPr>
        <w:numPr>
          <w:ilvl w:val="0"/>
          <w:numId w:val="31"/>
        </w:numPr>
        <w:overflowPunct/>
        <w:autoSpaceDE/>
        <w:autoSpaceDN/>
        <w:adjustRightInd/>
        <w:jc w:val="both"/>
        <w:textAlignment w:val="auto"/>
        <w:rPr>
          <w:sz w:val="24"/>
          <w:szCs w:val="24"/>
        </w:rPr>
      </w:pPr>
      <w:r w:rsidRPr="00110B5F">
        <w:rPr>
          <w:sz w:val="24"/>
          <w:szCs w:val="24"/>
        </w:rPr>
        <w:t>Ovlašćuje se stečajni upravitelj nekretnine dužnika dati u zakup za razdoblje koje može biti i dulje od 6 mjeseci</w:t>
      </w:r>
      <w:r w:rsidR="004D07EF">
        <w:rPr>
          <w:sz w:val="24"/>
          <w:szCs w:val="24"/>
        </w:rPr>
        <w:t xml:space="preserve">, time da će se visina zakupnine definirati nakon pristiglih ponuda, a o čemu će stečajni upravitelj izvijestiti sud i vjerovnike, osim nekretnine etažno vlasništvo E-6, razlučno pravo </w:t>
      </w:r>
      <w:r w:rsidR="004D07EF">
        <w:rPr>
          <w:bCs/>
          <w:sz w:val="24"/>
          <w:szCs w:val="24"/>
        </w:rPr>
        <w:t xml:space="preserve">UPIMOL 2000 d.o.o., OIB: 65759966884, </w:t>
      </w:r>
      <w:r w:rsidR="004D07EF" w:rsidRPr="004921CA">
        <w:rPr>
          <w:bCs/>
          <w:sz w:val="24"/>
          <w:szCs w:val="24"/>
        </w:rPr>
        <w:t>Partizanska 39, 2310 Slovenska Bistrica, Slovenija</w:t>
      </w:r>
      <w:r w:rsidRPr="00110B5F">
        <w:rPr>
          <w:sz w:val="24"/>
          <w:szCs w:val="24"/>
        </w:rPr>
        <w:t>.</w:t>
      </w:r>
    </w:p>
    <w:p w:rsidRDefault="00110B5F" w:rsidP="00917B8D" w:rsidR="00917B8D" w:rsidRPr="00917B8D">
      <w:pPr>
        <w:numPr>
          <w:ilvl w:val="0"/>
          <w:numId w:val="31"/>
        </w:numPr>
        <w:overflowPunct/>
        <w:autoSpaceDE/>
        <w:autoSpaceDN/>
        <w:adjustRightInd/>
        <w:jc w:val="both"/>
        <w:textAlignment w:val="auto"/>
        <w:rPr>
          <w:sz w:val="24"/>
          <w:szCs w:val="24"/>
        </w:rPr>
      </w:pPr>
      <w:r w:rsidRPr="00110B5F">
        <w:rPr>
          <w:sz w:val="24"/>
          <w:szCs w:val="24"/>
        </w:rPr>
        <w:t xml:space="preserve">Ovlašćuje se stečajni upravitelj </w:t>
      </w:r>
      <w:r w:rsidR="00074A3D">
        <w:rPr>
          <w:sz w:val="24"/>
          <w:szCs w:val="24"/>
        </w:rPr>
        <w:t xml:space="preserve">da ocijeni i ispita opravdanost eventualnog vođenja parničnog postupka protiv stečajnog dužnika </w:t>
      </w:r>
      <w:r w:rsidR="00074A3D" w:rsidRPr="00110B5F">
        <w:rPr>
          <w:sz w:val="24"/>
          <w:szCs w:val="24"/>
        </w:rPr>
        <w:t>TOFRADO d.o.o. u stečaju</w:t>
      </w:r>
      <w:r w:rsidR="00074A3D">
        <w:rPr>
          <w:sz w:val="24"/>
          <w:szCs w:val="24"/>
        </w:rPr>
        <w:t xml:space="preserve"> vezano za nekretninu za koju bi trebalo izdati tabularnu ispravu, s obzirom da na to da je ovaj stečajni dužnik istu kupio za 67 % vrijednosti nekretnine, i o tome obavijestiti sud i vjerovnike, kako bi se donijela odluka na slijedećoj skupštini za pokretanje takve parnice. </w:t>
      </w:r>
    </w:p>
    <w:p w:rsidRDefault="00110B5F" w:rsidP="00C62C16" w:rsidR="00626120">
      <w:pPr>
        <w:numPr>
          <w:ilvl w:val="0"/>
          <w:numId w:val="31"/>
        </w:numPr>
        <w:overflowPunct/>
        <w:autoSpaceDE/>
        <w:autoSpaceDN/>
        <w:adjustRightInd/>
        <w:jc w:val="both"/>
        <w:textAlignment w:val="auto"/>
        <w:rPr>
          <w:sz w:val="24"/>
          <w:szCs w:val="24"/>
        </w:rPr>
      </w:pPr>
      <w:r w:rsidRPr="00110B5F">
        <w:rPr>
          <w:sz w:val="24"/>
          <w:szCs w:val="24"/>
        </w:rPr>
        <w:t>Ovlašćuje se stečajni upravitelj</w:t>
      </w:r>
      <w:r w:rsidR="00917B8D">
        <w:rPr>
          <w:sz w:val="24"/>
          <w:szCs w:val="24"/>
        </w:rPr>
        <w:t xml:space="preserve"> nastaviti sve postupke koji su u tijeku, a gdje je stečajni dužnik ovrhovoditelj i tužitelj i to pod brojem P-128/16 TS Zadar, SS Šibenik i Ovr-1350/13 OS Šibenik. </w:t>
      </w:r>
    </w:p>
    <w:p w:rsidRDefault="008B25B7" w:rsidP="00C62C16" w:rsidR="008B25B7" w:rsidRPr="00917B8D">
      <w:pPr>
        <w:numPr>
          <w:ilvl w:val="0"/>
          <w:numId w:val="31"/>
        </w:numPr>
        <w:overflowPunct/>
        <w:autoSpaceDE/>
        <w:autoSpaceDN/>
        <w:adjustRightInd/>
        <w:jc w:val="both"/>
        <w:textAlignment w:val="auto"/>
        <w:rPr>
          <w:sz w:val="24"/>
          <w:szCs w:val="24"/>
        </w:rPr>
      </w:pPr>
    </w:p>
    <w:p w:rsidRDefault="004D07EF" w:rsidP="00C62C16" w:rsidR="004D07EF" w:rsidRPr="00110B5F">
      <w:pPr>
        <w:pStyle w:val="Bezproreda2"/>
        <w:jc w:val="both"/>
        <w:rPr>
          <w:rFonts w:hAnsi="Times New Roman" w:ascii="Times New Roman"/>
          <w:sz w:val="24"/>
          <w:szCs w:val="24"/>
          <w:lang w:val="pl-PL"/>
        </w:rPr>
      </w:pPr>
    </w:p>
    <w:p w:rsidRDefault="000079B9" w:rsidP="00C62C16" w:rsidR="000079B9" w:rsidRPr="00110B5F">
      <w:pPr>
        <w:overflowPunct/>
        <w:autoSpaceDE/>
        <w:autoSpaceDN/>
        <w:adjustRightInd/>
        <w:jc w:val="both"/>
        <w:textAlignment w:val="auto"/>
        <w:rPr>
          <w:sz w:val="24"/>
          <w:szCs w:val="24"/>
        </w:rPr>
      </w:pPr>
      <w:r w:rsidRPr="00110B5F">
        <w:rPr>
          <w:sz w:val="24"/>
          <w:szCs w:val="24"/>
          <w:lang w:val="pl-PL"/>
        </w:rPr>
        <w:t>Sud donosi</w:t>
      </w:r>
    </w:p>
    <w:p w:rsidRDefault="000079B9" w:rsidP="00C6522F" w:rsidR="000079B9" w:rsidRPr="00110B5F">
      <w:pPr>
        <w:jc w:val="center"/>
        <w:rPr>
          <w:sz w:val="24"/>
          <w:szCs w:val="24"/>
          <w:lang w:val="pl-PL"/>
        </w:rPr>
      </w:pPr>
      <w:r w:rsidRPr="00110B5F">
        <w:rPr>
          <w:sz w:val="24"/>
          <w:szCs w:val="24"/>
          <w:lang w:val="pl-PL"/>
        </w:rPr>
        <w:t>Rješenje</w:t>
      </w:r>
    </w:p>
    <w:p w:rsidRDefault="000079B9" w:rsidP="00C62C16" w:rsidR="000079B9" w:rsidRPr="00110B5F">
      <w:pPr>
        <w:jc w:val="both"/>
        <w:rPr>
          <w:sz w:val="24"/>
          <w:szCs w:val="24"/>
          <w:lang w:val="pl-PL"/>
        </w:rPr>
      </w:pPr>
    </w:p>
    <w:p w:rsidRDefault="000079B9" w:rsidP="00C6522F" w:rsidR="0013610F" w:rsidRPr="00110B5F">
      <w:pPr>
        <w:ind w:firstLine="720"/>
        <w:jc w:val="both"/>
        <w:rPr>
          <w:sz w:val="24"/>
          <w:szCs w:val="24"/>
          <w:lang w:val="pl-PL"/>
        </w:rPr>
      </w:pPr>
      <w:r w:rsidRPr="00110B5F">
        <w:rPr>
          <w:sz w:val="24"/>
          <w:szCs w:val="24"/>
          <w:lang w:val="pl-PL"/>
        </w:rPr>
        <w:t xml:space="preserve">Daljnja odluka pismeno. </w:t>
      </w:r>
    </w:p>
    <w:p w:rsidRDefault="004A38B4" w:rsidP="00C6522F" w:rsidR="00853FF6" w:rsidRPr="00110B5F">
      <w:pPr>
        <w:jc w:val="center"/>
        <w:rPr>
          <w:bCs/>
          <w:sz w:val="24"/>
          <w:szCs w:val="24"/>
        </w:rPr>
      </w:pPr>
      <w:r w:rsidRPr="00110B5F">
        <w:rPr>
          <w:bCs/>
          <w:sz w:val="24"/>
          <w:szCs w:val="24"/>
        </w:rPr>
        <w:t>D</w:t>
      </w:r>
      <w:r w:rsidR="00853FF6" w:rsidRPr="00110B5F">
        <w:rPr>
          <w:bCs/>
          <w:sz w:val="24"/>
          <w:szCs w:val="24"/>
        </w:rPr>
        <w:t>ovršeno u</w:t>
      </w:r>
      <w:r w:rsidR="00862E38" w:rsidRPr="00110B5F">
        <w:rPr>
          <w:bCs/>
          <w:sz w:val="24"/>
          <w:szCs w:val="24"/>
        </w:rPr>
        <w:t xml:space="preserve"> </w:t>
      </w:r>
      <w:r w:rsidR="00F70574" w:rsidRPr="00110B5F">
        <w:rPr>
          <w:bCs/>
          <w:sz w:val="24"/>
          <w:szCs w:val="24"/>
        </w:rPr>
        <w:t>10,</w:t>
      </w:r>
      <w:r w:rsidR="00917B8D">
        <w:rPr>
          <w:bCs/>
          <w:sz w:val="24"/>
          <w:szCs w:val="24"/>
        </w:rPr>
        <w:t>31</w:t>
      </w:r>
      <w:r w:rsidR="00E14047" w:rsidRPr="00110B5F">
        <w:rPr>
          <w:bCs/>
          <w:sz w:val="24"/>
          <w:szCs w:val="24"/>
        </w:rPr>
        <w:t xml:space="preserve"> </w:t>
      </w:r>
      <w:r w:rsidR="00862E38" w:rsidRPr="00110B5F">
        <w:rPr>
          <w:bCs/>
          <w:sz w:val="24"/>
          <w:szCs w:val="24"/>
        </w:rPr>
        <w:t>sati</w:t>
      </w:r>
    </w:p>
    <w:p w:rsidRDefault="00FF4310" w:rsidP="00C62C16" w:rsidR="00FF4310" w:rsidRPr="00110B5F">
      <w:pPr>
        <w:jc w:val="both"/>
        <w:rPr>
          <w:bCs/>
          <w:sz w:val="24"/>
          <w:szCs w:val="24"/>
        </w:rPr>
      </w:pPr>
    </w:p>
    <w:p w:rsidRDefault="001B2756" w:rsidP="00C6522F" w:rsidR="00853FF6" w:rsidRPr="00110B5F">
      <w:pPr>
        <w:jc w:val="center"/>
        <w:rPr>
          <w:bCs/>
          <w:sz w:val="24"/>
          <w:szCs w:val="24"/>
        </w:rPr>
      </w:pPr>
      <w:r w:rsidRPr="00110B5F">
        <w:rPr>
          <w:bCs/>
          <w:sz w:val="24"/>
          <w:szCs w:val="24"/>
        </w:rPr>
        <w:t>S</w:t>
      </w:r>
      <w:r w:rsidR="00037E28" w:rsidRPr="00110B5F">
        <w:rPr>
          <w:bCs/>
          <w:sz w:val="24"/>
          <w:szCs w:val="24"/>
        </w:rPr>
        <w:t>udac</w:t>
      </w:r>
      <w:r w:rsidR="00F85D7A" w:rsidRPr="00110B5F">
        <w:rPr>
          <w:bCs/>
          <w:sz w:val="24"/>
          <w:szCs w:val="24"/>
        </w:rPr>
        <w:t>:</w:t>
      </w:r>
    </w:p>
    <w:p w:rsidRDefault="008B28EF" w:rsidP="00C62C16" w:rsidR="003E49B9" w:rsidRPr="00110B5F">
      <w:pPr>
        <w:jc w:val="both"/>
        <w:rPr>
          <w:bCs/>
          <w:sz w:val="24"/>
          <w:szCs w:val="24"/>
        </w:rPr>
      </w:pPr>
      <w:r w:rsidRPr="00110B5F">
        <w:rPr>
          <w:bCs/>
          <w:sz w:val="24"/>
          <w:szCs w:val="24"/>
        </w:rPr>
        <w:t xml:space="preserve">                                                                Vesna Sremac Šoštar</w:t>
      </w:r>
    </w:p>
    <w:p w:rsidRDefault="00853FF6" w:rsidP="00C62C16" w:rsidR="00853FF6" w:rsidRPr="00110B5F">
      <w:pPr>
        <w:jc w:val="both"/>
        <w:rPr>
          <w:bCs/>
          <w:sz w:val="24"/>
          <w:szCs w:val="24"/>
        </w:rPr>
      </w:pPr>
    </w:p>
    <w:p w:rsidRDefault="00853FF6" w:rsidP="00C6522F" w:rsidR="00853FF6" w:rsidRPr="00110B5F">
      <w:pPr>
        <w:jc w:val="center"/>
        <w:rPr>
          <w:bCs/>
          <w:sz w:val="24"/>
          <w:szCs w:val="24"/>
        </w:rPr>
      </w:pPr>
      <w:r w:rsidRPr="00110B5F">
        <w:rPr>
          <w:bCs/>
          <w:sz w:val="24"/>
          <w:szCs w:val="24"/>
        </w:rPr>
        <w:t>Zapisničar</w:t>
      </w:r>
      <w:r w:rsidR="00F85D7A" w:rsidRPr="00110B5F">
        <w:rPr>
          <w:bCs/>
          <w:sz w:val="24"/>
          <w:szCs w:val="24"/>
        </w:rPr>
        <w:t>:</w:t>
      </w:r>
    </w:p>
    <w:p w:rsidRDefault="0075064E" w:rsidP="00C6522F" w:rsidR="008B28EF" w:rsidRPr="00110B5F">
      <w:pPr>
        <w:jc w:val="center"/>
        <w:rPr>
          <w:bCs/>
          <w:sz w:val="24"/>
          <w:szCs w:val="24"/>
        </w:rPr>
      </w:pPr>
      <w:r w:rsidRPr="00110B5F">
        <w:rPr>
          <w:bCs/>
          <w:sz w:val="24"/>
          <w:szCs w:val="24"/>
        </w:rPr>
        <w:t>Matea Bizjak</w:t>
      </w:r>
    </w:p>
    <w:p w:rsidRDefault="00853FF6" w:rsidP="00C62C16" w:rsidR="00853FF6" w:rsidRPr="00110B5F">
      <w:pPr>
        <w:jc w:val="both"/>
        <w:rPr>
          <w:bCs/>
          <w:sz w:val="24"/>
          <w:szCs w:val="24"/>
        </w:rPr>
      </w:pPr>
    </w:p>
    <w:p w:rsidRDefault="003E49B9" w:rsidP="00C62C16" w:rsidR="003E49B9" w:rsidRPr="00110B5F">
      <w:pPr>
        <w:jc w:val="both"/>
        <w:rPr>
          <w:bCs/>
          <w:sz w:val="24"/>
          <w:szCs w:val="24"/>
        </w:rPr>
      </w:pPr>
    </w:p>
    <w:p w:rsidRDefault="00037E28" w:rsidP="00C62C16" w:rsidR="003E49B9" w:rsidRPr="00110B5F">
      <w:pPr>
        <w:jc w:val="both"/>
        <w:rPr>
          <w:bCs/>
          <w:sz w:val="24"/>
          <w:szCs w:val="24"/>
        </w:rPr>
      </w:pPr>
      <w:r w:rsidRPr="00110B5F">
        <w:rPr>
          <w:bCs/>
          <w:sz w:val="24"/>
          <w:szCs w:val="24"/>
        </w:rPr>
        <w:t>Stečajni upravitelj</w:t>
      </w:r>
      <w:r w:rsidR="00F85D7A" w:rsidRPr="00110B5F">
        <w:rPr>
          <w:bCs/>
          <w:sz w:val="24"/>
          <w:szCs w:val="24"/>
        </w:rPr>
        <w:t>:</w:t>
      </w:r>
      <w:r w:rsidRPr="00110B5F">
        <w:rPr>
          <w:bCs/>
          <w:sz w:val="24"/>
          <w:szCs w:val="24"/>
        </w:rPr>
        <w:tab/>
      </w:r>
      <w:r w:rsidRPr="00110B5F">
        <w:rPr>
          <w:bCs/>
          <w:sz w:val="24"/>
          <w:szCs w:val="24"/>
        </w:rPr>
        <w:tab/>
      </w:r>
      <w:r w:rsidRPr="00110B5F">
        <w:rPr>
          <w:bCs/>
          <w:sz w:val="24"/>
          <w:szCs w:val="24"/>
        </w:rPr>
        <w:tab/>
      </w:r>
      <w:r w:rsidRPr="00110B5F">
        <w:rPr>
          <w:bCs/>
          <w:sz w:val="24"/>
          <w:szCs w:val="24"/>
        </w:rPr>
        <w:tab/>
      </w:r>
      <w:r w:rsidRPr="00110B5F">
        <w:rPr>
          <w:bCs/>
          <w:sz w:val="24"/>
          <w:szCs w:val="24"/>
        </w:rPr>
        <w:tab/>
      </w:r>
      <w:r w:rsidRPr="00110B5F">
        <w:rPr>
          <w:bCs/>
          <w:sz w:val="24"/>
          <w:szCs w:val="24"/>
        </w:rPr>
        <w:tab/>
      </w:r>
      <w:r w:rsidRPr="00110B5F">
        <w:rPr>
          <w:bCs/>
          <w:sz w:val="24"/>
          <w:szCs w:val="24"/>
        </w:rPr>
        <w:tab/>
        <w:t xml:space="preserve">  </w:t>
      </w:r>
    </w:p>
    <w:p w:rsidRDefault="007E2511" w:rsidP="00C62C16" w:rsidR="007E2511" w:rsidRPr="00110B5F">
      <w:pPr>
        <w:jc w:val="both"/>
        <w:rPr>
          <w:bCs/>
          <w:sz w:val="24"/>
          <w:szCs w:val="24"/>
        </w:rPr>
      </w:pPr>
    </w:p>
    <w:p w:rsidRDefault="007E2511" w:rsidP="00C62C16" w:rsidR="007E2511" w:rsidRPr="00110B5F">
      <w:pPr>
        <w:jc w:val="both"/>
        <w:rPr>
          <w:bCs/>
          <w:sz w:val="24"/>
          <w:szCs w:val="24"/>
        </w:rPr>
      </w:pPr>
    </w:p>
    <w:p w:rsidRDefault="00853FF6" w:rsidP="00C62C16" w:rsidR="00B152BC" w:rsidRPr="00110B5F">
      <w:pPr>
        <w:jc w:val="both"/>
        <w:rPr>
          <w:bCs/>
          <w:sz w:val="24"/>
          <w:szCs w:val="24"/>
        </w:rPr>
      </w:pPr>
      <w:r w:rsidRPr="00110B5F">
        <w:rPr>
          <w:bCs/>
          <w:sz w:val="24"/>
          <w:szCs w:val="24"/>
        </w:rPr>
        <w:t>Stečajni vjerovnici</w:t>
      </w:r>
      <w:r w:rsidR="00F85D7A" w:rsidRPr="00110B5F">
        <w:rPr>
          <w:bCs/>
          <w:sz w:val="24"/>
          <w:szCs w:val="24"/>
        </w:rPr>
        <w:t>:</w:t>
      </w:r>
      <w:r w:rsidR="00D81245" w:rsidRPr="00110B5F">
        <w:rPr>
          <w:bCs/>
          <w:sz w:val="24"/>
          <w:szCs w:val="24"/>
        </w:rPr>
        <w:t xml:space="preserve"> </w:t>
      </w:r>
    </w:p>
    <w:p w:rsidRDefault="00000AD1" w:rsidP="00000AD1" w:rsidR="00000AD1">
      <w:pPr>
        <w:jc w:val="both"/>
        <w:rPr>
          <w:bCs/>
          <w:sz w:val="24"/>
          <w:szCs w:val="24"/>
        </w:rPr>
      </w:pPr>
      <w:r w:rsidRPr="00110B5F">
        <w:rPr>
          <w:bCs/>
          <w:sz w:val="24"/>
          <w:szCs w:val="24"/>
        </w:rPr>
        <w:t>RH, MF, Porezna uprava, zastupano po</w:t>
      </w:r>
      <w:r>
        <w:rPr>
          <w:bCs/>
          <w:sz w:val="24"/>
          <w:szCs w:val="24"/>
        </w:rPr>
        <w:t xml:space="preserve"> Martin Blajić, savjetnik, ŽDO Zagreb</w:t>
      </w:r>
    </w:p>
    <w:p w:rsidRDefault="00000AD1" w:rsidP="00000AD1" w:rsidR="00000AD1" w:rsidRPr="004921CA">
      <w:pPr>
        <w:jc w:val="both"/>
        <w:rPr>
          <w:bCs/>
          <w:sz w:val="24"/>
          <w:szCs w:val="24"/>
        </w:rPr>
      </w:pPr>
      <w:r>
        <w:rPr>
          <w:bCs/>
          <w:sz w:val="24"/>
          <w:szCs w:val="24"/>
        </w:rPr>
        <w:t xml:space="preserve">DDM INVEST I AG, OIB: 41627324374, </w:t>
      </w:r>
      <w:r w:rsidRPr="004921CA">
        <w:rPr>
          <w:bCs/>
          <w:sz w:val="24"/>
          <w:szCs w:val="24"/>
        </w:rPr>
        <w:t>Schochenmulestrasse 4, 6340 Baar, Švicarska</w:t>
      </w:r>
      <w:r>
        <w:rPr>
          <w:bCs/>
          <w:sz w:val="24"/>
          <w:szCs w:val="24"/>
        </w:rPr>
        <w:t>, zastupano po Dino Miše, odvj. vježbenik po punomoći</w:t>
      </w:r>
    </w:p>
    <w:p w:rsidRDefault="00000AD1" w:rsidP="00000AD1" w:rsidR="00000AD1" w:rsidRPr="004921CA">
      <w:pPr>
        <w:jc w:val="both"/>
        <w:rPr>
          <w:bCs/>
          <w:sz w:val="24"/>
          <w:szCs w:val="24"/>
        </w:rPr>
      </w:pPr>
      <w:r>
        <w:rPr>
          <w:bCs/>
          <w:sz w:val="24"/>
          <w:szCs w:val="24"/>
        </w:rPr>
        <w:t xml:space="preserve">UPIMOL 2000 d.o.o., OIB: 65759966884, </w:t>
      </w:r>
      <w:r w:rsidRPr="004921CA">
        <w:rPr>
          <w:bCs/>
          <w:sz w:val="24"/>
          <w:szCs w:val="24"/>
        </w:rPr>
        <w:t>Partizanska 39, 2310 Slovenska Bistrica, Slovenija</w:t>
      </w:r>
      <w:r>
        <w:rPr>
          <w:bCs/>
          <w:sz w:val="24"/>
          <w:szCs w:val="24"/>
        </w:rPr>
        <w:t xml:space="preserve">, zastupano po Jurica Tončić, prema punomoći </w:t>
      </w:r>
    </w:p>
    <w:p w:rsidRDefault="00C62C16" w:rsidR="00C62C16" w:rsidRPr="00110B5F">
      <w:pPr>
        <w:jc w:val="both"/>
        <w:rPr>
          <w:bCs/>
          <w:sz w:val="24"/>
          <w:szCs w:val="24"/>
        </w:rPr>
      </w:pPr>
    </w:p>
    <w:sectPr w:rsidSect="007E2511" w:rsidR="00C62C16" w:rsidRPr="00110B5F">
      <w:pgSz w:h="15840" w:w="12240"/>
      <w:pgMar w:gutter="0" w:footer="709" w:header="709" w:left="1418" w:bottom="851" w:right="1418" w:top="56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C618A" w:rsidR="006C618A">
      <w:r>
        <w:separator/>
      </w:r>
    </w:p>
  </w:endnote>
  <w:endnote w:id="0" w:type="continuationSeparator">
    <w:p w:rsidRDefault="006C618A" w:rsidR="006C618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Bookman Old Style">
    <w:panose1 w:val="02050604050505020204"/>
    <w:charset w:val="EE"/>
    <w:family w:val="roman"/>
    <w:pitch w:val="variable"/>
    <w:sig w:csb1="00000000" w:csb0="0000009F" w:usb3="00000000" w:usb2="00000000" w:usb1="00000000" w:usb0="00000287"/>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OpenSymbol">
    <w:altName w:val="Arial Unicode MS"/>
    <w:charset w:val="EE"/>
    <w:family w:val="auto"/>
    <w:pitch w:val="default"/>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Lucida Sans Unicode">
    <w:panose1 w:val="020B0602030504020204"/>
    <w:charset w:val="EE"/>
    <w:family w:val="swiss"/>
    <w:pitch w:val="variable"/>
    <w:sig w:csb1="00000000" w:csb0="000000BF" w:usb3="00000000" w:usb2="00000000" w:usb1="0000396B" w:usb0="80000AFF"/>
  </w:font>
  <w:font w:name="StarSymbol">
    <w:altName w:val="Times New Roman"/>
    <w:panose1 w:val="00000000000000000000"/>
    <w:charset w:val="00"/>
    <w:family w:val="auto"/>
    <w:notTrueType/>
    <w:pitch w:val="default"/>
    <w:sig w:csb1="00000000" w:csb0="00000001" w:usb3="00000000" w:usb2="00000000" w:usb1="00000000" w:usb0="00000003"/>
  </w:font>
  <w:font w:name="Times">
    <w:altName w:val="Times Roman"/>
    <w:panose1 w:val="02020603050405020304"/>
    <w:charset w:val="EE"/>
    <w:family w:val="roman"/>
    <w:pitch w:val="variable"/>
    <w:sig w:csb1="00000000" w:csb0="000001FF" w:usb3="00000000" w:usb2="00000009" w:usb1="C0007841" w:usb0="E0002AFF"/>
  </w:font>
  <w:font w:name="Helvetica Neue">
    <w:charset w:val="00"/>
    <w:family w:val="swiss"/>
    <w:pitch w:val="variable"/>
    <w:sig w:csb1="00000000" w:csb0="00000001" w:usb3="00000000" w:usb2="00000010" w:usb1="500079DB" w:usb0="E50002FF"/>
  </w:font>
  <w:font w:name="SimSun">
    <w:altName w:val="宋体"/>
    <w:panose1 w:val="02010600030101010101"/>
    <w:charset w:val="86"/>
    <w:family w:val="auto"/>
    <w:notTrueType/>
    <w:pitch w:val="variable"/>
    <w:sig w:csb1="00000000" w:csb0="00040000" w:usb3="00000000" w:usb2="00000010" w:usb1="080E0000" w:usb0="00000001"/>
  </w:font>
  <w:font w:name="Mangal">
    <w:panose1 w:val="02040503050203030202"/>
    <w:charset w:val="01"/>
    <w:family w:val="roman"/>
    <w:notTrueType/>
    <w:pitch w:val="variable"/>
    <w:sig w:csb1="00000000" w:csb0="00000000" w:usb3="00000000" w:usb2="00000000" w:usb1="00000000" w:usb0="00002000"/>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C618A" w:rsidR="006C618A">
      <w:r>
        <w:separator/>
      </w:r>
    </w:p>
  </w:footnote>
  <w:footnote w:id="0" w:type="continuationSeparator">
    <w:p w:rsidRDefault="006C618A" w:rsidR="006C618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C618A" w:rsidP="00D81A44" w:rsidR="006C618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6C618A" w:rsidR="006C618A">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C618A" w:rsidP="00D81A44" w:rsidR="006C618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9171F">
      <w:rPr>
        <w:rStyle w:val="Brojstranice"/>
        <w:noProof/>
      </w:rPr>
      <w:t>13</w:t>
    </w:r>
    <w:r>
      <w:rPr>
        <w:rStyle w:val="Brojstranice"/>
      </w:rPr>
      <w:fldChar w:fldCharType="end"/>
    </w:r>
  </w:p>
  <w:p w:rsidRDefault="006C618A" w:rsidP="00AA1621" w:rsidR="006C618A" w:rsidRPr="00AA1621">
    <w:pPr>
      <w:pStyle w:val="Zaglavlje"/>
      <w:jc w:val="right"/>
      <w:rPr>
        <w:sz w:val="22"/>
        <w:szCs w:val="22"/>
      </w:rPr>
    </w:pPr>
    <w:r>
      <w:rPr>
        <w:bCs/>
        <w:sz w:val="22"/>
        <w:szCs w:val="22"/>
      </w:rPr>
      <w:t>48. St-</w:t>
    </w:r>
    <w:r w:rsidR="00C947C4">
      <w:rPr>
        <w:bCs/>
        <w:sz w:val="22"/>
        <w:szCs w:val="22"/>
      </w:rPr>
      <w:t>6287/16</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C618A" w:rsidR="006C618A">
    <w:pPr>
      <w:pStyle w:val="Zaglavlje"/>
    </w:pPr>
  </w:p>
  <w:p w:rsidRDefault="006C618A" w:rsidR="006C618A">
    <w:pPr>
      <w:pStyle w:val="Zaglavlje"/>
    </w:pPr>
  </w:p>
  <w:p w:rsidRDefault="006C618A" w:rsidR="006C618A">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8Num3"/>
    <w:lvl w:ilvl="0">
      <w:start w:val="1"/>
      <w:numFmt w:val="decimal"/>
      <w:lvlText w:val="%1."/>
      <w:lvlJc w:val="left"/>
      <w:pPr>
        <w:tabs>
          <w:tab w:pos="390" w:val="num"/>
        </w:tabs>
        <w:ind w:hanging="390" w:left="390"/>
      </w:pPr>
      <w:rPr>
        <w:rFonts w:cs="Bookman Old Style" w:hAnsi="Bookman Old Style" w:ascii="Bookman Old Style"/>
        <w:lang w:val="hr-HR"/>
      </w:rPr>
    </w:lvl>
    <w:lvl w:ilvl="1">
      <w:start w:val="1"/>
      <w:numFmt w:val="decimal"/>
      <w:lvlText w:val="%2."/>
      <w:lvlJc w:val="left"/>
      <w:pPr>
        <w:tabs>
          <w:tab w:pos="1080" w:val="num"/>
        </w:tabs>
        <w:ind w:hanging="360" w:left="1080"/>
      </w:pPr>
      <w:rPr>
        <w:rFonts w:cs="Courier New" w:hAnsi="Courier New" w:ascii="Courier New"/>
        <w:color w:val="000000"/>
        <w:spacing w:val="6"/>
        <w:szCs w:val="24"/>
      </w:rPr>
    </w:lvl>
    <w:lvl w:ilvl="2">
      <w:start w:val="1"/>
      <w:numFmt w:val="decimal"/>
      <w:lvlText w:val="%3."/>
      <w:lvlJc w:val="left"/>
      <w:pPr>
        <w:tabs>
          <w:tab w:pos="1800" w:val="num"/>
        </w:tabs>
        <w:ind w:hanging="360" w:left="1800"/>
      </w:pPr>
      <w:rPr>
        <w:rFonts w:cs="Wingdings" w:hAnsi="Wingdings" w:ascii="Wingdings"/>
      </w:rPr>
    </w:lvl>
    <w:lvl w:ilvl="3">
      <w:start w:val="1"/>
      <w:numFmt w:val="decimal"/>
      <w:lvlText w:val="%4."/>
      <w:lvlJc w:val="left"/>
      <w:pPr>
        <w:tabs>
          <w:tab w:pos="2520" w:val="num"/>
        </w:tabs>
        <w:ind w:hanging="360" w:left="2520"/>
      </w:pPr>
      <w:rPr>
        <w:rFonts w:cs="Symbol" w:hAnsi="Symbol" w:ascii="Symbol"/>
      </w:rPr>
    </w:lvl>
    <w:lvl w:ilvl="4">
      <w:start w:val="1"/>
      <w:numFmt w:val="decimal"/>
      <w:lvlText w:val="%5."/>
      <w:lvlJc w:val="left"/>
      <w:pPr>
        <w:tabs>
          <w:tab w:pos="3240" w:val="num"/>
        </w:tabs>
        <w:ind w:hanging="360" w:left="3240"/>
      </w:pPr>
    </w:lvl>
    <w:lvl w:ilvl="5">
      <w:start w:val="1"/>
      <w:numFmt w:val="decimal"/>
      <w:lvlText w:val="%6."/>
      <w:lvlJc w:val="left"/>
      <w:pPr>
        <w:tabs>
          <w:tab w:pos="3960" w:val="num"/>
        </w:tabs>
        <w:ind w:hanging="360" w:left="3960"/>
      </w:pPr>
    </w:lvl>
    <w:lvl w:ilvl="6">
      <w:start w:val="1"/>
      <w:numFmt w:val="decimal"/>
      <w:lvlText w:val="%7."/>
      <w:lvlJc w:val="left"/>
      <w:pPr>
        <w:tabs>
          <w:tab w:pos="4680" w:val="num"/>
        </w:tabs>
        <w:ind w:hanging="360" w:left="4680"/>
      </w:pPr>
    </w:lvl>
    <w:lvl w:ilvl="7">
      <w:start w:val="1"/>
      <w:numFmt w:val="decimal"/>
      <w:lvlText w:val="%8."/>
      <w:lvlJc w:val="left"/>
      <w:pPr>
        <w:tabs>
          <w:tab w:pos="5400" w:val="num"/>
        </w:tabs>
        <w:ind w:hanging="360" w:left="5400"/>
      </w:pPr>
    </w:lvl>
    <w:lvl w:ilvl="8">
      <w:start w:val="1"/>
      <w:numFmt w:val="decimal"/>
      <w:lvlText w:val="%9."/>
      <w:lvlJc w:val="left"/>
      <w:pPr>
        <w:tabs>
          <w:tab w:pos="6120" w:val="num"/>
        </w:tabs>
        <w:ind w:hanging="360" w:left="6120"/>
      </w:pPr>
    </w:lvl>
  </w:abstractNum>
  <w:abstractNum w:abstractNumId="1">
    <w:nsid w:val="00000005"/>
    <w:multiLevelType w:val="multilevel"/>
    <w:tmpl w:val="00000005"/>
    <w:name w:val="WW8Num5"/>
    <w:lvl w:ilvl="0">
      <w:start w:val="1"/>
      <w:numFmt w:val="decimal"/>
      <w:lvlText w:val="%1."/>
      <w:lvlJc w:val="left"/>
      <w:pPr>
        <w:tabs>
          <w:tab w:pos="720" w:val="num"/>
        </w:tabs>
        <w:ind w:hanging="360" w:left="720"/>
      </w:pPr>
    </w:lvl>
    <w:lvl w:ilvl="1">
      <w:start w:val="1"/>
      <w:numFmt w:val="decimal"/>
      <w:lvlText w:val="%2."/>
      <w:lvlJc w:val="left"/>
      <w:pPr>
        <w:tabs>
          <w:tab w:pos="1080" w:val="num"/>
        </w:tabs>
        <w:ind w:hanging="360" w:left="1080"/>
      </w:pPr>
    </w:lvl>
    <w:lvl w:ilvl="2">
      <w:start w:val="1"/>
      <w:numFmt w:val="decimal"/>
      <w:lvlText w:val="%3."/>
      <w:lvlJc w:val="left"/>
      <w:pPr>
        <w:tabs>
          <w:tab w:pos="1440" w:val="num"/>
        </w:tabs>
        <w:ind w:hanging="360" w:left="1440"/>
      </w:pPr>
    </w:lvl>
    <w:lvl w:ilvl="3">
      <w:start w:val="1"/>
      <w:numFmt w:val="decimal"/>
      <w:lvlText w:val="%4."/>
      <w:lvlJc w:val="left"/>
      <w:pPr>
        <w:tabs>
          <w:tab w:pos="1800" w:val="num"/>
        </w:tabs>
        <w:ind w:hanging="360" w:left="1800"/>
      </w:pPr>
    </w:lvl>
    <w:lvl w:ilvl="4">
      <w:start w:val="1"/>
      <w:numFmt w:val="decimal"/>
      <w:lvlText w:val="%5."/>
      <w:lvlJc w:val="left"/>
      <w:pPr>
        <w:tabs>
          <w:tab w:pos="2160" w:val="num"/>
        </w:tabs>
        <w:ind w:hanging="360" w:left="2160"/>
      </w:pPr>
    </w:lvl>
    <w:lvl w:ilvl="5">
      <w:start w:val="1"/>
      <w:numFmt w:val="decimal"/>
      <w:lvlText w:val="%6."/>
      <w:lvlJc w:val="left"/>
      <w:pPr>
        <w:tabs>
          <w:tab w:pos="2520" w:val="num"/>
        </w:tabs>
        <w:ind w:hanging="360" w:left="2520"/>
      </w:pPr>
    </w:lvl>
    <w:lvl w:ilvl="6">
      <w:start w:val="1"/>
      <w:numFmt w:val="decimal"/>
      <w:lvlText w:val="%7."/>
      <w:lvlJc w:val="left"/>
      <w:pPr>
        <w:tabs>
          <w:tab w:pos="2880" w:val="num"/>
        </w:tabs>
        <w:ind w:hanging="360" w:left="2880"/>
      </w:pPr>
    </w:lvl>
    <w:lvl w:ilvl="7">
      <w:start w:val="1"/>
      <w:numFmt w:val="decimal"/>
      <w:lvlText w:val="%8."/>
      <w:lvlJc w:val="left"/>
      <w:pPr>
        <w:tabs>
          <w:tab w:pos="3240" w:val="num"/>
        </w:tabs>
        <w:ind w:hanging="360" w:left="3240"/>
      </w:pPr>
    </w:lvl>
    <w:lvl w:ilvl="8">
      <w:start w:val="1"/>
      <w:numFmt w:val="decimal"/>
      <w:lvlText w:val="%9."/>
      <w:lvlJc w:val="left"/>
      <w:pPr>
        <w:tabs>
          <w:tab w:pos="3600" w:val="num"/>
        </w:tabs>
        <w:ind w:hanging="360" w:left="3600"/>
      </w:pPr>
    </w:lvl>
  </w:abstractNum>
  <w:abstractNum w:abstractNumId="2">
    <w:nsid w:val="00000006"/>
    <w:multiLevelType w:val="multilevel"/>
    <w:tmpl w:val="00000006"/>
    <w:name w:val="WW8Num6"/>
    <w:lvl w:ilvl="0">
      <w:start w:val="3"/>
      <w:numFmt w:val="upperRoman"/>
      <w:lvlText w:val="%1."/>
      <w:lvlJc w:val="left"/>
      <w:pPr>
        <w:tabs>
          <w:tab w:pos="720" w:val="num"/>
        </w:tabs>
        <w:ind w:hanging="360" w:left="720"/>
      </w:pPr>
    </w:lvl>
    <w:lvl w:ilvl="1">
      <w:start w:val="1"/>
      <w:numFmt w:val="decimal"/>
      <w:lvlText w:val="%2."/>
      <w:lvlJc w:val="left"/>
      <w:pPr>
        <w:tabs>
          <w:tab w:pos="1080" w:val="num"/>
        </w:tabs>
        <w:ind w:hanging="360" w:left="1080"/>
      </w:pPr>
    </w:lvl>
    <w:lvl w:ilvl="2">
      <w:start w:val="1"/>
      <w:numFmt w:val="decimal"/>
      <w:lvlText w:val="%3."/>
      <w:lvlJc w:val="left"/>
      <w:pPr>
        <w:tabs>
          <w:tab w:pos="1440" w:val="num"/>
        </w:tabs>
        <w:ind w:hanging="360" w:left="1440"/>
      </w:pPr>
    </w:lvl>
    <w:lvl w:ilvl="3">
      <w:start w:val="1"/>
      <w:numFmt w:val="decimal"/>
      <w:lvlText w:val="%4."/>
      <w:lvlJc w:val="left"/>
      <w:pPr>
        <w:tabs>
          <w:tab w:pos="1800" w:val="num"/>
        </w:tabs>
        <w:ind w:hanging="360" w:left="1800"/>
      </w:pPr>
    </w:lvl>
    <w:lvl w:ilvl="4">
      <w:start w:val="1"/>
      <w:numFmt w:val="decimal"/>
      <w:lvlText w:val="%5."/>
      <w:lvlJc w:val="left"/>
      <w:pPr>
        <w:tabs>
          <w:tab w:pos="2160" w:val="num"/>
        </w:tabs>
        <w:ind w:hanging="360" w:left="2160"/>
      </w:pPr>
    </w:lvl>
    <w:lvl w:ilvl="5">
      <w:start w:val="1"/>
      <w:numFmt w:val="decimal"/>
      <w:lvlText w:val="%6."/>
      <w:lvlJc w:val="left"/>
      <w:pPr>
        <w:tabs>
          <w:tab w:pos="2520" w:val="num"/>
        </w:tabs>
        <w:ind w:hanging="360" w:left="2520"/>
      </w:pPr>
    </w:lvl>
    <w:lvl w:ilvl="6">
      <w:start w:val="1"/>
      <w:numFmt w:val="decimal"/>
      <w:lvlText w:val="%7."/>
      <w:lvlJc w:val="left"/>
      <w:pPr>
        <w:tabs>
          <w:tab w:pos="2880" w:val="num"/>
        </w:tabs>
        <w:ind w:hanging="360" w:left="2880"/>
      </w:pPr>
    </w:lvl>
    <w:lvl w:ilvl="7">
      <w:start w:val="1"/>
      <w:numFmt w:val="decimal"/>
      <w:lvlText w:val="%8."/>
      <w:lvlJc w:val="left"/>
      <w:pPr>
        <w:tabs>
          <w:tab w:pos="3240" w:val="num"/>
        </w:tabs>
        <w:ind w:hanging="360" w:left="3240"/>
      </w:pPr>
    </w:lvl>
    <w:lvl w:ilvl="8">
      <w:start w:val="1"/>
      <w:numFmt w:val="decimal"/>
      <w:lvlText w:val="%9."/>
      <w:lvlJc w:val="left"/>
      <w:pPr>
        <w:tabs>
          <w:tab w:pos="3600" w:val="num"/>
        </w:tabs>
        <w:ind w:hanging="360" w:left="3600"/>
      </w:pPr>
    </w:lvl>
  </w:abstractNum>
  <w:abstractNum w:abstractNumId="3">
    <w:nsid w:val="00000007"/>
    <w:multiLevelType w:val="multilevel"/>
    <w:tmpl w:val="00000007"/>
    <w:name w:val="WW8Num7"/>
    <w:lvl w:ilvl="0">
      <w:start w:val="1"/>
      <w:numFmt w:val="bullet"/>
      <w:lvlText w:val=""/>
      <w:lvlJc w:val="left"/>
      <w:pPr>
        <w:tabs>
          <w:tab w:pos="720" w:val="num"/>
        </w:tabs>
        <w:ind w:hanging="360" w:left="720"/>
      </w:pPr>
      <w:rPr>
        <w:rFonts w:cs="OpenSymbol" w:hAnsi="Symbol" w:ascii="Symbol"/>
      </w:rPr>
    </w:lvl>
    <w:lvl w:ilvl="1">
      <w:start w:val="1"/>
      <w:numFmt w:val="bullet"/>
      <w:lvlText w:val=""/>
      <w:lvlJc w:val="left"/>
      <w:pPr>
        <w:tabs>
          <w:tab w:pos="1080" w:val="num"/>
        </w:tabs>
        <w:ind w:hanging="360" w:left="1080"/>
      </w:pPr>
      <w:rPr>
        <w:rFonts w:cs="OpenSymbol" w:hAnsi="Symbol" w:ascii="Symbol"/>
      </w:rPr>
    </w:lvl>
    <w:lvl w:ilvl="2">
      <w:start w:val="1"/>
      <w:numFmt w:val="bullet"/>
      <w:lvlText w:val=""/>
      <w:lvlJc w:val="left"/>
      <w:pPr>
        <w:tabs>
          <w:tab w:pos="1440" w:val="num"/>
        </w:tabs>
        <w:ind w:hanging="360" w:left="1440"/>
      </w:pPr>
      <w:rPr>
        <w:rFonts w:cs="OpenSymbol" w:hAnsi="Symbol" w:ascii="Symbol"/>
      </w:rPr>
    </w:lvl>
    <w:lvl w:ilvl="3">
      <w:start w:val="1"/>
      <w:numFmt w:val="bullet"/>
      <w:lvlText w:val=""/>
      <w:lvlJc w:val="left"/>
      <w:pPr>
        <w:tabs>
          <w:tab w:pos="1800" w:val="num"/>
        </w:tabs>
        <w:ind w:hanging="360" w:left="1800"/>
      </w:pPr>
      <w:rPr>
        <w:rFonts w:cs="OpenSymbol" w:hAnsi="Symbol" w:ascii="Symbol"/>
      </w:rPr>
    </w:lvl>
    <w:lvl w:ilvl="4">
      <w:start w:val="1"/>
      <w:numFmt w:val="bullet"/>
      <w:lvlText w:val=""/>
      <w:lvlJc w:val="left"/>
      <w:pPr>
        <w:tabs>
          <w:tab w:pos="2160" w:val="num"/>
        </w:tabs>
        <w:ind w:hanging="360" w:left="2160"/>
      </w:pPr>
      <w:rPr>
        <w:rFonts w:cs="OpenSymbol" w:hAnsi="Symbol" w:ascii="Symbol"/>
      </w:rPr>
    </w:lvl>
    <w:lvl w:ilvl="5">
      <w:start w:val="1"/>
      <w:numFmt w:val="bullet"/>
      <w:lvlText w:val=""/>
      <w:lvlJc w:val="left"/>
      <w:pPr>
        <w:tabs>
          <w:tab w:pos="2520" w:val="num"/>
        </w:tabs>
        <w:ind w:hanging="360" w:left="2520"/>
      </w:pPr>
      <w:rPr>
        <w:rFonts w:cs="OpenSymbol" w:hAnsi="Symbol" w:ascii="Symbol"/>
      </w:rPr>
    </w:lvl>
    <w:lvl w:ilvl="6">
      <w:start w:val="1"/>
      <w:numFmt w:val="bullet"/>
      <w:lvlText w:val=""/>
      <w:lvlJc w:val="left"/>
      <w:pPr>
        <w:tabs>
          <w:tab w:pos="2880" w:val="num"/>
        </w:tabs>
        <w:ind w:hanging="360" w:left="2880"/>
      </w:pPr>
      <w:rPr>
        <w:rFonts w:cs="OpenSymbol" w:hAnsi="Symbol" w:ascii="Symbol"/>
      </w:rPr>
    </w:lvl>
    <w:lvl w:ilvl="7">
      <w:start w:val="1"/>
      <w:numFmt w:val="bullet"/>
      <w:lvlText w:val=""/>
      <w:lvlJc w:val="left"/>
      <w:pPr>
        <w:tabs>
          <w:tab w:pos="3240" w:val="num"/>
        </w:tabs>
        <w:ind w:hanging="360" w:left="3240"/>
      </w:pPr>
      <w:rPr>
        <w:rFonts w:cs="OpenSymbol" w:hAnsi="Symbol" w:ascii="Symbol"/>
      </w:rPr>
    </w:lvl>
    <w:lvl w:ilvl="8">
      <w:start w:val="1"/>
      <w:numFmt w:val="bullet"/>
      <w:lvlText w:val=""/>
      <w:lvlJc w:val="left"/>
      <w:pPr>
        <w:tabs>
          <w:tab w:pos="3600" w:val="num"/>
        </w:tabs>
        <w:ind w:hanging="360" w:left="3600"/>
      </w:pPr>
      <w:rPr>
        <w:rFonts w:cs="OpenSymbol" w:hAnsi="Symbol" w:ascii="Symbol"/>
      </w:rPr>
    </w:lvl>
  </w:abstractNum>
  <w:abstractNum w:abstractNumId="4">
    <w:nsid w:val="00000008"/>
    <w:multiLevelType w:val="multilevel"/>
    <w:tmpl w:val="00000008"/>
    <w:name w:val="WW8Num8"/>
    <w:lvl w:ilvl="0">
      <w:start w:val="1"/>
      <w:numFmt w:val="bullet"/>
      <w:lvlText w:val=""/>
      <w:lvlJc w:val="left"/>
      <w:pPr>
        <w:tabs>
          <w:tab w:pos="720" w:val="num"/>
        </w:tabs>
        <w:ind w:hanging="360" w:left="720"/>
      </w:pPr>
      <w:rPr>
        <w:rFonts w:cs="OpenSymbol" w:hAnsi="Symbol" w:ascii="Symbol"/>
      </w:rPr>
    </w:lvl>
    <w:lvl w:ilvl="1">
      <w:start w:val="1"/>
      <w:numFmt w:val="bullet"/>
      <w:lvlText w:val=""/>
      <w:lvlJc w:val="left"/>
      <w:pPr>
        <w:tabs>
          <w:tab w:pos="1080" w:val="num"/>
        </w:tabs>
        <w:ind w:hanging="360" w:left="1080"/>
      </w:pPr>
      <w:rPr>
        <w:rFonts w:cs="OpenSymbol" w:hAnsi="Symbol" w:ascii="Symbol"/>
      </w:rPr>
    </w:lvl>
    <w:lvl w:ilvl="2">
      <w:start w:val="1"/>
      <w:numFmt w:val="bullet"/>
      <w:lvlText w:val=""/>
      <w:lvlJc w:val="left"/>
      <w:pPr>
        <w:tabs>
          <w:tab w:pos="1440" w:val="num"/>
        </w:tabs>
        <w:ind w:hanging="360" w:left="1440"/>
      </w:pPr>
      <w:rPr>
        <w:rFonts w:cs="OpenSymbol" w:hAnsi="Symbol" w:ascii="Symbol"/>
      </w:rPr>
    </w:lvl>
    <w:lvl w:ilvl="3">
      <w:start w:val="1"/>
      <w:numFmt w:val="bullet"/>
      <w:lvlText w:val=""/>
      <w:lvlJc w:val="left"/>
      <w:pPr>
        <w:tabs>
          <w:tab w:pos="1800" w:val="num"/>
        </w:tabs>
        <w:ind w:hanging="360" w:left="1800"/>
      </w:pPr>
      <w:rPr>
        <w:rFonts w:cs="OpenSymbol" w:hAnsi="Symbol" w:ascii="Symbol"/>
      </w:rPr>
    </w:lvl>
    <w:lvl w:ilvl="4">
      <w:start w:val="1"/>
      <w:numFmt w:val="bullet"/>
      <w:lvlText w:val=""/>
      <w:lvlJc w:val="left"/>
      <w:pPr>
        <w:tabs>
          <w:tab w:pos="2160" w:val="num"/>
        </w:tabs>
        <w:ind w:hanging="360" w:left="2160"/>
      </w:pPr>
      <w:rPr>
        <w:rFonts w:cs="OpenSymbol" w:hAnsi="Symbol" w:ascii="Symbol"/>
      </w:rPr>
    </w:lvl>
    <w:lvl w:ilvl="5">
      <w:start w:val="1"/>
      <w:numFmt w:val="bullet"/>
      <w:lvlText w:val=""/>
      <w:lvlJc w:val="left"/>
      <w:pPr>
        <w:tabs>
          <w:tab w:pos="2520" w:val="num"/>
        </w:tabs>
        <w:ind w:hanging="360" w:left="2520"/>
      </w:pPr>
      <w:rPr>
        <w:rFonts w:cs="OpenSymbol" w:hAnsi="Symbol" w:ascii="Symbol"/>
      </w:rPr>
    </w:lvl>
    <w:lvl w:ilvl="6">
      <w:start w:val="1"/>
      <w:numFmt w:val="bullet"/>
      <w:lvlText w:val=""/>
      <w:lvlJc w:val="left"/>
      <w:pPr>
        <w:tabs>
          <w:tab w:pos="2880" w:val="num"/>
        </w:tabs>
        <w:ind w:hanging="360" w:left="2880"/>
      </w:pPr>
      <w:rPr>
        <w:rFonts w:cs="OpenSymbol" w:hAnsi="Symbol" w:ascii="Symbol"/>
      </w:rPr>
    </w:lvl>
    <w:lvl w:ilvl="7">
      <w:start w:val="1"/>
      <w:numFmt w:val="bullet"/>
      <w:lvlText w:val=""/>
      <w:lvlJc w:val="left"/>
      <w:pPr>
        <w:tabs>
          <w:tab w:pos="3240" w:val="num"/>
        </w:tabs>
        <w:ind w:hanging="360" w:left="3240"/>
      </w:pPr>
      <w:rPr>
        <w:rFonts w:cs="OpenSymbol" w:hAnsi="Symbol" w:ascii="Symbol"/>
      </w:rPr>
    </w:lvl>
    <w:lvl w:ilvl="8">
      <w:start w:val="1"/>
      <w:numFmt w:val="bullet"/>
      <w:lvlText w:val=""/>
      <w:lvlJc w:val="left"/>
      <w:pPr>
        <w:tabs>
          <w:tab w:pos="3600" w:val="num"/>
        </w:tabs>
        <w:ind w:hanging="360" w:left="3600"/>
      </w:pPr>
      <w:rPr>
        <w:rFonts w:cs="OpenSymbol" w:hAnsi="Symbol" w:ascii="Symbol"/>
      </w:rPr>
    </w:lvl>
  </w:abstractNum>
  <w:abstractNum w:abstractNumId="5">
    <w:nsid w:val="00000009"/>
    <w:multiLevelType w:val="multilevel"/>
    <w:tmpl w:val="00000009"/>
    <w:name w:val="WW8Num9"/>
    <w:lvl w:ilvl="0">
      <w:start w:val="1"/>
      <w:numFmt w:val="bullet"/>
      <w:lvlText w:val=""/>
      <w:lvlJc w:val="left"/>
      <w:pPr>
        <w:tabs>
          <w:tab w:pos="720" w:val="num"/>
        </w:tabs>
        <w:ind w:hanging="360" w:left="720"/>
      </w:pPr>
      <w:rPr>
        <w:rFonts w:cs="OpenSymbol" w:hAnsi="Symbol" w:ascii="Symbol"/>
      </w:rPr>
    </w:lvl>
    <w:lvl w:ilvl="1">
      <w:start w:val="1"/>
      <w:numFmt w:val="bullet"/>
      <w:lvlText w:val=""/>
      <w:lvlJc w:val="left"/>
      <w:pPr>
        <w:tabs>
          <w:tab w:pos="1080" w:val="num"/>
        </w:tabs>
        <w:ind w:hanging="360" w:left="1080"/>
      </w:pPr>
      <w:rPr>
        <w:rFonts w:cs="OpenSymbol" w:hAnsi="Symbol" w:ascii="Symbol"/>
      </w:rPr>
    </w:lvl>
    <w:lvl w:ilvl="2">
      <w:start w:val="1"/>
      <w:numFmt w:val="bullet"/>
      <w:lvlText w:val=""/>
      <w:lvlJc w:val="left"/>
      <w:pPr>
        <w:tabs>
          <w:tab w:pos="1440" w:val="num"/>
        </w:tabs>
        <w:ind w:hanging="360" w:left="1440"/>
      </w:pPr>
      <w:rPr>
        <w:rFonts w:cs="OpenSymbol" w:hAnsi="Symbol" w:ascii="Symbol"/>
      </w:rPr>
    </w:lvl>
    <w:lvl w:ilvl="3">
      <w:start w:val="1"/>
      <w:numFmt w:val="bullet"/>
      <w:lvlText w:val=""/>
      <w:lvlJc w:val="left"/>
      <w:pPr>
        <w:tabs>
          <w:tab w:pos="1800" w:val="num"/>
        </w:tabs>
        <w:ind w:hanging="360" w:left="1800"/>
      </w:pPr>
      <w:rPr>
        <w:rFonts w:cs="OpenSymbol" w:hAnsi="Symbol" w:ascii="Symbol"/>
      </w:rPr>
    </w:lvl>
    <w:lvl w:ilvl="4">
      <w:start w:val="1"/>
      <w:numFmt w:val="bullet"/>
      <w:lvlText w:val=""/>
      <w:lvlJc w:val="left"/>
      <w:pPr>
        <w:tabs>
          <w:tab w:pos="2160" w:val="num"/>
        </w:tabs>
        <w:ind w:hanging="360" w:left="2160"/>
      </w:pPr>
      <w:rPr>
        <w:rFonts w:cs="OpenSymbol" w:hAnsi="Symbol" w:ascii="Symbol"/>
      </w:rPr>
    </w:lvl>
    <w:lvl w:ilvl="5">
      <w:start w:val="1"/>
      <w:numFmt w:val="bullet"/>
      <w:lvlText w:val=""/>
      <w:lvlJc w:val="left"/>
      <w:pPr>
        <w:tabs>
          <w:tab w:pos="2520" w:val="num"/>
        </w:tabs>
        <w:ind w:hanging="360" w:left="2520"/>
      </w:pPr>
      <w:rPr>
        <w:rFonts w:cs="OpenSymbol" w:hAnsi="Symbol" w:ascii="Symbol"/>
      </w:rPr>
    </w:lvl>
    <w:lvl w:ilvl="6">
      <w:start w:val="1"/>
      <w:numFmt w:val="bullet"/>
      <w:lvlText w:val=""/>
      <w:lvlJc w:val="left"/>
      <w:pPr>
        <w:tabs>
          <w:tab w:pos="2880" w:val="num"/>
        </w:tabs>
        <w:ind w:hanging="360" w:left="2880"/>
      </w:pPr>
      <w:rPr>
        <w:rFonts w:cs="OpenSymbol" w:hAnsi="Symbol" w:ascii="Symbol"/>
      </w:rPr>
    </w:lvl>
    <w:lvl w:ilvl="7">
      <w:start w:val="1"/>
      <w:numFmt w:val="bullet"/>
      <w:lvlText w:val=""/>
      <w:lvlJc w:val="left"/>
      <w:pPr>
        <w:tabs>
          <w:tab w:pos="3240" w:val="num"/>
        </w:tabs>
        <w:ind w:hanging="360" w:left="3240"/>
      </w:pPr>
      <w:rPr>
        <w:rFonts w:cs="OpenSymbol" w:hAnsi="Symbol" w:ascii="Symbol"/>
      </w:rPr>
    </w:lvl>
    <w:lvl w:ilvl="8">
      <w:start w:val="1"/>
      <w:numFmt w:val="bullet"/>
      <w:lvlText w:val=""/>
      <w:lvlJc w:val="left"/>
      <w:pPr>
        <w:tabs>
          <w:tab w:pos="3600" w:val="num"/>
        </w:tabs>
        <w:ind w:hanging="360" w:left="3600"/>
      </w:pPr>
      <w:rPr>
        <w:rFonts w:cs="OpenSymbol" w:hAnsi="Symbol" w:ascii="Symbol"/>
      </w:rPr>
    </w:lvl>
  </w:abstractNum>
  <w:abstractNum w:abstractNumId="6">
    <w:nsid w:val="0000000A"/>
    <w:multiLevelType w:val="multilevel"/>
    <w:tmpl w:val="0000000A"/>
    <w:name w:val="WW8Num10"/>
    <w:lvl w:ilvl="0">
      <w:start w:val="4"/>
      <w:numFmt w:val="upperRoman"/>
      <w:lvlText w:val="%1."/>
      <w:lvlJc w:val="left"/>
      <w:pPr>
        <w:tabs>
          <w:tab w:pos="720" w:val="num"/>
        </w:tabs>
        <w:ind w:hanging="360" w:left="720"/>
      </w:pPr>
    </w:lvl>
    <w:lvl w:ilvl="1">
      <w:start w:val="1"/>
      <w:numFmt w:val="decimal"/>
      <w:lvlText w:val="%2."/>
      <w:lvlJc w:val="left"/>
      <w:pPr>
        <w:tabs>
          <w:tab w:pos="1080" w:val="num"/>
        </w:tabs>
        <w:ind w:hanging="360" w:left="1080"/>
      </w:pPr>
    </w:lvl>
    <w:lvl w:ilvl="2">
      <w:start w:val="1"/>
      <w:numFmt w:val="decimal"/>
      <w:lvlText w:val="%3."/>
      <w:lvlJc w:val="left"/>
      <w:pPr>
        <w:tabs>
          <w:tab w:pos="1440" w:val="num"/>
        </w:tabs>
        <w:ind w:hanging="360" w:left="1440"/>
      </w:pPr>
    </w:lvl>
    <w:lvl w:ilvl="3">
      <w:start w:val="1"/>
      <w:numFmt w:val="decimal"/>
      <w:lvlText w:val="%4."/>
      <w:lvlJc w:val="left"/>
      <w:pPr>
        <w:tabs>
          <w:tab w:pos="1800" w:val="num"/>
        </w:tabs>
        <w:ind w:hanging="360" w:left="1800"/>
      </w:pPr>
    </w:lvl>
    <w:lvl w:ilvl="4">
      <w:start w:val="1"/>
      <w:numFmt w:val="decimal"/>
      <w:lvlText w:val="%5."/>
      <w:lvlJc w:val="left"/>
      <w:pPr>
        <w:tabs>
          <w:tab w:pos="2160" w:val="num"/>
        </w:tabs>
        <w:ind w:hanging="360" w:left="2160"/>
      </w:pPr>
    </w:lvl>
    <w:lvl w:ilvl="5">
      <w:start w:val="1"/>
      <w:numFmt w:val="decimal"/>
      <w:lvlText w:val="%6."/>
      <w:lvlJc w:val="left"/>
      <w:pPr>
        <w:tabs>
          <w:tab w:pos="2520" w:val="num"/>
        </w:tabs>
        <w:ind w:hanging="360" w:left="2520"/>
      </w:pPr>
    </w:lvl>
    <w:lvl w:ilvl="6">
      <w:start w:val="1"/>
      <w:numFmt w:val="decimal"/>
      <w:lvlText w:val="%7."/>
      <w:lvlJc w:val="left"/>
      <w:pPr>
        <w:tabs>
          <w:tab w:pos="2880" w:val="num"/>
        </w:tabs>
        <w:ind w:hanging="360" w:left="2880"/>
      </w:pPr>
    </w:lvl>
    <w:lvl w:ilvl="7">
      <w:start w:val="1"/>
      <w:numFmt w:val="decimal"/>
      <w:lvlText w:val="%8."/>
      <w:lvlJc w:val="left"/>
      <w:pPr>
        <w:tabs>
          <w:tab w:pos="3240" w:val="num"/>
        </w:tabs>
        <w:ind w:hanging="360" w:left="3240"/>
      </w:pPr>
    </w:lvl>
    <w:lvl w:ilvl="8">
      <w:start w:val="1"/>
      <w:numFmt w:val="decimal"/>
      <w:lvlText w:val="%9."/>
      <w:lvlJc w:val="left"/>
      <w:pPr>
        <w:tabs>
          <w:tab w:pos="3600" w:val="num"/>
        </w:tabs>
        <w:ind w:hanging="360" w:left="3600"/>
      </w:pPr>
    </w:lvl>
  </w:abstractNum>
  <w:abstractNum w:abstractNumId="7">
    <w:nsid w:val="03186D00"/>
    <w:multiLevelType w:val="hybridMultilevel"/>
    <w:tmpl w:val="C72095A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05CE52A7"/>
    <w:multiLevelType w:val="hybridMultilevel"/>
    <w:tmpl w:val="FF46CA0E"/>
    <w:lvl w:tplc="FFFFFFFF" w:ilvl="0">
      <w:start w:val="1"/>
      <w:numFmt w:val="decimal"/>
      <w:lvlText w:val="%1."/>
      <w:lvlJc w:val="left"/>
      <w:pPr>
        <w:tabs>
          <w:tab w:pos="816" w:val="num"/>
        </w:tabs>
        <w:ind w:hanging="390" w:left="816"/>
      </w:pPr>
    </w:lvl>
    <w:lvl w:tplc="FFFFFFFF" w:ilvl="1">
      <w:start w:val="1"/>
      <w:numFmt w:val="decimal"/>
      <w:lvlText w:val="%2."/>
      <w:lvlJc w:val="left"/>
      <w:pPr>
        <w:tabs>
          <w:tab w:pos="1440" w:val="num"/>
        </w:tabs>
        <w:ind w:hanging="360" w:left="1440"/>
      </w:pPr>
    </w:lvl>
    <w:lvl w:tplc="FFFFFFFF" w:ilvl="2">
      <w:start w:val="1"/>
      <w:numFmt w:val="decimal"/>
      <w:lvlText w:val="%3."/>
      <w:lvlJc w:val="left"/>
      <w:pPr>
        <w:tabs>
          <w:tab w:pos="2160" w:val="num"/>
        </w:tabs>
        <w:ind w:hanging="360" w:left="2160"/>
      </w:pPr>
    </w:lvl>
    <w:lvl w:tplc="FFFFFFFF" w:ilvl="3">
      <w:start w:val="1"/>
      <w:numFmt w:val="decimal"/>
      <w:lvlText w:val="%4."/>
      <w:lvlJc w:val="left"/>
      <w:pPr>
        <w:tabs>
          <w:tab w:pos="2880" w:val="num"/>
        </w:tabs>
        <w:ind w:hanging="360" w:left="2880"/>
      </w:pPr>
    </w:lvl>
    <w:lvl w:tplc="FFFFFFFF" w:ilvl="4">
      <w:start w:val="1"/>
      <w:numFmt w:val="decimal"/>
      <w:lvlText w:val="%5."/>
      <w:lvlJc w:val="left"/>
      <w:pPr>
        <w:tabs>
          <w:tab w:pos="3600" w:val="num"/>
        </w:tabs>
        <w:ind w:hanging="360" w:left="3600"/>
      </w:pPr>
    </w:lvl>
    <w:lvl w:tplc="FFFFFFFF" w:ilvl="5">
      <w:start w:val="1"/>
      <w:numFmt w:val="decimal"/>
      <w:lvlText w:val="%6."/>
      <w:lvlJc w:val="left"/>
      <w:pPr>
        <w:tabs>
          <w:tab w:pos="4320" w:val="num"/>
        </w:tabs>
        <w:ind w:hanging="360" w:left="4320"/>
      </w:pPr>
    </w:lvl>
    <w:lvl w:tplc="FFFFFFFF" w:ilvl="6">
      <w:start w:val="1"/>
      <w:numFmt w:val="decimal"/>
      <w:lvlText w:val="%7."/>
      <w:lvlJc w:val="left"/>
      <w:pPr>
        <w:tabs>
          <w:tab w:pos="5040" w:val="num"/>
        </w:tabs>
        <w:ind w:hanging="360" w:left="5040"/>
      </w:pPr>
    </w:lvl>
    <w:lvl w:tplc="FFFFFFFF" w:ilvl="7">
      <w:start w:val="1"/>
      <w:numFmt w:val="decimal"/>
      <w:lvlText w:val="%8."/>
      <w:lvlJc w:val="left"/>
      <w:pPr>
        <w:tabs>
          <w:tab w:pos="5760" w:val="num"/>
        </w:tabs>
        <w:ind w:hanging="360" w:left="5760"/>
      </w:pPr>
    </w:lvl>
    <w:lvl w:tplc="FFFFFFFF" w:ilvl="8">
      <w:start w:val="1"/>
      <w:numFmt w:val="decimal"/>
      <w:lvlText w:val="%9."/>
      <w:lvlJc w:val="left"/>
      <w:pPr>
        <w:tabs>
          <w:tab w:pos="6480" w:val="num"/>
        </w:tabs>
        <w:ind w:hanging="360" w:left="6480"/>
      </w:pPr>
    </w:lvl>
  </w:abstractNum>
  <w:abstractNum w:abstractNumId="9">
    <w:nsid w:val="07F31A5E"/>
    <w:multiLevelType w:val="hybridMultilevel"/>
    <w:tmpl w:val="B4F21908"/>
    <w:lvl w:tplc="132607A6" w:ilvl="0">
      <w:numFmt w:val="bullet"/>
      <w:lvlText w:val="-"/>
      <w:lvlJc w:val="left"/>
      <w:pPr>
        <w:ind w:hanging="360" w:left="720"/>
      </w:pPr>
      <w:rPr>
        <w:rFonts w:eastAsiaTheme="minorEastAsia"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0">
    <w:nsid w:val="0E297711"/>
    <w:multiLevelType w:val="hybridMultilevel"/>
    <w:tmpl w:val="46C0A0E2"/>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11">
    <w:nsid w:val="15CF6644"/>
    <w:multiLevelType w:val="hybridMultilevel"/>
    <w:tmpl w:val="4E8E298E"/>
    <w:lvl w:tplc="56D24A0E" w:ilvl="0">
      <w:numFmt w:val="bullet"/>
      <w:lvlText w:val="-"/>
      <w:lvlJc w:val="left"/>
      <w:pPr>
        <w:ind w:hanging="360" w:left="502"/>
      </w:pPr>
      <w:rPr>
        <w:rFonts w:cstheme="minorBidi" w:eastAsiaTheme="minorHAnsi" w:hAnsi="Calibri" w:ascii="Calibri"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12">
    <w:nsid w:val="17AE336D"/>
    <w:multiLevelType w:val="hybridMultilevel"/>
    <w:tmpl w:val="153E57A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3">
    <w:nsid w:val="1873198D"/>
    <w:multiLevelType w:val="hybridMultilevel"/>
    <w:tmpl w:val="D4AE90A8"/>
    <w:lvl w:tplc="0809000F" w:ilvl="0">
      <w:start w:val="1"/>
      <w:numFmt w:val="decimal"/>
      <w:lvlText w:val="%1."/>
      <w:lvlJc w:val="left"/>
      <w:pPr>
        <w:ind w:hanging="360" w:left="720"/>
      </w:pPr>
      <w:rPr>
        <w:rFonts w:hint="default"/>
      </w:rPr>
    </w:lvl>
    <w:lvl w:tentative="true" w:tplc="08090003" w:ilvl="1">
      <w:start w:val="1"/>
      <w:numFmt w:val="bullet"/>
      <w:lvlText w:val="o"/>
      <w:lvlJc w:val="left"/>
      <w:pPr>
        <w:ind w:hanging="360" w:left="1440"/>
      </w:pPr>
      <w:rPr>
        <w:rFonts w:cs="Courier New" w:hAnsi="Courier New" w:ascii="Courier New" w:hint="default"/>
      </w:rPr>
    </w:lvl>
    <w:lvl w:tentative="true" w:tplc="08090005" w:ilvl="2">
      <w:start w:val="1"/>
      <w:numFmt w:val="bullet"/>
      <w:lvlText w:val=""/>
      <w:lvlJc w:val="left"/>
      <w:pPr>
        <w:ind w:hanging="360" w:left="2160"/>
      </w:pPr>
      <w:rPr>
        <w:rFonts w:hAnsi="Wingdings" w:ascii="Wingdings" w:hint="default"/>
      </w:rPr>
    </w:lvl>
    <w:lvl w:tentative="true" w:tplc="08090001" w:ilvl="3">
      <w:start w:val="1"/>
      <w:numFmt w:val="bullet"/>
      <w:lvlText w:val=""/>
      <w:lvlJc w:val="left"/>
      <w:pPr>
        <w:ind w:hanging="360" w:left="2880"/>
      </w:pPr>
      <w:rPr>
        <w:rFonts w:hAnsi="Symbol" w:ascii="Symbol" w:hint="default"/>
      </w:rPr>
    </w:lvl>
    <w:lvl w:tentative="true" w:tplc="08090003" w:ilvl="4">
      <w:start w:val="1"/>
      <w:numFmt w:val="bullet"/>
      <w:lvlText w:val="o"/>
      <w:lvlJc w:val="left"/>
      <w:pPr>
        <w:ind w:hanging="360" w:left="3600"/>
      </w:pPr>
      <w:rPr>
        <w:rFonts w:cs="Courier New" w:hAnsi="Courier New" w:ascii="Courier New" w:hint="default"/>
      </w:rPr>
    </w:lvl>
    <w:lvl w:tentative="true" w:tplc="08090005" w:ilvl="5">
      <w:start w:val="1"/>
      <w:numFmt w:val="bullet"/>
      <w:lvlText w:val=""/>
      <w:lvlJc w:val="left"/>
      <w:pPr>
        <w:ind w:hanging="360" w:left="4320"/>
      </w:pPr>
      <w:rPr>
        <w:rFonts w:hAnsi="Wingdings" w:ascii="Wingdings" w:hint="default"/>
      </w:rPr>
    </w:lvl>
    <w:lvl w:tentative="true" w:tplc="08090001" w:ilvl="6">
      <w:start w:val="1"/>
      <w:numFmt w:val="bullet"/>
      <w:lvlText w:val=""/>
      <w:lvlJc w:val="left"/>
      <w:pPr>
        <w:ind w:hanging="360" w:left="5040"/>
      </w:pPr>
      <w:rPr>
        <w:rFonts w:hAnsi="Symbol" w:ascii="Symbol" w:hint="default"/>
      </w:rPr>
    </w:lvl>
    <w:lvl w:tentative="true" w:tplc="08090003" w:ilvl="7">
      <w:start w:val="1"/>
      <w:numFmt w:val="bullet"/>
      <w:lvlText w:val="o"/>
      <w:lvlJc w:val="left"/>
      <w:pPr>
        <w:ind w:hanging="360" w:left="5760"/>
      </w:pPr>
      <w:rPr>
        <w:rFonts w:cs="Courier New" w:hAnsi="Courier New" w:ascii="Courier New" w:hint="default"/>
      </w:rPr>
    </w:lvl>
    <w:lvl w:tentative="true" w:tplc="08090005" w:ilvl="8">
      <w:start w:val="1"/>
      <w:numFmt w:val="bullet"/>
      <w:lvlText w:val=""/>
      <w:lvlJc w:val="left"/>
      <w:pPr>
        <w:ind w:hanging="360" w:left="6480"/>
      </w:pPr>
      <w:rPr>
        <w:rFonts w:hAnsi="Wingdings" w:ascii="Wingdings" w:hint="default"/>
      </w:rPr>
    </w:lvl>
  </w:abstractNum>
  <w:abstractNum w:abstractNumId="14">
    <w:nsid w:val="19836EDE"/>
    <w:multiLevelType w:val="hybridMultilevel"/>
    <w:tmpl w:val="0C183250"/>
    <w:lvl w:tplc="1166C720"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15">
    <w:nsid w:val="1FD614B3"/>
    <w:multiLevelType w:val="hybridMultilevel"/>
    <w:tmpl w:val="15664E82"/>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6">
    <w:nsid w:val="2A6F0F97"/>
    <w:multiLevelType w:val="hybridMultilevel"/>
    <w:tmpl w:val="A95CDBF2"/>
    <w:lvl w:tplc="D70A2132" w:ilvl="0">
      <w:numFmt w:val="bullet"/>
      <w:lvlText w:val="-"/>
      <w:lvlJc w:val="left"/>
      <w:pPr>
        <w:tabs>
          <w:tab w:pos="428" w:val="num"/>
        </w:tabs>
        <w:ind w:hanging="390" w:left="428"/>
      </w:pPr>
      <w:rPr>
        <w:rFonts w:cs="Times New Roman" w:eastAsia="Times New Roman" w:hAnsi="Times New Roman" w:ascii="Times New Roman" w:hint="default"/>
        <w:color w:val="000000"/>
        <w:sz w:val="28"/>
      </w:rPr>
    </w:lvl>
    <w:lvl w:tplc="041A0003" w:ilvl="1">
      <w:start w:val="1"/>
      <w:numFmt w:val="bullet"/>
      <w:lvlText w:val="o"/>
      <w:lvlJc w:val="left"/>
      <w:pPr>
        <w:tabs>
          <w:tab w:pos="1454" w:val="num"/>
        </w:tabs>
        <w:ind w:hanging="360" w:left="1454"/>
      </w:pPr>
      <w:rPr>
        <w:rFonts w:cs="Courier New" w:hAnsi="Courier New" w:ascii="Courier New" w:hint="default"/>
      </w:rPr>
    </w:lvl>
    <w:lvl w:tentative="true" w:tplc="041A0005" w:ilvl="2">
      <w:start w:val="1"/>
      <w:numFmt w:val="bullet"/>
      <w:lvlText w:val=""/>
      <w:lvlJc w:val="left"/>
      <w:pPr>
        <w:tabs>
          <w:tab w:pos="2174" w:val="num"/>
        </w:tabs>
        <w:ind w:hanging="360" w:left="2174"/>
      </w:pPr>
      <w:rPr>
        <w:rFonts w:hAnsi="Wingdings" w:ascii="Wingdings" w:hint="default"/>
      </w:rPr>
    </w:lvl>
    <w:lvl w:tentative="true" w:tplc="041A0001" w:ilvl="3">
      <w:start w:val="1"/>
      <w:numFmt w:val="bullet"/>
      <w:lvlText w:val=""/>
      <w:lvlJc w:val="left"/>
      <w:pPr>
        <w:tabs>
          <w:tab w:pos="2894" w:val="num"/>
        </w:tabs>
        <w:ind w:hanging="360" w:left="2894"/>
      </w:pPr>
      <w:rPr>
        <w:rFonts w:hAnsi="Symbol" w:ascii="Symbol" w:hint="default"/>
      </w:rPr>
    </w:lvl>
    <w:lvl w:tentative="true" w:tplc="041A0003" w:ilvl="4">
      <w:start w:val="1"/>
      <w:numFmt w:val="bullet"/>
      <w:lvlText w:val="o"/>
      <w:lvlJc w:val="left"/>
      <w:pPr>
        <w:tabs>
          <w:tab w:pos="3614" w:val="num"/>
        </w:tabs>
        <w:ind w:hanging="360" w:left="3614"/>
      </w:pPr>
      <w:rPr>
        <w:rFonts w:cs="Courier New" w:hAnsi="Courier New" w:ascii="Courier New" w:hint="default"/>
      </w:rPr>
    </w:lvl>
    <w:lvl w:tentative="true" w:tplc="041A0005" w:ilvl="5">
      <w:start w:val="1"/>
      <w:numFmt w:val="bullet"/>
      <w:lvlText w:val=""/>
      <w:lvlJc w:val="left"/>
      <w:pPr>
        <w:tabs>
          <w:tab w:pos="4334" w:val="num"/>
        </w:tabs>
        <w:ind w:hanging="360" w:left="4334"/>
      </w:pPr>
      <w:rPr>
        <w:rFonts w:hAnsi="Wingdings" w:ascii="Wingdings" w:hint="default"/>
      </w:rPr>
    </w:lvl>
    <w:lvl w:tentative="true" w:tplc="041A0001" w:ilvl="6">
      <w:start w:val="1"/>
      <w:numFmt w:val="bullet"/>
      <w:lvlText w:val=""/>
      <w:lvlJc w:val="left"/>
      <w:pPr>
        <w:tabs>
          <w:tab w:pos="5054" w:val="num"/>
        </w:tabs>
        <w:ind w:hanging="360" w:left="5054"/>
      </w:pPr>
      <w:rPr>
        <w:rFonts w:hAnsi="Symbol" w:ascii="Symbol" w:hint="default"/>
      </w:rPr>
    </w:lvl>
    <w:lvl w:tentative="true" w:tplc="041A0003" w:ilvl="7">
      <w:start w:val="1"/>
      <w:numFmt w:val="bullet"/>
      <w:lvlText w:val="o"/>
      <w:lvlJc w:val="left"/>
      <w:pPr>
        <w:tabs>
          <w:tab w:pos="5774" w:val="num"/>
        </w:tabs>
        <w:ind w:hanging="360" w:left="5774"/>
      </w:pPr>
      <w:rPr>
        <w:rFonts w:cs="Courier New" w:hAnsi="Courier New" w:ascii="Courier New" w:hint="default"/>
      </w:rPr>
    </w:lvl>
    <w:lvl w:tentative="true" w:tplc="041A0005" w:ilvl="8">
      <w:start w:val="1"/>
      <w:numFmt w:val="bullet"/>
      <w:lvlText w:val=""/>
      <w:lvlJc w:val="left"/>
      <w:pPr>
        <w:tabs>
          <w:tab w:pos="6494" w:val="num"/>
        </w:tabs>
        <w:ind w:hanging="360" w:left="6494"/>
      </w:pPr>
      <w:rPr>
        <w:rFonts w:hAnsi="Wingdings" w:ascii="Wingdings" w:hint="default"/>
      </w:rPr>
    </w:lvl>
  </w:abstractNum>
  <w:abstractNum w:abstractNumId="17">
    <w:nsid w:val="2ACD3991"/>
    <w:multiLevelType w:val="hybridMultilevel"/>
    <w:tmpl w:val="A9D626A6"/>
    <w:lvl w:tplc="635418FA"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8">
    <w:nsid w:val="2C4D301A"/>
    <w:multiLevelType w:val="hybridMultilevel"/>
    <w:tmpl w:val="ADCAC532"/>
    <w:lvl w:tplc="9468F5DC" w:ilvl="0">
      <w:numFmt w:val="bullet"/>
      <w:lvlText w:val="-"/>
      <w:lvlJc w:val="left"/>
      <w:pPr>
        <w:ind w:hanging="360" w:left="1770"/>
      </w:pPr>
      <w:rPr>
        <w:rFonts w:eastAsiaTheme="minorHAnsi" w:cs="Times New Roman" w:hAnsi="Times New Roman" w:ascii="Times New Roman" w:hint="default"/>
      </w:rPr>
    </w:lvl>
    <w:lvl w:tentative="true" w:tplc="041A0003" w:ilvl="1">
      <w:start w:val="1"/>
      <w:numFmt w:val="bullet"/>
      <w:lvlText w:val="o"/>
      <w:lvlJc w:val="left"/>
      <w:pPr>
        <w:ind w:hanging="360" w:left="2490"/>
      </w:pPr>
      <w:rPr>
        <w:rFonts w:cs="Courier New" w:hAnsi="Courier New" w:ascii="Courier New" w:hint="default"/>
      </w:rPr>
    </w:lvl>
    <w:lvl w:tentative="true" w:tplc="041A0005" w:ilvl="2">
      <w:start w:val="1"/>
      <w:numFmt w:val="bullet"/>
      <w:lvlText w:val=""/>
      <w:lvlJc w:val="left"/>
      <w:pPr>
        <w:ind w:hanging="360" w:left="3210"/>
      </w:pPr>
      <w:rPr>
        <w:rFonts w:hAnsi="Wingdings" w:ascii="Wingdings" w:hint="default"/>
      </w:rPr>
    </w:lvl>
    <w:lvl w:tentative="true" w:tplc="041A0001" w:ilvl="3">
      <w:start w:val="1"/>
      <w:numFmt w:val="bullet"/>
      <w:lvlText w:val=""/>
      <w:lvlJc w:val="left"/>
      <w:pPr>
        <w:ind w:hanging="360" w:left="3930"/>
      </w:pPr>
      <w:rPr>
        <w:rFonts w:hAnsi="Symbol" w:ascii="Symbol" w:hint="default"/>
      </w:rPr>
    </w:lvl>
    <w:lvl w:tentative="true" w:tplc="041A0003" w:ilvl="4">
      <w:start w:val="1"/>
      <w:numFmt w:val="bullet"/>
      <w:lvlText w:val="o"/>
      <w:lvlJc w:val="left"/>
      <w:pPr>
        <w:ind w:hanging="360" w:left="4650"/>
      </w:pPr>
      <w:rPr>
        <w:rFonts w:cs="Courier New" w:hAnsi="Courier New" w:ascii="Courier New" w:hint="default"/>
      </w:rPr>
    </w:lvl>
    <w:lvl w:tentative="true" w:tplc="041A0005" w:ilvl="5">
      <w:start w:val="1"/>
      <w:numFmt w:val="bullet"/>
      <w:lvlText w:val=""/>
      <w:lvlJc w:val="left"/>
      <w:pPr>
        <w:ind w:hanging="360" w:left="5370"/>
      </w:pPr>
      <w:rPr>
        <w:rFonts w:hAnsi="Wingdings" w:ascii="Wingdings" w:hint="default"/>
      </w:rPr>
    </w:lvl>
    <w:lvl w:tentative="true" w:tplc="041A0001" w:ilvl="6">
      <w:start w:val="1"/>
      <w:numFmt w:val="bullet"/>
      <w:lvlText w:val=""/>
      <w:lvlJc w:val="left"/>
      <w:pPr>
        <w:ind w:hanging="360" w:left="6090"/>
      </w:pPr>
      <w:rPr>
        <w:rFonts w:hAnsi="Symbol" w:ascii="Symbol" w:hint="default"/>
      </w:rPr>
    </w:lvl>
    <w:lvl w:tentative="true" w:tplc="041A0003" w:ilvl="7">
      <w:start w:val="1"/>
      <w:numFmt w:val="bullet"/>
      <w:lvlText w:val="o"/>
      <w:lvlJc w:val="left"/>
      <w:pPr>
        <w:ind w:hanging="360" w:left="6810"/>
      </w:pPr>
      <w:rPr>
        <w:rFonts w:cs="Courier New" w:hAnsi="Courier New" w:ascii="Courier New" w:hint="default"/>
      </w:rPr>
    </w:lvl>
    <w:lvl w:tentative="true" w:tplc="041A0005" w:ilvl="8">
      <w:start w:val="1"/>
      <w:numFmt w:val="bullet"/>
      <w:lvlText w:val=""/>
      <w:lvlJc w:val="left"/>
      <w:pPr>
        <w:ind w:hanging="360" w:left="7530"/>
      </w:pPr>
      <w:rPr>
        <w:rFonts w:hAnsi="Wingdings" w:ascii="Wingdings" w:hint="default"/>
      </w:rPr>
    </w:lvl>
  </w:abstractNum>
  <w:abstractNum w:abstractNumId="19">
    <w:nsid w:val="349451E4"/>
    <w:multiLevelType w:val="multilevel"/>
    <w:tmpl w:val="6658C526"/>
    <w:lvl w:ilvl="0">
      <w:start w:val="1"/>
      <w:numFmt w:val="decimal"/>
      <w:lvlText w:val="%1."/>
      <w:lvlJc w:val="left"/>
      <w:pPr>
        <w:tabs>
          <w:tab w:pos="930" w:val="num"/>
        </w:tabs>
        <w:ind w:hanging="375" w:left="930"/>
      </w:pPr>
    </w:lvl>
    <w:lvl w:tentative="true" w:ilvl="1">
      <w:start w:val="1"/>
      <w:numFmt w:val="lowerLetter"/>
      <w:lvlText w:val="%2."/>
      <w:lvlJc w:val="left"/>
      <w:pPr>
        <w:ind w:hanging="360" w:left="1800"/>
      </w:pPr>
    </w:lvl>
    <w:lvl w:tentative="true" w:ilvl="2">
      <w:start w:val="1"/>
      <w:numFmt w:val="lowerRoman"/>
      <w:lvlText w:val="%3."/>
      <w:lvlJc w:val="right"/>
      <w:pPr>
        <w:ind w:hanging="180" w:left="2520"/>
      </w:pPr>
    </w:lvl>
    <w:lvl w:tentative="true" w:ilvl="3">
      <w:start w:val="1"/>
      <w:numFmt w:val="decimal"/>
      <w:lvlText w:val="%4."/>
      <w:lvlJc w:val="left"/>
      <w:pPr>
        <w:ind w:hanging="360" w:left="3240"/>
      </w:pPr>
    </w:lvl>
    <w:lvl w:tentative="true" w:ilvl="4">
      <w:start w:val="1"/>
      <w:numFmt w:val="lowerLetter"/>
      <w:lvlText w:val="%5."/>
      <w:lvlJc w:val="left"/>
      <w:pPr>
        <w:ind w:hanging="360" w:left="3960"/>
      </w:pPr>
    </w:lvl>
    <w:lvl w:tentative="true" w:ilvl="5">
      <w:start w:val="1"/>
      <w:numFmt w:val="lowerRoman"/>
      <w:lvlText w:val="%6."/>
      <w:lvlJc w:val="right"/>
      <w:pPr>
        <w:ind w:hanging="180" w:left="4680"/>
      </w:pPr>
    </w:lvl>
    <w:lvl w:tentative="true" w:ilvl="6">
      <w:start w:val="1"/>
      <w:numFmt w:val="decimal"/>
      <w:lvlText w:val="%7."/>
      <w:lvlJc w:val="left"/>
      <w:pPr>
        <w:ind w:hanging="360" w:left="5400"/>
      </w:pPr>
    </w:lvl>
    <w:lvl w:tentative="true" w:ilvl="7">
      <w:start w:val="1"/>
      <w:numFmt w:val="lowerLetter"/>
      <w:lvlText w:val="%8."/>
      <w:lvlJc w:val="left"/>
      <w:pPr>
        <w:ind w:hanging="360" w:left="6120"/>
      </w:pPr>
    </w:lvl>
    <w:lvl w:tentative="true" w:ilvl="8">
      <w:start w:val="1"/>
      <w:numFmt w:val="lowerRoman"/>
      <w:lvlText w:val="%9."/>
      <w:lvlJc w:val="right"/>
      <w:pPr>
        <w:ind w:hanging="180" w:left="6840"/>
      </w:pPr>
    </w:lvl>
  </w:abstractNum>
  <w:abstractNum w:abstractNumId="20">
    <w:nsid w:val="3E655FEF"/>
    <w:multiLevelType w:val="hybridMultilevel"/>
    <w:tmpl w:val="E8E8ADDC"/>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1">
    <w:nsid w:val="45C54E75"/>
    <w:multiLevelType w:val="hybridMultilevel"/>
    <w:tmpl w:val="A27AADB2"/>
    <w:lvl w:tplc="574466B4" w:ilvl="0">
      <w:start w:val="3"/>
      <w:numFmt w:val="bullet"/>
      <w:lvlText w:val="-"/>
      <w:lvlJc w:val="left"/>
      <w:pPr>
        <w:ind w:hanging="360" w:left="36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22">
    <w:nsid w:val="4BA36E54"/>
    <w:multiLevelType w:val="hybridMultilevel"/>
    <w:tmpl w:val="E8E8ADDC"/>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3">
    <w:nsid w:val="4EA37BEF"/>
    <w:multiLevelType w:val="hybridMultilevel"/>
    <w:tmpl w:val="052CAE4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4">
    <w:nsid w:val="554A4EDA"/>
    <w:multiLevelType w:val="hybridMultilevel"/>
    <w:tmpl w:val="AAC0FDE4"/>
    <w:lvl w:tplc="BC6E78B2" w:ilvl="0">
      <w:start w:val="48"/>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5">
    <w:nsid w:val="57187930"/>
    <w:multiLevelType w:val="hybridMultilevel"/>
    <w:tmpl w:val="FA1A39E2"/>
    <w:lvl w:tplc="B46E8CD2" w:ilvl="0">
      <w:start w:val="1"/>
      <w:numFmt w:val="bullet"/>
      <w:lvlText w:val="-"/>
      <w:lvlJc w:val="left"/>
      <w:pPr>
        <w:ind w:hanging="360" w:left="720"/>
      </w:pPr>
      <w:rPr>
        <w:rFonts w:eastAsiaTheme="minorEastAsia"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6">
    <w:nsid w:val="5E787226"/>
    <w:multiLevelType w:val="hybridMultilevel"/>
    <w:tmpl w:val="5348506E"/>
    <w:lvl w:tplc="0958CA74"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7">
    <w:nsid w:val="6374277F"/>
    <w:multiLevelType w:val="multilevel"/>
    <w:tmpl w:val="9AD45B12"/>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8">
    <w:nsid w:val="6A4F15B4"/>
    <w:multiLevelType w:val="hybridMultilevel"/>
    <w:tmpl w:val="EAB6F9FC"/>
    <w:lvl w:tplc="BEBE12A2" w:ilvl="0">
      <w:start w:val="1"/>
      <w:numFmt w:val="decimal"/>
      <w:lvlText w:val="%1."/>
      <w:lvlJc w:val="left"/>
      <w:pPr>
        <w:ind w:hanging="360" w:left="72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9">
    <w:nsid w:val="768346F7"/>
    <w:multiLevelType w:val="hybridMultilevel"/>
    <w:tmpl w:val="BC0A68D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0">
    <w:nsid w:val="7A4631F9"/>
    <w:multiLevelType w:val="hybridMultilevel"/>
    <w:tmpl w:val="55C86C5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 w:numId="2">
    <w:abstractNumId w:val="16"/>
  </w:num>
  <w:num w:numId="3">
    <w:abstractNumId w:val="26"/>
  </w:num>
  <w:num w:numId="4">
    <w:abstractNumId w:val="11"/>
  </w:num>
  <w:num w:numId="5">
    <w:abstractNumId w:val="20"/>
  </w:num>
  <w:num w:numId="6">
    <w:abstractNumId w:val="22"/>
  </w:num>
  <w:num w:numId="7">
    <w:abstractNumId w:val="12"/>
  </w:num>
  <w:num w:numId="8">
    <w:abstractNumId w:val="1"/>
  </w:num>
  <w:num w:numId="9">
    <w:abstractNumId w:val="2"/>
  </w:num>
  <w:num w:numId="10">
    <w:abstractNumId w:val="3"/>
  </w:num>
  <w:num w:numId="11">
    <w:abstractNumId w:val="4"/>
  </w:num>
  <w:num w:numId="12">
    <w:abstractNumId w:val="5"/>
  </w:num>
  <w:num w:numId="13">
    <w:abstractNumId w:val="6"/>
  </w:num>
  <w:num w:numId="1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9"/>
  </w:num>
  <w:num w:numId="16">
    <w:abstractNumId w:val="17"/>
  </w:num>
  <w:num w:numId="1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1"/>
  </w:num>
  <w:num w:numId="2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4"/>
  </w:num>
  <w:num w:numId="22">
    <w:abstractNumId w:val="18"/>
  </w:num>
  <w:num w:numId="23">
    <w:abstractNumId w:val="23"/>
  </w:num>
  <w:num w:numId="24">
    <w:abstractNumId w:val="28"/>
  </w:num>
  <w:num w:numId="25">
    <w:abstractNumId w:val="25"/>
  </w:num>
  <w:num w:numId="26">
    <w:abstractNumId w:val="9"/>
  </w:num>
  <w:num w:numId="27">
    <w:abstractNumId w:val="29"/>
  </w:num>
  <w:num w:numId="28">
    <w:abstractNumId w:val="7"/>
  </w:num>
  <w:num w:numId="29">
    <w:abstractNumId w:val="30"/>
  </w:num>
  <w:num w:numId="30">
    <w:abstractNumId w:val="13"/>
  </w:num>
  <w:num w:numId="3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characterSpacingControl w:val="doNotCompress"/>
  <w:hdrShapeDefaults>
    <o:shapedefaults v:ext="edit" spidmax="12697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53FF6"/>
    <w:rsid w:val="00000AD1"/>
    <w:rsid w:val="00001868"/>
    <w:rsid w:val="000022AD"/>
    <w:rsid w:val="000039FF"/>
    <w:rsid w:val="000072E2"/>
    <w:rsid w:val="000079B9"/>
    <w:rsid w:val="00011BA0"/>
    <w:rsid w:val="00014DED"/>
    <w:rsid w:val="0001698E"/>
    <w:rsid w:val="00020DF7"/>
    <w:rsid w:val="0002148E"/>
    <w:rsid w:val="00021C8C"/>
    <w:rsid w:val="000232A5"/>
    <w:rsid w:val="0002497F"/>
    <w:rsid w:val="00027B30"/>
    <w:rsid w:val="00030559"/>
    <w:rsid w:val="000322B1"/>
    <w:rsid w:val="00033B31"/>
    <w:rsid w:val="0003629C"/>
    <w:rsid w:val="00037E28"/>
    <w:rsid w:val="00042895"/>
    <w:rsid w:val="000457CD"/>
    <w:rsid w:val="00046063"/>
    <w:rsid w:val="00047061"/>
    <w:rsid w:val="000517EC"/>
    <w:rsid w:val="00054C74"/>
    <w:rsid w:val="0005541E"/>
    <w:rsid w:val="000556B6"/>
    <w:rsid w:val="000559B8"/>
    <w:rsid w:val="00056C8A"/>
    <w:rsid w:val="00057A5A"/>
    <w:rsid w:val="00057BDD"/>
    <w:rsid w:val="00057DB7"/>
    <w:rsid w:val="00064134"/>
    <w:rsid w:val="0007058D"/>
    <w:rsid w:val="00071633"/>
    <w:rsid w:val="00074A3D"/>
    <w:rsid w:val="00077B6B"/>
    <w:rsid w:val="000912F0"/>
    <w:rsid w:val="00094398"/>
    <w:rsid w:val="00094AB4"/>
    <w:rsid w:val="00094AE9"/>
    <w:rsid w:val="000959C4"/>
    <w:rsid w:val="00095ADF"/>
    <w:rsid w:val="000A1E2A"/>
    <w:rsid w:val="000A3575"/>
    <w:rsid w:val="000A7E18"/>
    <w:rsid w:val="000B3B1B"/>
    <w:rsid w:val="000B404B"/>
    <w:rsid w:val="000B50B8"/>
    <w:rsid w:val="000B649A"/>
    <w:rsid w:val="000B796B"/>
    <w:rsid w:val="000B7B61"/>
    <w:rsid w:val="000B7F7B"/>
    <w:rsid w:val="000C0E3E"/>
    <w:rsid w:val="000C4BFE"/>
    <w:rsid w:val="000D0E0E"/>
    <w:rsid w:val="000D272E"/>
    <w:rsid w:val="000D28B2"/>
    <w:rsid w:val="000D6BA8"/>
    <w:rsid w:val="000D6CDF"/>
    <w:rsid w:val="000D7C0F"/>
    <w:rsid w:val="000D7DFE"/>
    <w:rsid w:val="000E1538"/>
    <w:rsid w:val="000E2A06"/>
    <w:rsid w:val="000E3266"/>
    <w:rsid w:val="000E3D49"/>
    <w:rsid w:val="000E7ADD"/>
    <w:rsid w:val="000F0142"/>
    <w:rsid w:val="000F0EBC"/>
    <w:rsid w:val="000F1C78"/>
    <w:rsid w:val="000F4ADA"/>
    <w:rsid w:val="001001FB"/>
    <w:rsid w:val="00103804"/>
    <w:rsid w:val="0010502C"/>
    <w:rsid w:val="0010553E"/>
    <w:rsid w:val="0010567A"/>
    <w:rsid w:val="00105802"/>
    <w:rsid w:val="00107F5E"/>
    <w:rsid w:val="0011067C"/>
    <w:rsid w:val="00110B5F"/>
    <w:rsid w:val="0011161B"/>
    <w:rsid w:val="0011345F"/>
    <w:rsid w:val="001139BC"/>
    <w:rsid w:val="00113E37"/>
    <w:rsid w:val="00115093"/>
    <w:rsid w:val="00115571"/>
    <w:rsid w:val="00115992"/>
    <w:rsid w:val="00117D8C"/>
    <w:rsid w:val="001224B2"/>
    <w:rsid w:val="00122870"/>
    <w:rsid w:val="00124E6B"/>
    <w:rsid w:val="00126170"/>
    <w:rsid w:val="00126497"/>
    <w:rsid w:val="00126873"/>
    <w:rsid w:val="00127F65"/>
    <w:rsid w:val="001300AF"/>
    <w:rsid w:val="001314BD"/>
    <w:rsid w:val="0013610F"/>
    <w:rsid w:val="00141CE9"/>
    <w:rsid w:val="00143B09"/>
    <w:rsid w:val="00144C1A"/>
    <w:rsid w:val="00150D16"/>
    <w:rsid w:val="00151B3D"/>
    <w:rsid w:val="0015448A"/>
    <w:rsid w:val="00155D26"/>
    <w:rsid w:val="00155D9A"/>
    <w:rsid w:val="00162DBE"/>
    <w:rsid w:val="00164375"/>
    <w:rsid w:val="00165A0D"/>
    <w:rsid w:val="00166167"/>
    <w:rsid w:val="00172202"/>
    <w:rsid w:val="00172D60"/>
    <w:rsid w:val="00175846"/>
    <w:rsid w:val="00175AE1"/>
    <w:rsid w:val="00175CA0"/>
    <w:rsid w:val="00182185"/>
    <w:rsid w:val="00182244"/>
    <w:rsid w:val="001847BE"/>
    <w:rsid w:val="001875E5"/>
    <w:rsid w:val="001876F9"/>
    <w:rsid w:val="0019171F"/>
    <w:rsid w:val="00192476"/>
    <w:rsid w:val="001932CC"/>
    <w:rsid w:val="001953DB"/>
    <w:rsid w:val="001A007B"/>
    <w:rsid w:val="001A16C9"/>
    <w:rsid w:val="001A4F52"/>
    <w:rsid w:val="001A501E"/>
    <w:rsid w:val="001B1357"/>
    <w:rsid w:val="001B2642"/>
    <w:rsid w:val="001B2756"/>
    <w:rsid w:val="001B2FB3"/>
    <w:rsid w:val="001B5959"/>
    <w:rsid w:val="001B7518"/>
    <w:rsid w:val="001B7A0E"/>
    <w:rsid w:val="001C14A2"/>
    <w:rsid w:val="001C42B4"/>
    <w:rsid w:val="001C50EF"/>
    <w:rsid w:val="001D56BB"/>
    <w:rsid w:val="001D6014"/>
    <w:rsid w:val="001E0404"/>
    <w:rsid w:val="001E1576"/>
    <w:rsid w:val="001E1FBD"/>
    <w:rsid w:val="001E5599"/>
    <w:rsid w:val="001F1A91"/>
    <w:rsid w:val="001F30CC"/>
    <w:rsid w:val="001F34B5"/>
    <w:rsid w:val="001F46C6"/>
    <w:rsid w:val="001F7087"/>
    <w:rsid w:val="00200583"/>
    <w:rsid w:val="002011F7"/>
    <w:rsid w:val="0020261B"/>
    <w:rsid w:val="00202A52"/>
    <w:rsid w:val="0020394D"/>
    <w:rsid w:val="00205652"/>
    <w:rsid w:val="00206437"/>
    <w:rsid w:val="0021069A"/>
    <w:rsid w:val="002106B6"/>
    <w:rsid w:val="00212A74"/>
    <w:rsid w:val="00217B3D"/>
    <w:rsid w:val="00225EC1"/>
    <w:rsid w:val="00237320"/>
    <w:rsid w:val="00240B29"/>
    <w:rsid w:val="00242371"/>
    <w:rsid w:val="0024696F"/>
    <w:rsid w:val="002505ED"/>
    <w:rsid w:val="00253704"/>
    <w:rsid w:val="00257192"/>
    <w:rsid w:val="00257A66"/>
    <w:rsid w:val="00271875"/>
    <w:rsid w:val="00271ADD"/>
    <w:rsid w:val="00274EEE"/>
    <w:rsid w:val="002753EC"/>
    <w:rsid w:val="0027653E"/>
    <w:rsid w:val="00280D1D"/>
    <w:rsid w:val="00293205"/>
    <w:rsid w:val="002956CD"/>
    <w:rsid w:val="002A1D92"/>
    <w:rsid w:val="002A3A8D"/>
    <w:rsid w:val="002A6ACD"/>
    <w:rsid w:val="002A6D1A"/>
    <w:rsid w:val="002A7EC3"/>
    <w:rsid w:val="002B262D"/>
    <w:rsid w:val="002B3C8C"/>
    <w:rsid w:val="002B7B9E"/>
    <w:rsid w:val="002C04C6"/>
    <w:rsid w:val="002C45E2"/>
    <w:rsid w:val="002D3EE7"/>
    <w:rsid w:val="002D7B8A"/>
    <w:rsid w:val="002E01C2"/>
    <w:rsid w:val="002E0852"/>
    <w:rsid w:val="002E1864"/>
    <w:rsid w:val="002E59B3"/>
    <w:rsid w:val="002F1C90"/>
    <w:rsid w:val="002F41A1"/>
    <w:rsid w:val="00303628"/>
    <w:rsid w:val="003039DD"/>
    <w:rsid w:val="003041C1"/>
    <w:rsid w:val="003133CB"/>
    <w:rsid w:val="003144DF"/>
    <w:rsid w:val="00316A33"/>
    <w:rsid w:val="00316C3B"/>
    <w:rsid w:val="0032019A"/>
    <w:rsid w:val="00320681"/>
    <w:rsid w:val="003214B5"/>
    <w:rsid w:val="003216AA"/>
    <w:rsid w:val="00322042"/>
    <w:rsid w:val="003220FD"/>
    <w:rsid w:val="0032364C"/>
    <w:rsid w:val="003378F8"/>
    <w:rsid w:val="003408B0"/>
    <w:rsid w:val="003418FE"/>
    <w:rsid w:val="00342482"/>
    <w:rsid w:val="003505A9"/>
    <w:rsid w:val="00363841"/>
    <w:rsid w:val="00370475"/>
    <w:rsid w:val="00380752"/>
    <w:rsid w:val="00382685"/>
    <w:rsid w:val="00382F97"/>
    <w:rsid w:val="0038417C"/>
    <w:rsid w:val="003845DB"/>
    <w:rsid w:val="00385B17"/>
    <w:rsid w:val="00385DE7"/>
    <w:rsid w:val="003860E0"/>
    <w:rsid w:val="00390D1A"/>
    <w:rsid w:val="00394B9F"/>
    <w:rsid w:val="00396443"/>
    <w:rsid w:val="003A1679"/>
    <w:rsid w:val="003A5728"/>
    <w:rsid w:val="003A6002"/>
    <w:rsid w:val="003B020D"/>
    <w:rsid w:val="003B27AF"/>
    <w:rsid w:val="003C1DCA"/>
    <w:rsid w:val="003C5DCB"/>
    <w:rsid w:val="003C6A5D"/>
    <w:rsid w:val="003D4DD0"/>
    <w:rsid w:val="003E1FDA"/>
    <w:rsid w:val="003E49B9"/>
    <w:rsid w:val="003E4BFA"/>
    <w:rsid w:val="003E5674"/>
    <w:rsid w:val="003F00DA"/>
    <w:rsid w:val="003F01CF"/>
    <w:rsid w:val="003F4A7C"/>
    <w:rsid w:val="004007FD"/>
    <w:rsid w:val="00406869"/>
    <w:rsid w:val="00407B05"/>
    <w:rsid w:val="00407F8C"/>
    <w:rsid w:val="00410609"/>
    <w:rsid w:val="004113B8"/>
    <w:rsid w:val="0041182B"/>
    <w:rsid w:val="00411D1B"/>
    <w:rsid w:val="00412031"/>
    <w:rsid w:val="0041239B"/>
    <w:rsid w:val="00412E8B"/>
    <w:rsid w:val="00413DAB"/>
    <w:rsid w:val="004228CF"/>
    <w:rsid w:val="00426057"/>
    <w:rsid w:val="00427B12"/>
    <w:rsid w:val="00427BF5"/>
    <w:rsid w:val="00431553"/>
    <w:rsid w:val="00433369"/>
    <w:rsid w:val="0044450B"/>
    <w:rsid w:val="00446C91"/>
    <w:rsid w:val="004527C0"/>
    <w:rsid w:val="00455FA4"/>
    <w:rsid w:val="00456DF3"/>
    <w:rsid w:val="00456F28"/>
    <w:rsid w:val="00461ECA"/>
    <w:rsid w:val="00462075"/>
    <w:rsid w:val="004642DE"/>
    <w:rsid w:val="00464313"/>
    <w:rsid w:val="00464E3A"/>
    <w:rsid w:val="0046757C"/>
    <w:rsid w:val="004718C3"/>
    <w:rsid w:val="00471FE8"/>
    <w:rsid w:val="00477293"/>
    <w:rsid w:val="00480A89"/>
    <w:rsid w:val="004843E5"/>
    <w:rsid w:val="0049076A"/>
    <w:rsid w:val="00491322"/>
    <w:rsid w:val="004921CA"/>
    <w:rsid w:val="00497572"/>
    <w:rsid w:val="004A33CA"/>
    <w:rsid w:val="004A38B4"/>
    <w:rsid w:val="004B0917"/>
    <w:rsid w:val="004B35A8"/>
    <w:rsid w:val="004B4EC3"/>
    <w:rsid w:val="004D07EF"/>
    <w:rsid w:val="004D1EBA"/>
    <w:rsid w:val="004E0DCB"/>
    <w:rsid w:val="004E2E52"/>
    <w:rsid w:val="004E3BB6"/>
    <w:rsid w:val="004E6CEF"/>
    <w:rsid w:val="004F0F1B"/>
    <w:rsid w:val="004F1276"/>
    <w:rsid w:val="00503BF4"/>
    <w:rsid w:val="005154DA"/>
    <w:rsid w:val="00515C65"/>
    <w:rsid w:val="00515EF4"/>
    <w:rsid w:val="005168BE"/>
    <w:rsid w:val="00521AEE"/>
    <w:rsid w:val="0052515C"/>
    <w:rsid w:val="00530689"/>
    <w:rsid w:val="0053166F"/>
    <w:rsid w:val="00532F34"/>
    <w:rsid w:val="00536010"/>
    <w:rsid w:val="00540890"/>
    <w:rsid w:val="00541000"/>
    <w:rsid w:val="00542B77"/>
    <w:rsid w:val="005501AB"/>
    <w:rsid w:val="005568C5"/>
    <w:rsid w:val="00556E6A"/>
    <w:rsid w:val="00561466"/>
    <w:rsid w:val="00563891"/>
    <w:rsid w:val="005656EC"/>
    <w:rsid w:val="00567070"/>
    <w:rsid w:val="00571833"/>
    <w:rsid w:val="00571D36"/>
    <w:rsid w:val="00575D4E"/>
    <w:rsid w:val="005762A7"/>
    <w:rsid w:val="00577C20"/>
    <w:rsid w:val="00580B43"/>
    <w:rsid w:val="00587DBA"/>
    <w:rsid w:val="005901F0"/>
    <w:rsid w:val="005928D1"/>
    <w:rsid w:val="00596EB6"/>
    <w:rsid w:val="005A1446"/>
    <w:rsid w:val="005A16BB"/>
    <w:rsid w:val="005A1B42"/>
    <w:rsid w:val="005A2CF3"/>
    <w:rsid w:val="005A3188"/>
    <w:rsid w:val="005B000E"/>
    <w:rsid w:val="005B028D"/>
    <w:rsid w:val="005B525A"/>
    <w:rsid w:val="005B6C47"/>
    <w:rsid w:val="005C04B1"/>
    <w:rsid w:val="005C6799"/>
    <w:rsid w:val="005D1023"/>
    <w:rsid w:val="005D16E8"/>
    <w:rsid w:val="005E0FA2"/>
    <w:rsid w:val="005E3E42"/>
    <w:rsid w:val="005E5D9C"/>
    <w:rsid w:val="005F4968"/>
    <w:rsid w:val="00607EA2"/>
    <w:rsid w:val="00611B77"/>
    <w:rsid w:val="0061420B"/>
    <w:rsid w:val="006165AE"/>
    <w:rsid w:val="00617459"/>
    <w:rsid w:val="0062286E"/>
    <w:rsid w:val="00623081"/>
    <w:rsid w:val="00623BBA"/>
    <w:rsid w:val="00624D4F"/>
    <w:rsid w:val="00626120"/>
    <w:rsid w:val="00631C0B"/>
    <w:rsid w:val="00632F42"/>
    <w:rsid w:val="00634789"/>
    <w:rsid w:val="00636A2A"/>
    <w:rsid w:val="006370C5"/>
    <w:rsid w:val="006378A1"/>
    <w:rsid w:val="00640018"/>
    <w:rsid w:val="0064196D"/>
    <w:rsid w:val="00643DBE"/>
    <w:rsid w:val="006471B8"/>
    <w:rsid w:val="00650286"/>
    <w:rsid w:val="006524E6"/>
    <w:rsid w:val="006528D4"/>
    <w:rsid w:val="006607A1"/>
    <w:rsid w:val="00663853"/>
    <w:rsid w:val="006640D9"/>
    <w:rsid w:val="006643F6"/>
    <w:rsid w:val="00666D8B"/>
    <w:rsid w:val="0066738A"/>
    <w:rsid w:val="00671107"/>
    <w:rsid w:val="00673C03"/>
    <w:rsid w:val="006747B7"/>
    <w:rsid w:val="00683A8B"/>
    <w:rsid w:val="00684164"/>
    <w:rsid w:val="00686EFF"/>
    <w:rsid w:val="006877D2"/>
    <w:rsid w:val="00687917"/>
    <w:rsid w:val="00691457"/>
    <w:rsid w:val="00692559"/>
    <w:rsid w:val="00692CC9"/>
    <w:rsid w:val="00693832"/>
    <w:rsid w:val="00696EA1"/>
    <w:rsid w:val="006A01CC"/>
    <w:rsid w:val="006A4FAF"/>
    <w:rsid w:val="006B0CE1"/>
    <w:rsid w:val="006B22FB"/>
    <w:rsid w:val="006B2B2C"/>
    <w:rsid w:val="006C17D4"/>
    <w:rsid w:val="006C32ED"/>
    <w:rsid w:val="006C47AB"/>
    <w:rsid w:val="006C5597"/>
    <w:rsid w:val="006C618A"/>
    <w:rsid w:val="006D3496"/>
    <w:rsid w:val="006E11F9"/>
    <w:rsid w:val="006E4FEA"/>
    <w:rsid w:val="006E6245"/>
    <w:rsid w:val="006E7CA8"/>
    <w:rsid w:val="006F2DC3"/>
    <w:rsid w:val="006F2F2E"/>
    <w:rsid w:val="006F2FAC"/>
    <w:rsid w:val="006F3E6F"/>
    <w:rsid w:val="006F5092"/>
    <w:rsid w:val="00702714"/>
    <w:rsid w:val="0070654E"/>
    <w:rsid w:val="00715157"/>
    <w:rsid w:val="007152C1"/>
    <w:rsid w:val="0071633C"/>
    <w:rsid w:val="00723D06"/>
    <w:rsid w:val="00725D8C"/>
    <w:rsid w:val="00725E76"/>
    <w:rsid w:val="007265E7"/>
    <w:rsid w:val="00726792"/>
    <w:rsid w:val="00726E8E"/>
    <w:rsid w:val="00732558"/>
    <w:rsid w:val="00733A1C"/>
    <w:rsid w:val="00736E2D"/>
    <w:rsid w:val="00737273"/>
    <w:rsid w:val="00740D90"/>
    <w:rsid w:val="00742560"/>
    <w:rsid w:val="00742688"/>
    <w:rsid w:val="0075064E"/>
    <w:rsid w:val="00752DB8"/>
    <w:rsid w:val="00753FA5"/>
    <w:rsid w:val="00754DEC"/>
    <w:rsid w:val="0075543A"/>
    <w:rsid w:val="00756047"/>
    <w:rsid w:val="0076080B"/>
    <w:rsid w:val="00760D2B"/>
    <w:rsid w:val="00762A0F"/>
    <w:rsid w:val="0076544A"/>
    <w:rsid w:val="007657B8"/>
    <w:rsid w:val="00766E12"/>
    <w:rsid w:val="007752F6"/>
    <w:rsid w:val="00775953"/>
    <w:rsid w:val="007762AC"/>
    <w:rsid w:val="0077792F"/>
    <w:rsid w:val="00781A76"/>
    <w:rsid w:val="00781F0F"/>
    <w:rsid w:val="0078250E"/>
    <w:rsid w:val="00783A86"/>
    <w:rsid w:val="00784B13"/>
    <w:rsid w:val="00792D69"/>
    <w:rsid w:val="00795825"/>
    <w:rsid w:val="00796A95"/>
    <w:rsid w:val="0079778C"/>
    <w:rsid w:val="007A3AEB"/>
    <w:rsid w:val="007B1143"/>
    <w:rsid w:val="007B23EA"/>
    <w:rsid w:val="007B2E1E"/>
    <w:rsid w:val="007B3A1D"/>
    <w:rsid w:val="007B68C2"/>
    <w:rsid w:val="007C305A"/>
    <w:rsid w:val="007C5BCB"/>
    <w:rsid w:val="007C6B1D"/>
    <w:rsid w:val="007D0C12"/>
    <w:rsid w:val="007D20D6"/>
    <w:rsid w:val="007D24CB"/>
    <w:rsid w:val="007D2A47"/>
    <w:rsid w:val="007D4319"/>
    <w:rsid w:val="007D4F95"/>
    <w:rsid w:val="007E2511"/>
    <w:rsid w:val="007E612B"/>
    <w:rsid w:val="007E65C6"/>
    <w:rsid w:val="007F1362"/>
    <w:rsid w:val="007F34F0"/>
    <w:rsid w:val="007F7076"/>
    <w:rsid w:val="007F72CE"/>
    <w:rsid w:val="0080559F"/>
    <w:rsid w:val="00805B00"/>
    <w:rsid w:val="00806FDD"/>
    <w:rsid w:val="00810915"/>
    <w:rsid w:val="00814D44"/>
    <w:rsid w:val="0082501F"/>
    <w:rsid w:val="008258A0"/>
    <w:rsid w:val="0083259F"/>
    <w:rsid w:val="008362E0"/>
    <w:rsid w:val="008408D7"/>
    <w:rsid w:val="00844225"/>
    <w:rsid w:val="00852275"/>
    <w:rsid w:val="00852B0D"/>
    <w:rsid w:val="00853FF6"/>
    <w:rsid w:val="00854AAE"/>
    <w:rsid w:val="00860209"/>
    <w:rsid w:val="0086044C"/>
    <w:rsid w:val="008604EE"/>
    <w:rsid w:val="00860BCD"/>
    <w:rsid w:val="00860EFC"/>
    <w:rsid w:val="008621E0"/>
    <w:rsid w:val="00862E38"/>
    <w:rsid w:val="00871B7F"/>
    <w:rsid w:val="008770DE"/>
    <w:rsid w:val="00887483"/>
    <w:rsid w:val="0089076F"/>
    <w:rsid w:val="00895E2C"/>
    <w:rsid w:val="008A286D"/>
    <w:rsid w:val="008A450E"/>
    <w:rsid w:val="008A58F1"/>
    <w:rsid w:val="008A5D03"/>
    <w:rsid w:val="008A69BD"/>
    <w:rsid w:val="008B25B6"/>
    <w:rsid w:val="008B25B7"/>
    <w:rsid w:val="008B28EF"/>
    <w:rsid w:val="008B59BF"/>
    <w:rsid w:val="008B6173"/>
    <w:rsid w:val="008B7B64"/>
    <w:rsid w:val="008C1909"/>
    <w:rsid w:val="008C1AC8"/>
    <w:rsid w:val="008C344A"/>
    <w:rsid w:val="008C7965"/>
    <w:rsid w:val="008D2F0C"/>
    <w:rsid w:val="008D6A10"/>
    <w:rsid w:val="008E7775"/>
    <w:rsid w:val="008E7C3F"/>
    <w:rsid w:val="008E7D0C"/>
    <w:rsid w:val="008F2000"/>
    <w:rsid w:val="008F276F"/>
    <w:rsid w:val="008F3350"/>
    <w:rsid w:val="008F46A0"/>
    <w:rsid w:val="008F629C"/>
    <w:rsid w:val="008F697A"/>
    <w:rsid w:val="008F7510"/>
    <w:rsid w:val="009000B9"/>
    <w:rsid w:val="00900E24"/>
    <w:rsid w:val="0090196B"/>
    <w:rsid w:val="00902467"/>
    <w:rsid w:val="009029D4"/>
    <w:rsid w:val="009045A8"/>
    <w:rsid w:val="00910B23"/>
    <w:rsid w:val="00917B8D"/>
    <w:rsid w:val="009270EA"/>
    <w:rsid w:val="00935ABA"/>
    <w:rsid w:val="00936F64"/>
    <w:rsid w:val="009411E1"/>
    <w:rsid w:val="0094135D"/>
    <w:rsid w:val="00942A9E"/>
    <w:rsid w:val="00950CAB"/>
    <w:rsid w:val="00952ED3"/>
    <w:rsid w:val="00954230"/>
    <w:rsid w:val="009548EE"/>
    <w:rsid w:val="00954A54"/>
    <w:rsid w:val="00954EEB"/>
    <w:rsid w:val="00955F37"/>
    <w:rsid w:val="00956688"/>
    <w:rsid w:val="009574C6"/>
    <w:rsid w:val="00957EA2"/>
    <w:rsid w:val="00957EA3"/>
    <w:rsid w:val="00965131"/>
    <w:rsid w:val="00967E1C"/>
    <w:rsid w:val="00970469"/>
    <w:rsid w:val="00971100"/>
    <w:rsid w:val="00982F46"/>
    <w:rsid w:val="009835DE"/>
    <w:rsid w:val="009857F6"/>
    <w:rsid w:val="009874FB"/>
    <w:rsid w:val="009919F7"/>
    <w:rsid w:val="009935C4"/>
    <w:rsid w:val="009A16CE"/>
    <w:rsid w:val="009A5C23"/>
    <w:rsid w:val="009B1B66"/>
    <w:rsid w:val="009B4223"/>
    <w:rsid w:val="009B5781"/>
    <w:rsid w:val="009C3ED2"/>
    <w:rsid w:val="009C4493"/>
    <w:rsid w:val="009C53DE"/>
    <w:rsid w:val="009C65DC"/>
    <w:rsid w:val="009C7DA4"/>
    <w:rsid w:val="009D1549"/>
    <w:rsid w:val="009D2433"/>
    <w:rsid w:val="009D79C5"/>
    <w:rsid w:val="009E0988"/>
    <w:rsid w:val="009E2E3B"/>
    <w:rsid w:val="009E3AAC"/>
    <w:rsid w:val="009E45DF"/>
    <w:rsid w:val="009E551B"/>
    <w:rsid w:val="009F3B2D"/>
    <w:rsid w:val="00A00232"/>
    <w:rsid w:val="00A02E28"/>
    <w:rsid w:val="00A04A7E"/>
    <w:rsid w:val="00A05409"/>
    <w:rsid w:val="00A0568B"/>
    <w:rsid w:val="00A100DB"/>
    <w:rsid w:val="00A11C17"/>
    <w:rsid w:val="00A126F2"/>
    <w:rsid w:val="00A130EB"/>
    <w:rsid w:val="00A158A1"/>
    <w:rsid w:val="00A15B8A"/>
    <w:rsid w:val="00A170F3"/>
    <w:rsid w:val="00A20CC5"/>
    <w:rsid w:val="00A21F03"/>
    <w:rsid w:val="00A30477"/>
    <w:rsid w:val="00A325D0"/>
    <w:rsid w:val="00A32BFC"/>
    <w:rsid w:val="00A36CB7"/>
    <w:rsid w:val="00A400F9"/>
    <w:rsid w:val="00A45273"/>
    <w:rsid w:val="00A502A6"/>
    <w:rsid w:val="00A50A56"/>
    <w:rsid w:val="00A57D3D"/>
    <w:rsid w:val="00A61BA8"/>
    <w:rsid w:val="00A62D78"/>
    <w:rsid w:val="00A62E84"/>
    <w:rsid w:val="00A63425"/>
    <w:rsid w:val="00A639AE"/>
    <w:rsid w:val="00A63D08"/>
    <w:rsid w:val="00A63F46"/>
    <w:rsid w:val="00A661F9"/>
    <w:rsid w:val="00A67D61"/>
    <w:rsid w:val="00A7081A"/>
    <w:rsid w:val="00A721A3"/>
    <w:rsid w:val="00A741C4"/>
    <w:rsid w:val="00A74562"/>
    <w:rsid w:val="00A7715D"/>
    <w:rsid w:val="00A80F37"/>
    <w:rsid w:val="00A82AF3"/>
    <w:rsid w:val="00A82D0F"/>
    <w:rsid w:val="00A84154"/>
    <w:rsid w:val="00A86810"/>
    <w:rsid w:val="00A9525B"/>
    <w:rsid w:val="00A956F1"/>
    <w:rsid w:val="00A95AC1"/>
    <w:rsid w:val="00A9742A"/>
    <w:rsid w:val="00AA0037"/>
    <w:rsid w:val="00AA0670"/>
    <w:rsid w:val="00AA1621"/>
    <w:rsid w:val="00AA5EF1"/>
    <w:rsid w:val="00AA6F70"/>
    <w:rsid w:val="00AA7CD0"/>
    <w:rsid w:val="00AB0A43"/>
    <w:rsid w:val="00AB50AD"/>
    <w:rsid w:val="00AB5AC2"/>
    <w:rsid w:val="00AB7641"/>
    <w:rsid w:val="00AC2B26"/>
    <w:rsid w:val="00AD11A1"/>
    <w:rsid w:val="00AD5297"/>
    <w:rsid w:val="00AD60F1"/>
    <w:rsid w:val="00AE029A"/>
    <w:rsid w:val="00AE0E3E"/>
    <w:rsid w:val="00AE17A8"/>
    <w:rsid w:val="00AE1F14"/>
    <w:rsid w:val="00AE3986"/>
    <w:rsid w:val="00AE6CDD"/>
    <w:rsid w:val="00AF0288"/>
    <w:rsid w:val="00AF470C"/>
    <w:rsid w:val="00B0352C"/>
    <w:rsid w:val="00B054B7"/>
    <w:rsid w:val="00B074BB"/>
    <w:rsid w:val="00B10A70"/>
    <w:rsid w:val="00B10BF0"/>
    <w:rsid w:val="00B152BC"/>
    <w:rsid w:val="00B167DD"/>
    <w:rsid w:val="00B20591"/>
    <w:rsid w:val="00B21F0F"/>
    <w:rsid w:val="00B23978"/>
    <w:rsid w:val="00B30A32"/>
    <w:rsid w:val="00B31B55"/>
    <w:rsid w:val="00B33F76"/>
    <w:rsid w:val="00B36637"/>
    <w:rsid w:val="00B3704A"/>
    <w:rsid w:val="00B409A9"/>
    <w:rsid w:val="00B418A2"/>
    <w:rsid w:val="00B44A3E"/>
    <w:rsid w:val="00B460D2"/>
    <w:rsid w:val="00B46947"/>
    <w:rsid w:val="00B47401"/>
    <w:rsid w:val="00B4785A"/>
    <w:rsid w:val="00B47E22"/>
    <w:rsid w:val="00B52E80"/>
    <w:rsid w:val="00B53A13"/>
    <w:rsid w:val="00B553B0"/>
    <w:rsid w:val="00B56A6B"/>
    <w:rsid w:val="00B57D98"/>
    <w:rsid w:val="00B66B52"/>
    <w:rsid w:val="00B70245"/>
    <w:rsid w:val="00B7269F"/>
    <w:rsid w:val="00B72F7D"/>
    <w:rsid w:val="00B73A59"/>
    <w:rsid w:val="00B74414"/>
    <w:rsid w:val="00B74DB8"/>
    <w:rsid w:val="00B7506C"/>
    <w:rsid w:val="00B753DD"/>
    <w:rsid w:val="00B754B4"/>
    <w:rsid w:val="00B76157"/>
    <w:rsid w:val="00B768EB"/>
    <w:rsid w:val="00B77933"/>
    <w:rsid w:val="00B77E51"/>
    <w:rsid w:val="00B8110B"/>
    <w:rsid w:val="00B832CD"/>
    <w:rsid w:val="00B84EFD"/>
    <w:rsid w:val="00B84F6E"/>
    <w:rsid w:val="00B90833"/>
    <w:rsid w:val="00B91A1F"/>
    <w:rsid w:val="00B9298E"/>
    <w:rsid w:val="00B93711"/>
    <w:rsid w:val="00B947D7"/>
    <w:rsid w:val="00B97A43"/>
    <w:rsid w:val="00BA0317"/>
    <w:rsid w:val="00BA2A64"/>
    <w:rsid w:val="00BA4CA1"/>
    <w:rsid w:val="00BA4F1D"/>
    <w:rsid w:val="00BA6BC1"/>
    <w:rsid w:val="00BA720D"/>
    <w:rsid w:val="00BB603A"/>
    <w:rsid w:val="00BB61FD"/>
    <w:rsid w:val="00BB6FEA"/>
    <w:rsid w:val="00BB724E"/>
    <w:rsid w:val="00BC163E"/>
    <w:rsid w:val="00BC267A"/>
    <w:rsid w:val="00BC3A76"/>
    <w:rsid w:val="00BD16F0"/>
    <w:rsid w:val="00BD2B6F"/>
    <w:rsid w:val="00BD6B2A"/>
    <w:rsid w:val="00BE4401"/>
    <w:rsid w:val="00BF2A3C"/>
    <w:rsid w:val="00BF3275"/>
    <w:rsid w:val="00BF3B26"/>
    <w:rsid w:val="00BF5D87"/>
    <w:rsid w:val="00BF5E8F"/>
    <w:rsid w:val="00C00486"/>
    <w:rsid w:val="00C00CB9"/>
    <w:rsid w:val="00C01153"/>
    <w:rsid w:val="00C020D6"/>
    <w:rsid w:val="00C02B81"/>
    <w:rsid w:val="00C0423E"/>
    <w:rsid w:val="00C050B8"/>
    <w:rsid w:val="00C10BD0"/>
    <w:rsid w:val="00C122D3"/>
    <w:rsid w:val="00C16FA1"/>
    <w:rsid w:val="00C17518"/>
    <w:rsid w:val="00C304EC"/>
    <w:rsid w:val="00C33711"/>
    <w:rsid w:val="00C33F03"/>
    <w:rsid w:val="00C352A5"/>
    <w:rsid w:val="00C36656"/>
    <w:rsid w:val="00C4060F"/>
    <w:rsid w:val="00C43483"/>
    <w:rsid w:val="00C43F60"/>
    <w:rsid w:val="00C465F4"/>
    <w:rsid w:val="00C46BD3"/>
    <w:rsid w:val="00C51FFA"/>
    <w:rsid w:val="00C53191"/>
    <w:rsid w:val="00C557D7"/>
    <w:rsid w:val="00C55CA7"/>
    <w:rsid w:val="00C5738C"/>
    <w:rsid w:val="00C62BA1"/>
    <w:rsid w:val="00C62C16"/>
    <w:rsid w:val="00C6522F"/>
    <w:rsid w:val="00C66564"/>
    <w:rsid w:val="00C6781E"/>
    <w:rsid w:val="00C73FB5"/>
    <w:rsid w:val="00C750B8"/>
    <w:rsid w:val="00C76C38"/>
    <w:rsid w:val="00C77E73"/>
    <w:rsid w:val="00C80D91"/>
    <w:rsid w:val="00C834A1"/>
    <w:rsid w:val="00C84365"/>
    <w:rsid w:val="00C87270"/>
    <w:rsid w:val="00C92264"/>
    <w:rsid w:val="00C930EB"/>
    <w:rsid w:val="00C947C4"/>
    <w:rsid w:val="00C95B25"/>
    <w:rsid w:val="00C96A33"/>
    <w:rsid w:val="00C97B33"/>
    <w:rsid w:val="00CA127D"/>
    <w:rsid w:val="00CA1B1B"/>
    <w:rsid w:val="00CA654C"/>
    <w:rsid w:val="00CA6CAA"/>
    <w:rsid w:val="00CB07AB"/>
    <w:rsid w:val="00CB1126"/>
    <w:rsid w:val="00CC043F"/>
    <w:rsid w:val="00CC3A52"/>
    <w:rsid w:val="00CC6233"/>
    <w:rsid w:val="00CD08D4"/>
    <w:rsid w:val="00CD665A"/>
    <w:rsid w:val="00CD6682"/>
    <w:rsid w:val="00CD6DA1"/>
    <w:rsid w:val="00CD77D6"/>
    <w:rsid w:val="00CE0F68"/>
    <w:rsid w:val="00CE18BE"/>
    <w:rsid w:val="00CE5F1E"/>
    <w:rsid w:val="00CE6738"/>
    <w:rsid w:val="00CF0C82"/>
    <w:rsid w:val="00D02135"/>
    <w:rsid w:val="00D0274C"/>
    <w:rsid w:val="00D02FBA"/>
    <w:rsid w:val="00D079BA"/>
    <w:rsid w:val="00D10138"/>
    <w:rsid w:val="00D12579"/>
    <w:rsid w:val="00D139D8"/>
    <w:rsid w:val="00D161B7"/>
    <w:rsid w:val="00D201C9"/>
    <w:rsid w:val="00D228E9"/>
    <w:rsid w:val="00D22AFF"/>
    <w:rsid w:val="00D247DA"/>
    <w:rsid w:val="00D247F1"/>
    <w:rsid w:val="00D24C5B"/>
    <w:rsid w:val="00D30B3A"/>
    <w:rsid w:val="00D30C3C"/>
    <w:rsid w:val="00D34011"/>
    <w:rsid w:val="00D4120F"/>
    <w:rsid w:val="00D414B0"/>
    <w:rsid w:val="00D41E30"/>
    <w:rsid w:val="00D4581C"/>
    <w:rsid w:val="00D465EB"/>
    <w:rsid w:val="00D473DB"/>
    <w:rsid w:val="00D5235F"/>
    <w:rsid w:val="00D539B4"/>
    <w:rsid w:val="00D552D1"/>
    <w:rsid w:val="00D569D4"/>
    <w:rsid w:val="00D61D4B"/>
    <w:rsid w:val="00D64163"/>
    <w:rsid w:val="00D648A2"/>
    <w:rsid w:val="00D72512"/>
    <w:rsid w:val="00D77EEC"/>
    <w:rsid w:val="00D81245"/>
    <w:rsid w:val="00D81A44"/>
    <w:rsid w:val="00D863E3"/>
    <w:rsid w:val="00D8786F"/>
    <w:rsid w:val="00D87E28"/>
    <w:rsid w:val="00D909AF"/>
    <w:rsid w:val="00D91619"/>
    <w:rsid w:val="00D93283"/>
    <w:rsid w:val="00D936C5"/>
    <w:rsid w:val="00DB1F86"/>
    <w:rsid w:val="00DB3BD0"/>
    <w:rsid w:val="00DB4623"/>
    <w:rsid w:val="00DB5D14"/>
    <w:rsid w:val="00DB73D0"/>
    <w:rsid w:val="00DC0CD3"/>
    <w:rsid w:val="00DC2F13"/>
    <w:rsid w:val="00DC3831"/>
    <w:rsid w:val="00DC454F"/>
    <w:rsid w:val="00DC501B"/>
    <w:rsid w:val="00DC6824"/>
    <w:rsid w:val="00DC7455"/>
    <w:rsid w:val="00DD3673"/>
    <w:rsid w:val="00DD3DB3"/>
    <w:rsid w:val="00DD446A"/>
    <w:rsid w:val="00DE3C06"/>
    <w:rsid w:val="00DE42DD"/>
    <w:rsid w:val="00DE4305"/>
    <w:rsid w:val="00DE5F91"/>
    <w:rsid w:val="00DE6CFD"/>
    <w:rsid w:val="00DE7E87"/>
    <w:rsid w:val="00DF0312"/>
    <w:rsid w:val="00DF067D"/>
    <w:rsid w:val="00DF0ABA"/>
    <w:rsid w:val="00DF0F9D"/>
    <w:rsid w:val="00DF1CEC"/>
    <w:rsid w:val="00DF3436"/>
    <w:rsid w:val="00DF39D4"/>
    <w:rsid w:val="00DF5306"/>
    <w:rsid w:val="00DF5C9C"/>
    <w:rsid w:val="00DF6AA5"/>
    <w:rsid w:val="00E0343E"/>
    <w:rsid w:val="00E06051"/>
    <w:rsid w:val="00E06399"/>
    <w:rsid w:val="00E12C38"/>
    <w:rsid w:val="00E14047"/>
    <w:rsid w:val="00E151F7"/>
    <w:rsid w:val="00E16B11"/>
    <w:rsid w:val="00E2147D"/>
    <w:rsid w:val="00E215D9"/>
    <w:rsid w:val="00E21C56"/>
    <w:rsid w:val="00E21E10"/>
    <w:rsid w:val="00E252B9"/>
    <w:rsid w:val="00E32948"/>
    <w:rsid w:val="00E3359D"/>
    <w:rsid w:val="00E4365F"/>
    <w:rsid w:val="00E46D5B"/>
    <w:rsid w:val="00E47DCD"/>
    <w:rsid w:val="00E47FFC"/>
    <w:rsid w:val="00E5096E"/>
    <w:rsid w:val="00E514F0"/>
    <w:rsid w:val="00E5533F"/>
    <w:rsid w:val="00E60601"/>
    <w:rsid w:val="00E609FF"/>
    <w:rsid w:val="00E61628"/>
    <w:rsid w:val="00E6252D"/>
    <w:rsid w:val="00E637B8"/>
    <w:rsid w:val="00E70CF5"/>
    <w:rsid w:val="00E722E4"/>
    <w:rsid w:val="00E723C2"/>
    <w:rsid w:val="00E72527"/>
    <w:rsid w:val="00E750DF"/>
    <w:rsid w:val="00E77F90"/>
    <w:rsid w:val="00E80198"/>
    <w:rsid w:val="00E83264"/>
    <w:rsid w:val="00E83DA1"/>
    <w:rsid w:val="00E84CCD"/>
    <w:rsid w:val="00E8564F"/>
    <w:rsid w:val="00E85F45"/>
    <w:rsid w:val="00E87BD5"/>
    <w:rsid w:val="00E9021F"/>
    <w:rsid w:val="00E91028"/>
    <w:rsid w:val="00E92205"/>
    <w:rsid w:val="00E92DE8"/>
    <w:rsid w:val="00E930A2"/>
    <w:rsid w:val="00E9495D"/>
    <w:rsid w:val="00E95061"/>
    <w:rsid w:val="00EA1ED8"/>
    <w:rsid w:val="00EA2D5B"/>
    <w:rsid w:val="00EA2E04"/>
    <w:rsid w:val="00EA2F22"/>
    <w:rsid w:val="00EA363E"/>
    <w:rsid w:val="00EA3D09"/>
    <w:rsid w:val="00EA41CA"/>
    <w:rsid w:val="00EA56D6"/>
    <w:rsid w:val="00EA6EF6"/>
    <w:rsid w:val="00EA785C"/>
    <w:rsid w:val="00EC0436"/>
    <w:rsid w:val="00EC1A44"/>
    <w:rsid w:val="00EC1E5F"/>
    <w:rsid w:val="00EC5C8B"/>
    <w:rsid w:val="00EC6767"/>
    <w:rsid w:val="00ED0CBC"/>
    <w:rsid w:val="00EE08E8"/>
    <w:rsid w:val="00EE2B60"/>
    <w:rsid w:val="00EE6EE6"/>
    <w:rsid w:val="00EE7BBD"/>
    <w:rsid w:val="00EF1DF1"/>
    <w:rsid w:val="00EF2EA3"/>
    <w:rsid w:val="00EF45C3"/>
    <w:rsid w:val="00EF7314"/>
    <w:rsid w:val="00F00A3A"/>
    <w:rsid w:val="00F0381D"/>
    <w:rsid w:val="00F03D1D"/>
    <w:rsid w:val="00F04834"/>
    <w:rsid w:val="00F04D2D"/>
    <w:rsid w:val="00F04D43"/>
    <w:rsid w:val="00F068EB"/>
    <w:rsid w:val="00F10F02"/>
    <w:rsid w:val="00F13B4F"/>
    <w:rsid w:val="00F16A45"/>
    <w:rsid w:val="00F20413"/>
    <w:rsid w:val="00F20710"/>
    <w:rsid w:val="00F220C6"/>
    <w:rsid w:val="00F252DE"/>
    <w:rsid w:val="00F25380"/>
    <w:rsid w:val="00F323F3"/>
    <w:rsid w:val="00F417DF"/>
    <w:rsid w:val="00F42616"/>
    <w:rsid w:val="00F4289F"/>
    <w:rsid w:val="00F434AF"/>
    <w:rsid w:val="00F47CE6"/>
    <w:rsid w:val="00F51E4F"/>
    <w:rsid w:val="00F53451"/>
    <w:rsid w:val="00F54B32"/>
    <w:rsid w:val="00F60031"/>
    <w:rsid w:val="00F623A3"/>
    <w:rsid w:val="00F623C3"/>
    <w:rsid w:val="00F62831"/>
    <w:rsid w:val="00F65342"/>
    <w:rsid w:val="00F66B98"/>
    <w:rsid w:val="00F70574"/>
    <w:rsid w:val="00F709A9"/>
    <w:rsid w:val="00F72112"/>
    <w:rsid w:val="00F72681"/>
    <w:rsid w:val="00F72884"/>
    <w:rsid w:val="00F72A7E"/>
    <w:rsid w:val="00F764AF"/>
    <w:rsid w:val="00F776FB"/>
    <w:rsid w:val="00F80894"/>
    <w:rsid w:val="00F81E0C"/>
    <w:rsid w:val="00F825E0"/>
    <w:rsid w:val="00F85D7A"/>
    <w:rsid w:val="00F8757A"/>
    <w:rsid w:val="00F87AB5"/>
    <w:rsid w:val="00F94990"/>
    <w:rsid w:val="00F950BC"/>
    <w:rsid w:val="00F972B8"/>
    <w:rsid w:val="00FA07B2"/>
    <w:rsid w:val="00FA0C8A"/>
    <w:rsid w:val="00FA1DC3"/>
    <w:rsid w:val="00FA3D72"/>
    <w:rsid w:val="00FA6069"/>
    <w:rsid w:val="00FA6725"/>
    <w:rsid w:val="00FA6A25"/>
    <w:rsid w:val="00FA7018"/>
    <w:rsid w:val="00FB41E3"/>
    <w:rsid w:val="00FC0A49"/>
    <w:rsid w:val="00FC23EC"/>
    <w:rsid w:val="00FC4242"/>
    <w:rsid w:val="00FC68D4"/>
    <w:rsid w:val="00FC76BC"/>
    <w:rsid w:val="00FD76F3"/>
    <w:rsid w:val="00FE0FF0"/>
    <w:rsid w:val="00FE1250"/>
    <w:rsid w:val="00FE3415"/>
    <w:rsid w:val="00FF0F19"/>
    <w:rsid w:val="00FF10F4"/>
    <w:rsid w:val="00FF4310"/>
    <w:rsid w:val="00FF4D35"/>
    <w:rsid w:val="00FF73B6"/>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2697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unhideWhenUsed="false" w:semiHidden="fals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uiPriority="99" w:name="footnote text"/>
    <w:lsdException w:uiPriority="99" w:name="footer"/>
    <w:lsdException w:qFormat="true" w:name="caption"/>
    <w:lsdException w:uiPriority="99" w:name="footnote reference"/>
    <w:lsdException w:unhideWhenUsed="false" w:semiHidden="false" w:name="List Bullet"/>
    <w:lsdException w:unhideWhenUsed="false" w:semiHidden="false" w:name="List 3"/>
    <w:lsdException w:unhideWhenUsed="false" w:semiHidden="false" w:name="List 4"/>
    <w:lsdException w:qFormat="true" w:unhideWhenUsed="false" w:semiHidden="false" w:name="Title"/>
    <w:lsdException w:unhideWhenUsed="false" w:semiHidden="false" w:name="Message Header"/>
    <w:lsdException w:qFormat="true" w:unhideWhenUsed="false" w:semiHidden="false" w:name="Subtitle"/>
    <w:lsdException w:unhideWhenUsed="false" w:semiHidden="false" w:name="Salutation"/>
    <w:lsdException w:unhideWhenUsed="false" w:semiHidden="false" w:name="Date"/>
    <w:lsdException w:qFormat="true" w:unhideWhenUsed="false" w:semiHidden="false" w:name="Strong"/>
    <w:lsdException w:qFormat="true" w:unhideWhenUsed="false" w:semiHidden="false" w:name="Emphasis"/>
    <w:lsdException w:uiPriority="99" w:name="Balloon Text"/>
    <w:lsdException w:unhideWhenUsed="false" w:semiHidden="false" w:uiPriority="39" w:name="Table Grid"/>
    <w:lsdException w:unhideWhenUsed="false" w:uiPriority="99" w:name="Placeholder Text"/>
    <w:lsdException w:qFormat="true" w:unhideWhenUsed="false" w:semiHidden="false" w:uiPriority="99"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F0F9D"/>
    <w:pPr>
      <w:overflowPunct w:val="false"/>
      <w:autoSpaceDE w:val="false"/>
      <w:autoSpaceDN w:val="false"/>
      <w:adjustRightInd w:val="false"/>
      <w:textAlignment w:val="baseline"/>
    </w:pPr>
  </w:style>
  <w:style w:styleId="Naslov1" w:type="paragraph">
    <w:name w:val="heading 1"/>
    <w:basedOn w:val="Normal"/>
    <w:next w:val="Normal"/>
    <w:link w:val="Naslov1Char"/>
    <w:qFormat/>
    <w:rsid w:val="00853FF6"/>
    <w:pPr>
      <w:keepNext/>
      <w:outlineLvl w:val="0"/>
    </w:pPr>
    <w:rPr>
      <w:b/>
      <w:sz w:val="24"/>
    </w:rPr>
  </w:style>
  <w:style w:styleId="Naslov2" w:type="paragraph">
    <w:name w:val="heading 2"/>
    <w:basedOn w:val="Normal"/>
    <w:next w:val="Normal"/>
    <w:link w:val="Naslov2Char"/>
    <w:semiHidden/>
    <w:unhideWhenUsed/>
    <w:qFormat/>
    <w:rsid w:val="00E4365F"/>
    <w:pPr>
      <w:keepNext/>
      <w:keepLines/>
      <w:spacing w:before="200"/>
      <w:outlineLvl w:val="1"/>
    </w:pPr>
    <w:rPr>
      <w:rFonts w:cstheme="majorBidi" w:eastAsiaTheme="majorEastAsia" w:hAnsiTheme="majorHAnsi" w:asciiTheme="majorHAnsi"/>
      <w:b/>
      <w:bCs/>
      <w:color w:themeColor="accent1" w:val="4F81BD"/>
      <w:sz w:val="26"/>
      <w:szCs w:val="26"/>
    </w:rPr>
  </w:style>
  <w:style w:styleId="Naslov3" w:type="paragraph">
    <w:name w:val="heading 3"/>
    <w:basedOn w:val="Normal"/>
    <w:next w:val="Normal"/>
    <w:qFormat/>
    <w:rsid w:val="00853FF6"/>
    <w:pPr>
      <w:keepNext/>
      <w:jc w:val="center"/>
      <w:outlineLvl w:val="2"/>
    </w:pPr>
    <w:rPr>
      <w:b/>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853FF6"/>
    <w:pPr>
      <w:jc w:val="both"/>
    </w:pPr>
    <w:rPr>
      <w:rFonts w:hAnsi="Arial" w:ascii="Arial"/>
      <w:sz w:val="24"/>
    </w:rPr>
  </w:style>
  <w:style w:styleId="Zaglavlje" w:type="paragraph">
    <w:name w:val="header"/>
    <w:basedOn w:val="Normal"/>
    <w:link w:val="ZaglavljeChar"/>
    <w:rsid w:val="00853FF6"/>
    <w:pPr>
      <w:tabs>
        <w:tab w:pos="4536" w:val="center"/>
        <w:tab w:pos="9072" w:val="right"/>
      </w:tabs>
    </w:pPr>
  </w:style>
  <w:style w:styleId="Brojstranice" w:type="character">
    <w:name w:val="page number"/>
    <w:basedOn w:val="Zadanifontodlomka"/>
    <w:rsid w:val="00853FF6"/>
  </w:style>
  <w:style w:styleId="Podnoje" w:type="paragraph">
    <w:name w:val="footer"/>
    <w:basedOn w:val="Normal"/>
    <w:link w:val="PodnojeChar"/>
    <w:uiPriority w:val="99"/>
    <w:rsid w:val="00A721A3"/>
    <w:pPr>
      <w:tabs>
        <w:tab w:pos="4536" w:val="center"/>
        <w:tab w:pos="9072" w:val="right"/>
      </w:tabs>
    </w:pPr>
  </w:style>
  <w:style w:styleId="Tekstbalonia" w:type="paragraph">
    <w:name w:val="Balloon Text"/>
    <w:basedOn w:val="Normal"/>
    <w:link w:val="TekstbaloniaChar"/>
    <w:uiPriority w:val="99"/>
    <w:semiHidden/>
    <w:rsid w:val="003E1FDA"/>
    <w:rPr>
      <w:rFonts w:cs="Tahoma" w:hAnsi="Tahoma" w:ascii="Tahoma"/>
      <w:sz w:val="16"/>
      <w:szCs w:val="16"/>
    </w:rPr>
  </w:style>
  <w:style w:styleId="Bezproreda" w:type="paragraph">
    <w:name w:val="No Spacing"/>
    <w:uiPriority w:val="99"/>
    <w:qFormat/>
    <w:rsid w:val="002A6D1A"/>
    <w:rPr>
      <w:rFonts w:eastAsia="Calibri" w:hAnsi="Calibri" w:ascii="Calibri"/>
      <w:sz w:val="22"/>
      <w:szCs w:val="22"/>
      <w:lang w:eastAsia="en-US"/>
    </w:rPr>
  </w:style>
  <w:style w:styleId="Odlomakpopisa" w:type="paragraph">
    <w:name w:val="List Paragraph"/>
    <w:basedOn w:val="Normal"/>
    <w:uiPriority w:val="34"/>
    <w:qFormat/>
    <w:rsid w:val="003B020D"/>
    <w:pPr>
      <w:overflowPunct/>
      <w:autoSpaceDE/>
      <w:autoSpaceDN/>
      <w:adjustRightInd/>
      <w:spacing w:lineRule="auto" w:line="276" w:after="200"/>
      <w:ind w:left="720"/>
      <w:contextualSpacing/>
      <w:textAlignment w:val="auto"/>
    </w:pPr>
    <w:rPr>
      <w:rFonts w:hAnsi="Calibri" w:ascii="Calibri"/>
      <w:sz w:val="22"/>
      <w:szCs w:val="22"/>
      <w:lang w:eastAsia="en-US"/>
    </w:rPr>
  </w:style>
  <w:style w:styleId="Tekstrezerviranogmjesta" w:type="character">
    <w:name w:val="Placeholder Text"/>
    <w:basedOn w:val="Zadanifontodlomka"/>
    <w:uiPriority w:val="99"/>
    <w:semiHidden/>
    <w:rsid w:val="00EA2D5B"/>
    <w:rPr>
      <w:color w:val="808080"/>
      <w:bdr w:space="0" w:sz="0" w:color="auto" w:val="none"/>
      <w:shd w:fill="auto" w:color="auto" w:val="clear"/>
    </w:rPr>
  </w:style>
  <w:style w:customStyle="true" w:styleId="eSPISCCParagraphDefaultFont" w:type="character">
    <w:name w:val="eSPIS_CC_Paragraph Default Font"/>
    <w:basedOn w:val="Zadanifontodlomka"/>
    <w:rsid w:val="00EA2D5B"/>
    <w:rPr>
      <w:rFonts w:cs="Times New Roman" w:hAnsi="Times New Roman" w:ascii="Times New Roman"/>
      <w:bCs/>
      <w:sz w:val="24"/>
      <w:szCs w:val="24"/>
      <w:bdr w:space="0" w:sz="0" w:color="auto" w:val="none"/>
      <w:shd w:fill="auto" w:color="auto" w:val="clear"/>
      <w:lang w:val="hr-HR"/>
    </w:rPr>
  </w:style>
  <w:style w:customStyle="true" w:styleId="PozadinaSvijetloZuta" w:type="character">
    <w:name w:val="Pozadina_SvijetloZuta"/>
    <w:basedOn w:val="Zadanifontodlomka"/>
    <w:rsid w:val="00EA2D5B"/>
    <w:rPr>
      <w:bCs/>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EA2D5B"/>
    <w:rPr>
      <w:rFonts w:cs="Times New Roman" w:hAnsi="Times New Roman" w:ascii="Times New Roman"/>
      <w:bCs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EA2D5B"/>
    <w:rPr>
      <w:rFonts w:cs="Times New Roman" w:hAnsi="Times New Roman" w:ascii="Times New Roman"/>
      <w:bCs w:val="false"/>
      <w:sz w:val="24"/>
      <w:szCs w:val="24"/>
      <w:bdr w:space="0" w:sz="0" w:color="auto" w:val="none"/>
      <w:shd w:fill="CCFFCC" w:color="auto" w:val="clear"/>
      <w:lang w:val="hr-HR"/>
    </w:rPr>
  </w:style>
  <w:style w:customStyle="true" w:styleId="Default" w:type="paragraph">
    <w:name w:val="Default"/>
    <w:rsid w:val="00150D16"/>
    <w:pPr>
      <w:autoSpaceDE w:val="false"/>
      <w:autoSpaceDN w:val="false"/>
      <w:adjustRightInd w:val="false"/>
    </w:pPr>
    <w:rPr>
      <w:color w:val="000000"/>
      <w:sz w:val="24"/>
      <w:szCs w:val="24"/>
    </w:rPr>
  </w:style>
  <w:style w:styleId="Tekstfusnote" w:type="paragraph">
    <w:name w:val="footnote text"/>
    <w:basedOn w:val="Normal"/>
    <w:link w:val="TekstfusnoteChar"/>
    <w:uiPriority w:val="99"/>
    <w:qFormat/>
    <w:rsid w:val="00FE3415"/>
    <w:pPr>
      <w:overflowPunct/>
      <w:autoSpaceDE/>
      <w:autoSpaceDN/>
      <w:adjustRightInd/>
      <w:spacing w:after="80"/>
      <w:textAlignment w:val="auto"/>
    </w:pPr>
    <w:rPr>
      <w:rFonts w:eastAsia="Calibri" w:hAnsi="Calibri" w:ascii="Calibri"/>
      <w:lang w:eastAsia="en-US"/>
    </w:rPr>
  </w:style>
  <w:style w:customStyle="true" w:styleId="TekstfusnoteChar" w:type="character">
    <w:name w:val="Tekst fusnote Char"/>
    <w:basedOn w:val="Zadanifontodlomka"/>
    <w:link w:val="Tekstfusnote"/>
    <w:uiPriority w:val="99"/>
    <w:rsid w:val="00FE3415"/>
    <w:rPr>
      <w:rFonts w:eastAsia="Calibri" w:hAnsi="Calibri" w:ascii="Calibri"/>
      <w:lang w:eastAsia="en-US"/>
    </w:rPr>
  </w:style>
  <w:style w:styleId="Referencafusnote" w:type="character">
    <w:name w:val="footnote reference"/>
    <w:uiPriority w:val="99"/>
    <w:rsid w:val="00FE3415"/>
    <w:rPr>
      <w:rFonts w:cs="Times New Roman"/>
      <w:vertAlign w:val="superscript"/>
    </w:rPr>
  </w:style>
  <w:style w:customStyle="true" w:styleId="Bezpopisa1" w:type="numbering">
    <w:name w:val="Bez popisa1"/>
    <w:next w:val="Bezpopisa"/>
    <w:uiPriority w:val="99"/>
    <w:semiHidden/>
    <w:unhideWhenUsed/>
    <w:rsid w:val="0044450B"/>
  </w:style>
  <w:style w:customStyle="true" w:styleId="Standard" w:type="paragraph">
    <w:name w:val="Standard"/>
    <w:rsid w:val="0044450B"/>
    <w:pPr>
      <w:widowControl w:val="false"/>
      <w:suppressAutoHyphens/>
      <w:autoSpaceDN w:val="false"/>
      <w:textAlignment w:val="baseline"/>
    </w:pPr>
    <w:rPr>
      <w:rFonts w:cs="Tahoma" w:eastAsia="Lucida Sans Unicode"/>
      <w:kern w:val="3"/>
      <w:sz w:val="24"/>
      <w:szCs w:val="24"/>
    </w:rPr>
  </w:style>
  <w:style w:customStyle="true" w:styleId="Textbody" w:type="paragraph">
    <w:name w:val="Text body"/>
    <w:basedOn w:val="Standard"/>
    <w:rsid w:val="0044450B"/>
    <w:pPr>
      <w:spacing w:after="120"/>
    </w:pPr>
  </w:style>
  <w:style w:styleId="Popis" w:type="paragraph">
    <w:name w:val="List"/>
    <w:basedOn w:val="Textbody"/>
    <w:rsid w:val="0044450B"/>
  </w:style>
  <w:style w:customStyle="true" w:styleId="TableContents" w:type="paragraph">
    <w:name w:val="Table Contents"/>
    <w:basedOn w:val="Standard"/>
    <w:rsid w:val="0044450B"/>
    <w:pPr>
      <w:suppressLineNumbers/>
    </w:pPr>
  </w:style>
  <w:style w:customStyle="true" w:styleId="TableHeading" w:type="paragraph">
    <w:name w:val="Table Heading"/>
    <w:basedOn w:val="TableContents"/>
    <w:rsid w:val="0044450B"/>
    <w:pPr>
      <w:jc w:val="center"/>
    </w:pPr>
    <w:rPr>
      <w:b/>
      <w:bCs/>
    </w:rPr>
  </w:style>
  <w:style w:styleId="Opisslike" w:type="paragraph">
    <w:name w:val="caption"/>
    <w:basedOn w:val="Standard"/>
    <w:qFormat/>
    <w:rsid w:val="0044450B"/>
    <w:pPr>
      <w:suppressLineNumbers/>
      <w:spacing w:after="120" w:before="120"/>
    </w:pPr>
    <w:rPr>
      <w:i/>
      <w:iCs/>
    </w:rPr>
  </w:style>
  <w:style w:customStyle="true" w:styleId="Index" w:type="paragraph">
    <w:name w:val="Index"/>
    <w:basedOn w:val="Standard"/>
    <w:rsid w:val="0044450B"/>
    <w:pPr>
      <w:suppressLineNumbers/>
    </w:pPr>
  </w:style>
  <w:style w:styleId="Naslov" w:type="paragraph">
    <w:name w:val="Title"/>
    <w:basedOn w:val="Standard"/>
    <w:next w:val="Textbody"/>
    <w:link w:val="NaslovChar"/>
    <w:qFormat/>
    <w:rsid w:val="0044450B"/>
    <w:pPr>
      <w:keepNext/>
      <w:spacing w:after="120" w:before="240"/>
    </w:pPr>
    <w:rPr>
      <w:rFonts w:hAnsi="Arial" w:ascii="Arial"/>
      <w:sz w:val="28"/>
      <w:szCs w:val="28"/>
    </w:rPr>
  </w:style>
  <w:style w:customStyle="true" w:styleId="NaslovChar" w:type="character">
    <w:name w:val="Naslov Char"/>
    <w:basedOn w:val="Zadanifontodlomka"/>
    <w:link w:val="Naslov"/>
    <w:rsid w:val="0044450B"/>
    <w:rPr>
      <w:rFonts w:cs="Tahoma" w:eastAsia="Lucida Sans Unicode" w:hAnsi="Arial" w:ascii="Arial"/>
      <w:kern w:val="3"/>
      <w:sz w:val="28"/>
      <w:szCs w:val="28"/>
    </w:rPr>
  </w:style>
  <w:style w:styleId="Podnaslov" w:type="paragraph">
    <w:name w:val="Subtitle"/>
    <w:basedOn w:val="Naslov"/>
    <w:next w:val="Textbody"/>
    <w:link w:val="PodnaslovChar"/>
    <w:qFormat/>
    <w:rsid w:val="0044450B"/>
    <w:pPr>
      <w:jc w:val="center"/>
    </w:pPr>
    <w:rPr>
      <w:i/>
      <w:iCs/>
    </w:rPr>
  </w:style>
  <w:style w:customStyle="true" w:styleId="PodnaslovChar" w:type="character">
    <w:name w:val="Podnaslov Char"/>
    <w:basedOn w:val="Zadanifontodlomka"/>
    <w:link w:val="Podnaslov"/>
    <w:rsid w:val="0044450B"/>
    <w:rPr>
      <w:rFonts w:cs="Tahoma" w:eastAsia="Lucida Sans Unicode" w:hAnsi="Arial" w:ascii="Arial"/>
      <w:i/>
      <w:iCs/>
      <w:kern w:val="3"/>
      <w:sz w:val="28"/>
      <w:szCs w:val="28"/>
    </w:rPr>
  </w:style>
  <w:style w:customStyle="true" w:styleId="BulletSymbols" w:type="character">
    <w:name w:val="Bullet Symbols"/>
    <w:rsid w:val="0044450B"/>
    <w:rPr>
      <w:rFonts w:cs="StarSymbol" w:eastAsia="StarSymbol" w:hAnsi="StarSymbol" w:ascii="StarSymbol"/>
      <w:sz w:val="18"/>
      <w:szCs w:val="18"/>
    </w:rPr>
  </w:style>
  <w:style w:customStyle="true" w:styleId="TekstbaloniaChar" w:type="character">
    <w:name w:val="Tekst balončića Char"/>
    <w:link w:val="Tekstbalonia"/>
    <w:uiPriority w:val="99"/>
    <w:semiHidden/>
    <w:rsid w:val="0044450B"/>
    <w:rPr>
      <w:rFonts w:cs="Tahoma" w:hAnsi="Tahoma" w:ascii="Tahoma"/>
      <w:sz w:val="16"/>
      <w:szCs w:val="16"/>
    </w:rPr>
  </w:style>
  <w:style w:customStyle="true" w:styleId="ZaglavljeChar" w:type="character">
    <w:name w:val="Zaglavlje Char"/>
    <w:basedOn w:val="Zadanifontodlomka"/>
    <w:link w:val="Zaglavlje"/>
    <w:uiPriority w:val="99"/>
    <w:rsid w:val="0044450B"/>
  </w:style>
  <w:style w:customStyle="true" w:styleId="PodnojeChar" w:type="character">
    <w:name w:val="Podnožje Char"/>
    <w:basedOn w:val="Zadanifontodlomka"/>
    <w:link w:val="Podnoje"/>
    <w:uiPriority w:val="99"/>
    <w:rsid w:val="0044450B"/>
  </w:style>
  <w:style w:styleId="Reetkatablice" w:type="table">
    <w:name w:val="Table Grid"/>
    <w:basedOn w:val="Obinatablica"/>
    <w:uiPriority w:val="39"/>
    <w:rsid w:val="004E2E52"/>
    <w:rPr>
      <w:rFonts w:cstheme="minorBidi" w:eastAsiaTheme="minorEastAsia" w:hAnsiTheme="minorHAnsi" w:asciiTheme="minorHAnsi"/>
      <w:sz w:val="22"/>
      <w:szCs w:val="22"/>
    </w:rPr>
    <w:tblPr>
      <w:tblBorders>
        <w:top w:space="0" w:sz="4" w:themeColor="text1" w:color="000000" w:val="single"/>
        <w:left w:space="0" w:sz="4" w:themeColor="text1" w:color="000000" w:val="single"/>
        <w:bottom w:space="0" w:sz="4" w:themeColor="text1" w:color="000000" w:val="single"/>
        <w:right w:space="0" w:sz="4" w:themeColor="text1" w:color="000000" w:val="single"/>
        <w:insideH w:space="0" w:sz="4" w:themeColor="text1" w:color="000000" w:val="single"/>
        <w:insideV w:space="0" w:sz="4" w:themeColor="text1" w:color="000000" w:val="single"/>
      </w:tblBorders>
    </w:tblPr>
  </w:style>
  <w:style w:customStyle="true" w:styleId="Reetkatablice1" w:type="table">
    <w:name w:val="Rešetka tablice1"/>
    <w:basedOn w:val="Obinatablica"/>
    <w:next w:val="Reetkatablice"/>
    <w:uiPriority w:val="59"/>
    <w:rsid w:val="00A86810"/>
    <w:rPr>
      <w:rFonts w:cstheme="minorBidi" w:eastAsiaTheme="minorHAnsi" w:hAnsiTheme="minorHAnsi" w:asciiTheme="minorHAnsi"/>
      <w:sz w:val="22"/>
      <w:szCs w:val="22"/>
      <w:lang w:eastAsia="en-US"/>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Istaknuto" w:type="character">
    <w:name w:val="Emphasis"/>
    <w:qFormat/>
    <w:rsid w:val="009D2433"/>
    <w:rPr>
      <w:i/>
      <w:iCs/>
    </w:rPr>
  </w:style>
  <w:style w:customStyle="true" w:styleId="Srednjareetka21" w:type="paragraph">
    <w:name w:val="Srednja rešetka 21"/>
    <w:uiPriority w:val="1"/>
    <w:qFormat/>
    <w:rsid w:val="00852275"/>
    <w:rPr>
      <w:rFonts w:eastAsia="Calibri" w:hAnsi="Calibri" w:ascii="Calibri"/>
      <w:sz w:val="22"/>
      <w:szCs w:val="22"/>
      <w:lang w:eastAsia="en-US"/>
    </w:rPr>
  </w:style>
  <w:style w:customStyle="true" w:styleId="Naslov2Char" w:type="character">
    <w:name w:val="Naslov 2 Char"/>
    <w:basedOn w:val="Zadanifontodlomka"/>
    <w:link w:val="Naslov2"/>
    <w:semiHidden/>
    <w:rsid w:val="00E4365F"/>
    <w:rPr>
      <w:rFonts w:cstheme="majorBidi" w:eastAsiaTheme="majorEastAsia" w:hAnsiTheme="majorHAnsi" w:asciiTheme="majorHAnsi"/>
      <w:b/>
      <w:bCs/>
      <w:color w:themeColor="accent1" w:val="4F81BD"/>
      <w:sz w:val="26"/>
      <w:szCs w:val="26"/>
    </w:rPr>
  </w:style>
  <w:style w:styleId="Nastavakpopisa4" w:type="paragraph">
    <w:name w:val="List Continue 4"/>
    <w:basedOn w:val="Normal"/>
    <w:unhideWhenUsed/>
    <w:rsid w:val="00E4365F"/>
    <w:pPr>
      <w:overflowPunct/>
      <w:autoSpaceDE/>
      <w:autoSpaceDN/>
      <w:adjustRightInd/>
      <w:spacing w:after="120"/>
      <w:ind w:left="1132"/>
      <w:contextualSpacing/>
      <w:textAlignment w:val="auto"/>
    </w:pPr>
    <w:rPr>
      <w:sz w:val="24"/>
      <w:lang w:eastAsia="en-US"/>
    </w:rPr>
  </w:style>
  <w:style w:customStyle="true" w:styleId="NoSpacing2" w:type="paragraph">
    <w:name w:val="No Spacing2"/>
    <w:uiPriority w:val="1"/>
    <w:qFormat/>
    <w:rsid w:val="00407B05"/>
    <w:rPr>
      <w:rFonts w:eastAsia="Calibri" w:hAnsi="Calibri" w:ascii="Calibri"/>
      <w:sz w:val="22"/>
      <w:szCs w:val="22"/>
      <w:lang w:eastAsia="en-US"/>
    </w:rPr>
  </w:style>
  <w:style w:customStyle="true" w:styleId="NoSpacing1" w:type="paragraph">
    <w:name w:val="No Spacing1"/>
    <w:qFormat/>
    <w:rsid w:val="00407B05"/>
    <w:rPr>
      <w:rFonts w:eastAsia="Calibri" w:hAnsi="Calibri" w:ascii="Calibri"/>
      <w:sz w:val="22"/>
      <w:szCs w:val="22"/>
      <w:lang w:eastAsia="en-US"/>
    </w:rPr>
  </w:style>
  <w:style w:customStyle="true" w:styleId="tb-na16" w:type="paragraph">
    <w:name w:val="tb-na16"/>
    <w:basedOn w:val="Normal"/>
    <w:rsid w:val="00407B05"/>
    <w:pPr>
      <w:overflowPunct/>
      <w:autoSpaceDE/>
      <w:autoSpaceDN/>
      <w:adjustRightInd/>
      <w:spacing w:afterLines="1" w:beforeLines="1"/>
      <w:textAlignment w:val="auto"/>
    </w:pPr>
    <w:rPr>
      <w:rFonts w:eastAsia="Cambria" w:hAnsi="Times" w:ascii="Times"/>
      <w:lang w:eastAsia="en-US" w:val="en-US"/>
    </w:rPr>
  </w:style>
  <w:style w:customStyle="true" w:styleId="FootnoteAnchor" w:type="character">
    <w:name w:val="Footnote Anchor"/>
    <w:rsid w:val="005A3188"/>
    <w:rPr>
      <w:vertAlign w:val="superscript"/>
    </w:rPr>
  </w:style>
  <w:style w:customStyle="true" w:styleId="TijelotekstaChar" w:type="character">
    <w:name w:val="Tijelo teksta Char"/>
    <w:basedOn w:val="Zadanifontodlomka"/>
    <w:link w:val="Tijeloteksta"/>
    <w:rsid w:val="003041C1"/>
    <w:rPr>
      <w:rFonts w:hAnsi="Arial" w:ascii="Arial"/>
      <w:sz w:val="24"/>
    </w:rPr>
  </w:style>
  <w:style w:customStyle="true" w:styleId="TableNormal1" w:type="table">
    <w:name w:val="Table Normal1"/>
    <w:uiPriority w:val="2"/>
    <w:semiHidden/>
    <w:unhideWhenUsed/>
    <w:qFormat/>
    <w:rsid w:val="00CF0C82"/>
    <w:pPr>
      <w:widowControl w:val="false"/>
    </w:pPr>
    <w:rPr>
      <w:rFonts w:cstheme="minorBidi" w:eastAsiaTheme="minorHAnsi" w:hAnsiTheme="minorHAnsi" w:asciiTheme="minorHAnsi"/>
      <w:sz w:val="22"/>
      <w:szCs w:val="22"/>
      <w:lang w:eastAsia="en-US" w:val="en-US"/>
    </w:rPr>
    <w:tblPr>
      <w:tblInd w:type="dxa" w:w="0"/>
      <w:tblCellMar>
        <w:top w:type="dxa" w:w="0"/>
        <w:left w:type="dxa" w:w="0"/>
        <w:bottom w:type="dxa" w:w="0"/>
        <w:right w:type="dxa" w:w="0"/>
      </w:tblCellMar>
    </w:tblPr>
  </w:style>
  <w:style w:customStyle="true" w:styleId="TableParagraph" w:type="paragraph">
    <w:name w:val="Table Paragraph"/>
    <w:basedOn w:val="Normal"/>
    <w:uiPriority w:val="1"/>
    <w:qFormat/>
    <w:rsid w:val="00CF0C82"/>
    <w:pPr>
      <w:widowControl w:val="false"/>
      <w:overflowPunct/>
      <w:autoSpaceDE/>
      <w:autoSpaceDN/>
      <w:adjustRightInd/>
      <w:textAlignment w:val="auto"/>
    </w:pPr>
    <w:rPr>
      <w:rFonts w:cstheme="minorBidi" w:eastAsiaTheme="minorHAnsi" w:hAnsiTheme="minorHAnsi" w:asciiTheme="minorHAnsi"/>
      <w:sz w:val="22"/>
      <w:szCs w:val="22"/>
      <w:lang w:eastAsia="en-US" w:val="en-US"/>
    </w:rPr>
  </w:style>
  <w:style w:customStyle="true" w:styleId="Bodytext2" w:type="character">
    <w:name w:val="Body text (2)_"/>
    <w:basedOn w:val="Zadanifontodlomka"/>
    <w:link w:val="Bodytext20"/>
    <w:rsid w:val="00CF0C82"/>
    <w:rPr>
      <w:shd w:fill="FFFFFF" w:color="auto" w:val="clear"/>
    </w:rPr>
  </w:style>
  <w:style w:customStyle="true" w:styleId="Bodytext20" w:type="paragraph">
    <w:name w:val="Body text (2)"/>
    <w:basedOn w:val="Normal"/>
    <w:link w:val="Bodytext2"/>
    <w:rsid w:val="00CF0C82"/>
    <w:pPr>
      <w:widowControl w:val="false"/>
      <w:shd w:fill="FFFFFF" w:color="auto" w:val="clear"/>
      <w:overflowPunct/>
      <w:autoSpaceDE/>
      <w:autoSpaceDN/>
      <w:adjustRightInd/>
      <w:spacing w:lineRule="exact" w:line="278" w:after="240" w:before="480"/>
      <w:textAlignment w:val="auto"/>
    </w:pPr>
  </w:style>
  <w:style w:customStyle="true" w:styleId="Bodytext2Bold" w:type="character">
    <w:name w:val="Body text (2) + Bold"/>
    <w:basedOn w:val="Bodytext2"/>
    <w:rsid w:val="00CF0C82"/>
    <w:rPr>
      <w:rFonts w:hAnsi="Times New Roman" w:ascii="Times New Roman"/>
      <w:b/>
      <w:bCs/>
      <w:i w:val="false"/>
      <w:iCs w:val="false"/>
      <w:smallCaps w:val="false"/>
      <w:strike w:val="false"/>
      <w:color w:val="000000"/>
      <w:spacing w:val="0"/>
      <w:w w:val="100"/>
      <w:position w:val="0"/>
      <w:sz w:val="24"/>
      <w:szCs w:val="24"/>
      <w:u w:val="none"/>
      <w:shd w:fill="FFFFFF" w:color="auto" w:val="clear"/>
      <w:lang w:bidi="hr-HR" w:eastAsia="hr-HR" w:val="hr-HR"/>
    </w:rPr>
  </w:style>
  <w:style w:customStyle="true" w:styleId="p1" w:type="paragraph">
    <w:name w:val="p1"/>
    <w:basedOn w:val="Normal"/>
    <w:rsid w:val="0020394D"/>
    <w:pPr>
      <w:overflowPunct/>
      <w:autoSpaceDE/>
      <w:autoSpaceDN/>
      <w:adjustRightInd/>
      <w:textAlignment w:val="auto"/>
    </w:pPr>
    <w:rPr>
      <w:rFonts w:eastAsiaTheme="minorHAnsi" w:hAnsi="Helvetica Neue" w:ascii="Helvetica Neue"/>
      <w:color w:val="333333"/>
      <w:sz w:val="21"/>
      <w:szCs w:val="21"/>
      <w:lang w:eastAsia="en-GB" w:val="en-GB"/>
    </w:rPr>
  </w:style>
  <w:style w:customStyle="true" w:styleId="Reetkatablice2" w:type="table">
    <w:name w:val="Rešetka tablice2"/>
    <w:basedOn w:val="Obinatablica"/>
    <w:next w:val="Reetkatablice"/>
    <w:rsid w:val="00B074BB"/>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Reetkatablice3" w:type="table">
    <w:name w:val="Rešetka tablice3"/>
    <w:basedOn w:val="Obinatablica"/>
    <w:next w:val="Reetkatablice"/>
    <w:rsid w:val="00B074BB"/>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Uvuenotijeloteksta" w:type="paragraph">
    <w:name w:val="Body Text Indent"/>
    <w:basedOn w:val="Normal"/>
    <w:link w:val="UvuenotijelotekstaChar"/>
    <w:semiHidden/>
    <w:unhideWhenUsed/>
    <w:rsid w:val="000B649A"/>
    <w:pPr>
      <w:spacing w:after="120"/>
      <w:ind w:left="283"/>
    </w:pPr>
  </w:style>
  <w:style w:customStyle="true" w:styleId="UvuenotijelotekstaChar" w:type="character">
    <w:name w:val="Uvučeno tijelo teksta Char"/>
    <w:basedOn w:val="Zadanifontodlomka"/>
    <w:link w:val="Uvuenotijeloteksta"/>
    <w:semiHidden/>
    <w:rsid w:val="000B649A"/>
  </w:style>
  <w:style w:customStyle="true" w:styleId="Bezproreda2" w:type="paragraph">
    <w:name w:val="Bez proreda2"/>
    <w:rsid w:val="000072E2"/>
    <w:pPr>
      <w:suppressAutoHyphens/>
    </w:pPr>
    <w:rPr>
      <w:rFonts w:eastAsia="Calibri" w:hAnsi="Calibri" w:ascii="Calibri"/>
      <w:kern w:val="2"/>
      <w:sz w:val="22"/>
      <w:szCs w:val="22"/>
      <w:lang w:eastAsia="en-US"/>
    </w:rPr>
  </w:style>
  <w:style w:customStyle="true" w:styleId="Naslov1Char" w:type="character">
    <w:name w:val="Naslov 1 Char"/>
    <w:basedOn w:val="Zadanifontodlomka"/>
    <w:link w:val="Naslov1"/>
    <w:rsid w:val="00D77EEC"/>
    <w:rPr>
      <w:b/>
      <w:sz w:val="24"/>
    </w:rPr>
  </w:style>
  <w:style w:customStyle="true" w:styleId="Sadrajitablice" w:type="paragraph">
    <w:name w:val="Sadržaji tablice"/>
    <w:basedOn w:val="Normal"/>
    <w:rsid w:val="00FE0FF0"/>
    <w:pPr>
      <w:widowControl w:val="false"/>
      <w:suppressLineNumbers/>
      <w:suppressAutoHyphens/>
      <w:overflowPunct/>
      <w:autoSpaceDE/>
      <w:autoSpaceDN/>
      <w:adjustRightInd/>
      <w:textAlignment w:val="auto"/>
    </w:pPr>
    <w:rPr>
      <w:rFonts w:cs="Mangal" w:eastAsia="SimSun"/>
      <w:kern w:val="1"/>
      <w:sz w:val="24"/>
      <w:szCs w:val="24"/>
      <w:lang w:bidi="hi-IN" w:eastAsia="hi-IN"/>
    </w:rPr>
  </w:style>
  <w:style w:styleId="Obinitekst" w:type="paragraph">
    <w:name w:val="Plain Text"/>
    <w:basedOn w:val="Normal"/>
    <w:link w:val="ObinitekstChar"/>
    <w:semiHidden/>
    <w:rsid w:val="00E637B8"/>
    <w:pPr>
      <w:overflowPunct/>
      <w:autoSpaceDE/>
      <w:autoSpaceDN/>
      <w:adjustRightInd/>
      <w:textAlignment w:val="auto"/>
    </w:pPr>
    <w:rPr>
      <w:rFonts w:hAnsi="Courier New" w:ascii="Courier New"/>
      <w:lang w:val="en-GB"/>
    </w:rPr>
  </w:style>
  <w:style w:customStyle="true" w:styleId="ObinitekstChar" w:type="character">
    <w:name w:val="Obični tekst Char"/>
    <w:basedOn w:val="Zadanifontodlomka"/>
    <w:link w:val="Obinitekst"/>
    <w:semiHidden/>
    <w:rsid w:val="00E637B8"/>
    <w:rPr>
      <w:rFonts w:hAnsi="Courier New" w:ascii="Courier New"/>
      <w:lang w:val="en-GB"/>
    </w:rPr>
  </w:style>
  <w:style w:customStyle="true" w:styleId="Reetkatablice4" w:type="table">
    <w:name w:val="Rešetka tablice4"/>
    <w:basedOn w:val="Obinatablica"/>
    <w:next w:val="Reetkatablice"/>
    <w:uiPriority w:val="59"/>
    <w:rsid w:val="001A4F52"/>
    <w:pPr>
      <w:jc w:val="both"/>
    </w:pPr>
    <w:rPr>
      <w:rFonts w:cstheme="minorBidi" w:eastAsiaTheme="minorHAnsi" w:hAnsiTheme="minorHAnsi" w:asciiTheme="minorHAnsi"/>
      <w:sz w:val="22"/>
      <w:szCs w:val="22"/>
      <w:lang w:eastAsia="en-US" w:val="hr-BA"/>
    </w:rPr>
    <w:tblPr>
      <w:tblInd w:type="nil" w:w="0"/>
      <w:tblBorders>
        <w:top w:space="0" w:sz="4" w:themeColor="text1" w:color="000000" w:val="single"/>
        <w:left w:space="0" w:sz="4" w:themeColor="text1" w:color="000000" w:val="single"/>
        <w:bottom w:space="0" w:sz="4" w:themeColor="text1" w:color="000000" w:val="single"/>
        <w:right w:space="0" w:sz="4" w:themeColor="text1" w:color="000000" w:val="single"/>
        <w:insideH w:space="0" w:sz="4" w:themeColor="text1" w:color="000000" w:val="single"/>
        <w:insideV w:space="0" w:sz="4" w:themeColor="text1" w:color="000000" w:val="single"/>
      </w:tblBorders>
    </w:tblPr>
  </w:style>
  <w:style w:customStyle="true" w:styleId="TableGrid2" w:type="table">
    <w:name w:val="Table Grid2"/>
    <w:basedOn w:val="Obinatablica"/>
    <w:next w:val="Reetkatablice"/>
    <w:uiPriority w:val="39"/>
    <w:rsid w:val="005F4968"/>
    <w:rPr>
      <w:rFonts w:cstheme="minorBidi" w:eastAsiaTheme="minorHAnsi" w:hAnsiTheme="minorHAnsi" w:asciiTheme="minorHAnsi"/>
      <w:sz w:val="22"/>
      <w:szCs w:val="22"/>
      <w:lang w:eastAsia="en-US"/>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semiHidden="0" w:unhideWhenUsed="0"/>
    <w:lsdException w:name="heading 4" w:qFormat="1"/>
    <w:lsdException w:name="heading 5" w:qFormat="1"/>
    <w:lsdException w:name="heading 6" w:qFormat="1"/>
    <w:lsdException w:name="heading 7" w:qFormat="1"/>
    <w:lsdException w:name="heading 8" w:qFormat="1"/>
    <w:lsdException w:name="heading 9" w:qFormat="1"/>
    <w:lsdException w:name="footnote text" w:qFormat="1" w:uiPriority="99"/>
    <w:lsdException w:name="footer" w:uiPriority="99"/>
    <w:lsdException w:name="caption" w:qFormat="1"/>
    <w:lsdException w:name="footnote reference" w:uiPriority="99"/>
    <w:lsdException w:name="List Bullet" w:semiHidden="0" w:unhideWhenUsed="0"/>
    <w:lsdException w:name="List 3" w:semiHidden="0" w:unhideWhenUsed="0"/>
    <w:lsdException w:name="List 4" w:semiHidden="0" w:unhideWhenUsed="0"/>
    <w:lsdException w:name="Title" w:qFormat="1" w:semiHidden="0" w:unhideWhenUsed="0"/>
    <w:lsdException w:name="Message Header" w:semiHidden="0" w:unhideWhenUsed="0"/>
    <w:lsdException w:name="Subtitle" w:qFormat="1" w:semiHidden="0" w:unhideWhenUsed="0"/>
    <w:lsdException w:name="Salutation" w:semiHidden="0" w:unhideWhenUsed="0"/>
    <w:lsdException w:name="Date" w:semiHidden="0" w:unhideWhenUsed="0"/>
    <w:lsdException w:name="Strong" w:qFormat="1" w:semiHidden="0" w:unhideWhenUsed="0"/>
    <w:lsdException w:name="Emphasis" w:qFormat="1" w:semiHidden="0" w:unhideWhenUsed="0"/>
    <w:lsdException w:name="Balloon Text" w:uiPriority="99"/>
    <w:lsdException w:name="Table Grid" w:semiHidden="0" w:uiPriority="39" w:unhideWhenUsed="0"/>
    <w:lsdException w:name="Placeholder Text" w:uiPriority="99" w:unhideWhenUsed="0"/>
    <w:lsdException w:name="No Spacing" w:qFormat="1"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F0F9D"/>
    <w:pPr>
      <w:overflowPunct w:val="0"/>
      <w:autoSpaceDE w:val="0"/>
      <w:autoSpaceDN w:val="0"/>
      <w:adjustRightInd w:val="0"/>
      <w:textAlignment w:val="baseline"/>
    </w:pPr>
  </w:style>
  <w:style w:styleId="Naslov1" w:type="paragraph">
    <w:name w:val="heading 1"/>
    <w:basedOn w:val="Normal"/>
    <w:next w:val="Normal"/>
    <w:link w:val="Naslov1Char"/>
    <w:qFormat/>
    <w:rsid w:val="00853FF6"/>
    <w:pPr>
      <w:keepNext/>
      <w:outlineLvl w:val="0"/>
    </w:pPr>
    <w:rPr>
      <w:b/>
      <w:sz w:val="24"/>
    </w:rPr>
  </w:style>
  <w:style w:styleId="Naslov2" w:type="paragraph">
    <w:name w:val="heading 2"/>
    <w:basedOn w:val="Normal"/>
    <w:next w:val="Normal"/>
    <w:link w:val="Naslov2Char"/>
    <w:semiHidden/>
    <w:unhideWhenUsed/>
    <w:qFormat/>
    <w:rsid w:val="00E4365F"/>
    <w:pPr>
      <w:keepNext/>
      <w:keepLines/>
      <w:spacing w:before="200"/>
      <w:outlineLvl w:val="1"/>
    </w:pPr>
    <w:rPr>
      <w:rFonts w:asciiTheme="majorHAnsi" w:cstheme="majorBidi" w:eastAsiaTheme="majorEastAsia" w:hAnsiTheme="majorHAnsi"/>
      <w:b/>
      <w:bCs/>
      <w:color w:themeColor="accent1" w:val="4F81BD"/>
      <w:sz w:val="26"/>
      <w:szCs w:val="26"/>
    </w:rPr>
  </w:style>
  <w:style w:styleId="Naslov3" w:type="paragraph">
    <w:name w:val="heading 3"/>
    <w:basedOn w:val="Normal"/>
    <w:next w:val="Normal"/>
    <w:qFormat/>
    <w:rsid w:val="00853FF6"/>
    <w:pPr>
      <w:keepNext/>
      <w:jc w:val="center"/>
      <w:outlineLvl w:val="2"/>
    </w:pPr>
    <w:rPr>
      <w:b/>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853FF6"/>
    <w:pPr>
      <w:jc w:val="both"/>
    </w:pPr>
    <w:rPr>
      <w:rFonts w:ascii="Arial" w:hAnsi="Arial"/>
      <w:sz w:val="24"/>
    </w:rPr>
  </w:style>
  <w:style w:styleId="Zaglavlje" w:type="paragraph">
    <w:name w:val="header"/>
    <w:basedOn w:val="Normal"/>
    <w:link w:val="ZaglavljeChar"/>
    <w:rsid w:val="00853FF6"/>
    <w:pPr>
      <w:tabs>
        <w:tab w:pos="4536" w:val="center"/>
        <w:tab w:pos="9072" w:val="right"/>
      </w:tabs>
    </w:pPr>
  </w:style>
  <w:style w:styleId="Brojstranice" w:type="character">
    <w:name w:val="page number"/>
    <w:basedOn w:val="Zadanifontodlomka"/>
    <w:rsid w:val="00853FF6"/>
  </w:style>
  <w:style w:styleId="Podnoje" w:type="paragraph">
    <w:name w:val="footer"/>
    <w:basedOn w:val="Normal"/>
    <w:link w:val="PodnojeChar"/>
    <w:uiPriority w:val="99"/>
    <w:rsid w:val="00A721A3"/>
    <w:pPr>
      <w:tabs>
        <w:tab w:pos="4536" w:val="center"/>
        <w:tab w:pos="9072" w:val="right"/>
      </w:tabs>
    </w:pPr>
  </w:style>
  <w:style w:styleId="Tekstbalonia" w:type="paragraph">
    <w:name w:val="Balloon Text"/>
    <w:basedOn w:val="Normal"/>
    <w:link w:val="TekstbaloniaChar"/>
    <w:uiPriority w:val="99"/>
    <w:semiHidden/>
    <w:rsid w:val="003E1FDA"/>
    <w:rPr>
      <w:rFonts w:ascii="Tahoma" w:cs="Tahoma" w:hAnsi="Tahoma"/>
      <w:sz w:val="16"/>
      <w:szCs w:val="16"/>
    </w:rPr>
  </w:style>
  <w:style w:styleId="Bezproreda" w:type="paragraph">
    <w:name w:val="No Spacing"/>
    <w:uiPriority w:val="99"/>
    <w:qFormat/>
    <w:rsid w:val="002A6D1A"/>
    <w:rPr>
      <w:rFonts w:ascii="Calibri" w:eastAsia="Calibri" w:hAnsi="Calibri"/>
      <w:sz w:val="22"/>
      <w:szCs w:val="22"/>
      <w:lang w:eastAsia="en-US"/>
    </w:rPr>
  </w:style>
  <w:style w:styleId="Odlomakpopisa" w:type="paragraph">
    <w:name w:val="List Paragraph"/>
    <w:basedOn w:val="Normal"/>
    <w:uiPriority w:val="34"/>
    <w:qFormat/>
    <w:rsid w:val="003B020D"/>
    <w:pPr>
      <w:overflowPunct/>
      <w:autoSpaceDE/>
      <w:autoSpaceDN/>
      <w:adjustRightInd/>
      <w:spacing w:after="200" w:line="276" w:lineRule="auto"/>
      <w:ind w:left="720"/>
      <w:contextualSpacing/>
      <w:textAlignment w:val="auto"/>
    </w:pPr>
    <w:rPr>
      <w:rFonts w:ascii="Calibri" w:hAnsi="Calibri"/>
      <w:sz w:val="22"/>
      <w:szCs w:val="22"/>
      <w:lang w:eastAsia="en-US"/>
    </w:rPr>
  </w:style>
  <w:style w:styleId="Tekstrezerviranogmjesta" w:type="character">
    <w:name w:val="Placeholder Text"/>
    <w:basedOn w:val="Zadanifontodlomka"/>
    <w:uiPriority w:val="99"/>
    <w:semiHidden/>
    <w:rsid w:val="00EA2D5B"/>
    <w:rPr>
      <w:color w:val="808080"/>
      <w:bdr w:color="auto" w:space="0" w:sz="0" w:val="none"/>
      <w:shd w:color="auto" w:fill="auto" w:val="clear"/>
    </w:rPr>
  </w:style>
  <w:style w:customStyle="1" w:styleId="eSPISCCParagraphDefaultFont" w:type="character">
    <w:name w:val="eSPIS_CC_Paragraph Default Font"/>
    <w:basedOn w:val="Zadanifontodlomka"/>
    <w:rsid w:val="00EA2D5B"/>
    <w:rPr>
      <w:rFonts w:ascii="Times New Roman" w:cs="Times New Roman" w:hAnsi="Times New Roman"/>
      <w:bCs/>
      <w:sz w:val="24"/>
      <w:szCs w:val="24"/>
      <w:bdr w:color="auto" w:space="0" w:sz="0" w:val="none"/>
      <w:shd w:color="auto" w:fill="auto" w:val="clear"/>
      <w:lang w:val="hr-HR"/>
    </w:rPr>
  </w:style>
  <w:style w:customStyle="1" w:styleId="PozadinaSvijetloZuta" w:type="character">
    <w:name w:val="Pozadina_SvijetloZuta"/>
    <w:basedOn w:val="Zadanifontodlomka"/>
    <w:rsid w:val="00EA2D5B"/>
    <w:rPr>
      <w:bCs/>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EA2D5B"/>
    <w:rPr>
      <w:rFonts w:ascii="Times New Roman" w:cs="Times New Roman" w:hAnsi="Times New Roman"/>
      <w:bCs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EA2D5B"/>
    <w:rPr>
      <w:rFonts w:ascii="Times New Roman" w:cs="Times New Roman" w:hAnsi="Times New Roman"/>
      <w:bCs w:val="0"/>
      <w:sz w:val="24"/>
      <w:szCs w:val="24"/>
      <w:bdr w:color="auto" w:space="0" w:sz="0" w:val="none"/>
      <w:shd w:color="auto" w:fill="CCFFCC" w:val="clear"/>
      <w:lang w:val="hr-HR"/>
    </w:rPr>
  </w:style>
  <w:style w:customStyle="1" w:styleId="Default" w:type="paragraph">
    <w:name w:val="Default"/>
    <w:rsid w:val="00150D16"/>
    <w:pPr>
      <w:autoSpaceDE w:val="0"/>
      <w:autoSpaceDN w:val="0"/>
      <w:adjustRightInd w:val="0"/>
    </w:pPr>
    <w:rPr>
      <w:color w:val="000000"/>
      <w:sz w:val="24"/>
      <w:szCs w:val="24"/>
    </w:rPr>
  </w:style>
  <w:style w:styleId="Tekstfusnote" w:type="paragraph">
    <w:name w:val="footnote text"/>
    <w:basedOn w:val="Normal"/>
    <w:link w:val="TekstfusnoteChar"/>
    <w:uiPriority w:val="99"/>
    <w:qFormat/>
    <w:rsid w:val="00FE3415"/>
    <w:pPr>
      <w:overflowPunct/>
      <w:autoSpaceDE/>
      <w:autoSpaceDN/>
      <w:adjustRightInd/>
      <w:spacing w:after="80"/>
      <w:textAlignment w:val="auto"/>
    </w:pPr>
    <w:rPr>
      <w:rFonts w:ascii="Calibri" w:eastAsia="Calibri" w:hAnsi="Calibri"/>
      <w:lang w:eastAsia="en-US"/>
    </w:rPr>
  </w:style>
  <w:style w:customStyle="1" w:styleId="TekstfusnoteChar" w:type="character">
    <w:name w:val="Tekst fusnote Char"/>
    <w:basedOn w:val="Zadanifontodlomka"/>
    <w:link w:val="Tekstfusnote"/>
    <w:uiPriority w:val="99"/>
    <w:rsid w:val="00FE3415"/>
    <w:rPr>
      <w:rFonts w:ascii="Calibri" w:eastAsia="Calibri" w:hAnsi="Calibri"/>
      <w:lang w:eastAsia="en-US"/>
    </w:rPr>
  </w:style>
  <w:style w:styleId="Referencafusnote" w:type="character">
    <w:name w:val="footnote reference"/>
    <w:uiPriority w:val="99"/>
    <w:rsid w:val="00FE3415"/>
    <w:rPr>
      <w:rFonts w:cs="Times New Roman"/>
      <w:vertAlign w:val="superscript"/>
    </w:rPr>
  </w:style>
  <w:style w:customStyle="1" w:styleId="Bezpopisa1" w:type="numbering">
    <w:name w:val="Bez popisa1"/>
    <w:next w:val="Bezpopisa"/>
    <w:uiPriority w:val="99"/>
    <w:semiHidden/>
    <w:unhideWhenUsed/>
    <w:rsid w:val="0044450B"/>
  </w:style>
  <w:style w:customStyle="1" w:styleId="Standard" w:type="paragraph">
    <w:name w:val="Standard"/>
    <w:rsid w:val="0044450B"/>
    <w:pPr>
      <w:widowControl w:val="0"/>
      <w:suppressAutoHyphens/>
      <w:autoSpaceDN w:val="0"/>
      <w:textAlignment w:val="baseline"/>
    </w:pPr>
    <w:rPr>
      <w:rFonts w:cs="Tahoma" w:eastAsia="Lucida Sans Unicode"/>
      <w:kern w:val="3"/>
      <w:sz w:val="24"/>
      <w:szCs w:val="24"/>
    </w:rPr>
  </w:style>
  <w:style w:customStyle="1" w:styleId="Textbody" w:type="paragraph">
    <w:name w:val="Text body"/>
    <w:basedOn w:val="Standard"/>
    <w:rsid w:val="0044450B"/>
    <w:pPr>
      <w:spacing w:after="120"/>
    </w:pPr>
  </w:style>
  <w:style w:styleId="Popis" w:type="paragraph">
    <w:name w:val="List"/>
    <w:basedOn w:val="Textbody"/>
    <w:rsid w:val="0044450B"/>
  </w:style>
  <w:style w:customStyle="1" w:styleId="TableContents" w:type="paragraph">
    <w:name w:val="Table Contents"/>
    <w:basedOn w:val="Standard"/>
    <w:rsid w:val="0044450B"/>
    <w:pPr>
      <w:suppressLineNumbers/>
    </w:pPr>
  </w:style>
  <w:style w:customStyle="1" w:styleId="TableHeading" w:type="paragraph">
    <w:name w:val="Table Heading"/>
    <w:basedOn w:val="TableContents"/>
    <w:rsid w:val="0044450B"/>
    <w:pPr>
      <w:jc w:val="center"/>
    </w:pPr>
    <w:rPr>
      <w:b/>
      <w:bCs/>
    </w:rPr>
  </w:style>
  <w:style w:styleId="Opisslike" w:type="paragraph">
    <w:name w:val="caption"/>
    <w:basedOn w:val="Standard"/>
    <w:qFormat/>
    <w:rsid w:val="0044450B"/>
    <w:pPr>
      <w:suppressLineNumbers/>
      <w:spacing w:after="120" w:before="120"/>
    </w:pPr>
    <w:rPr>
      <w:i/>
      <w:iCs/>
    </w:rPr>
  </w:style>
  <w:style w:customStyle="1" w:styleId="Index" w:type="paragraph">
    <w:name w:val="Index"/>
    <w:basedOn w:val="Standard"/>
    <w:rsid w:val="0044450B"/>
    <w:pPr>
      <w:suppressLineNumbers/>
    </w:pPr>
  </w:style>
  <w:style w:styleId="Naslov" w:type="paragraph">
    <w:name w:val="Title"/>
    <w:basedOn w:val="Standard"/>
    <w:next w:val="Textbody"/>
    <w:link w:val="NaslovChar"/>
    <w:qFormat/>
    <w:rsid w:val="0044450B"/>
    <w:pPr>
      <w:keepNext/>
      <w:spacing w:after="120" w:before="240"/>
    </w:pPr>
    <w:rPr>
      <w:rFonts w:ascii="Arial" w:hAnsi="Arial"/>
      <w:sz w:val="28"/>
      <w:szCs w:val="28"/>
    </w:rPr>
  </w:style>
  <w:style w:customStyle="1" w:styleId="NaslovChar" w:type="character">
    <w:name w:val="Naslov Char"/>
    <w:basedOn w:val="Zadanifontodlomka"/>
    <w:link w:val="Naslov"/>
    <w:rsid w:val="0044450B"/>
    <w:rPr>
      <w:rFonts w:ascii="Arial" w:cs="Tahoma" w:eastAsia="Lucida Sans Unicode" w:hAnsi="Arial"/>
      <w:kern w:val="3"/>
      <w:sz w:val="28"/>
      <w:szCs w:val="28"/>
    </w:rPr>
  </w:style>
  <w:style w:styleId="Podnaslov" w:type="paragraph">
    <w:name w:val="Subtitle"/>
    <w:basedOn w:val="Naslov"/>
    <w:next w:val="Textbody"/>
    <w:link w:val="PodnaslovChar"/>
    <w:qFormat/>
    <w:rsid w:val="0044450B"/>
    <w:pPr>
      <w:jc w:val="center"/>
    </w:pPr>
    <w:rPr>
      <w:i/>
      <w:iCs/>
    </w:rPr>
  </w:style>
  <w:style w:customStyle="1" w:styleId="PodnaslovChar" w:type="character">
    <w:name w:val="Podnaslov Char"/>
    <w:basedOn w:val="Zadanifontodlomka"/>
    <w:link w:val="Podnaslov"/>
    <w:rsid w:val="0044450B"/>
    <w:rPr>
      <w:rFonts w:ascii="Arial" w:cs="Tahoma" w:eastAsia="Lucida Sans Unicode" w:hAnsi="Arial"/>
      <w:i/>
      <w:iCs/>
      <w:kern w:val="3"/>
      <w:sz w:val="28"/>
      <w:szCs w:val="28"/>
    </w:rPr>
  </w:style>
  <w:style w:customStyle="1" w:styleId="BulletSymbols" w:type="character">
    <w:name w:val="Bullet Symbols"/>
    <w:rsid w:val="0044450B"/>
    <w:rPr>
      <w:rFonts w:ascii="StarSymbol" w:cs="StarSymbol" w:eastAsia="StarSymbol" w:hAnsi="StarSymbol"/>
      <w:sz w:val="18"/>
      <w:szCs w:val="18"/>
    </w:rPr>
  </w:style>
  <w:style w:customStyle="1" w:styleId="TekstbaloniaChar" w:type="character">
    <w:name w:val="Tekst balončića Char"/>
    <w:link w:val="Tekstbalonia"/>
    <w:uiPriority w:val="99"/>
    <w:semiHidden/>
    <w:rsid w:val="0044450B"/>
    <w:rPr>
      <w:rFonts w:ascii="Tahoma" w:cs="Tahoma" w:hAnsi="Tahoma"/>
      <w:sz w:val="16"/>
      <w:szCs w:val="16"/>
    </w:rPr>
  </w:style>
  <w:style w:customStyle="1" w:styleId="ZaglavljeChar" w:type="character">
    <w:name w:val="Zaglavlje Char"/>
    <w:basedOn w:val="Zadanifontodlomka"/>
    <w:link w:val="Zaglavlje"/>
    <w:uiPriority w:val="99"/>
    <w:rsid w:val="0044450B"/>
  </w:style>
  <w:style w:customStyle="1" w:styleId="PodnojeChar" w:type="character">
    <w:name w:val="Podnožje Char"/>
    <w:basedOn w:val="Zadanifontodlomka"/>
    <w:link w:val="Podnoje"/>
    <w:uiPriority w:val="99"/>
    <w:rsid w:val="0044450B"/>
  </w:style>
  <w:style w:styleId="Reetkatablice" w:type="table">
    <w:name w:val="Table Grid"/>
    <w:basedOn w:val="Obinatablica"/>
    <w:uiPriority w:val="39"/>
    <w:rsid w:val="004E2E52"/>
    <w:rPr>
      <w:rFonts w:asciiTheme="minorHAnsi" w:cstheme="minorBidi" w:eastAsiaTheme="minorEastAsia" w:hAnsiTheme="minorHAnsi"/>
      <w:sz w:val="22"/>
      <w:szCs w:val="22"/>
    </w:rPr>
    <w:tblPr>
      <w:tblBorders>
        <w:top w:color="000000" w:space="0" w:sz="4" w:themeColor="text1" w:val="single"/>
        <w:left w:color="000000" w:space="0" w:sz="4" w:themeColor="text1" w:val="single"/>
        <w:bottom w:color="000000" w:space="0" w:sz="4" w:themeColor="text1" w:val="single"/>
        <w:right w:color="000000" w:space="0" w:sz="4" w:themeColor="text1" w:val="single"/>
        <w:insideH w:color="000000" w:space="0" w:sz="4" w:themeColor="text1" w:val="single"/>
        <w:insideV w:color="000000" w:space="0" w:sz="4" w:themeColor="text1" w:val="single"/>
      </w:tblBorders>
    </w:tblPr>
  </w:style>
  <w:style w:customStyle="1" w:styleId="Reetkatablice1" w:type="table">
    <w:name w:val="Rešetka tablice1"/>
    <w:basedOn w:val="Obinatablica"/>
    <w:next w:val="Reetkatablice"/>
    <w:uiPriority w:val="59"/>
    <w:rsid w:val="00A86810"/>
    <w:rPr>
      <w:rFonts w:asciiTheme="minorHAnsi" w:cstheme="minorBidi" w:eastAsiaTheme="minorHAnsi" w:hAnsiTheme="minorHAnsi"/>
      <w:sz w:val="22"/>
      <w:szCs w:val="22"/>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Istaknuto" w:type="character">
    <w:name w:val="Emphasis"/>
    <w:qFormat/>
    <w:rsid w:val="009D2433"/>
    <w:rPr>
      <w:i/>
      <w:iCs/>
    </w:rPr>
  </w:style>
  <w:style w:customStyle="1" w:styleId="Srednjareetka21" w:type="paragraph">
    <w:name w:val="Srednja rešetka 21"/>
    <w:uiPriority w:val="1"/>
    <w:qFormat/>
    <w:rsid w:val="00852275"/>
    <w:rPr>
      <w:rFonts w:ascii="Calibri" w:eastAsia="Calibri" w:hAnsi="Calibri"/>
      <w:sz w:val="22"/>
      <w:szCs w:val="22"/>
      <w:lang w:eastAsia="en-US"/>
    </w:rPr>
  </w:style>
  <w:style w:customStyle="1" w:styleId="Naslov2Char" w:type="character">
    <w:name w:val="Naslov 2 Char"/>
    <w:basedOn w:val="Zadanifontodlomka"/>
    <w:link w:val="Naslov2"/>
    <w:semiHidden/>
    <w:rsid w:val="00E4365F"/>
    <w:rPr>
      <w:rFonts w:asciiTheme="majorHAnsi" w:cstheme="majorBidi" w:eastAsiaTheme="majorEastAsia" w:hAnsiTheme="majorHAnsi"/>
      <w:b/>
      <w:bCs/>
      <w:color w:themeColor="accent1" w:val="4F81BD"/>
      <w:sz w:val="26"/>
      <w:szCs w:val="26"/>
    </w:rPr>
  </w:style>
  <w:style w:styleId="Nastavakpopisa4" w:type="paragraph">
    <w:name w:val="List Continue 4"/>
    <w:basedOn w:val="Normal"/>
    <w:unhideWhenUsed/>
    <w:rsid w:val="00E4365F"/>
    <w:pPr>
      <w:overflowPunct/>
      <w:autoSpaceDE/>
      <w:autoSpaceDN/>
      <w:adjustRightInd/>
      <w:spacing w:after="120"/>
      <w:ind w:left="1132"/>
      <w:contextualSpacing/>
      <w:textAlignment w:val="auto"/>
    </w:pPr>
    <w:rPr>
      <w:sz w:val="24"/>
      <w:lang w:eastAsia="en-US"/>
    </w:rPr>
  </w:style>
  <w:style w:customStyle="1" w:styleId="NoSpacing2" w:type="paragraph">
    <w:name w:val="No Spacing2"/>
    <w:uiPriority w:val="1"/>
    <w:qFormat/>
    <w:rsid w:val="00407B05"/>
    <w:rPr>
      <w:rFonts w:ascii="Calibri" w:eastAsia="Calibri" w:hAnsi="Calibri"/>
      <w:sz w:val="22"/>
      <w:szCs w:val="22"/>
      <w:lang w:eastAsia="en-US"/>
    </w:rPr>
  </w:style>
  <w:style w:customStyle="1" w:styleId="NoSpacing1" w:type="paragraph">
    <w:name w:val="No Spacing1"/>
    <w:qFormat/>
    <w:rsid w:val="00407B05"/>
    <w:rPr>
      <w:rFonts w:ascii="Calibri" w:eastAsia="Calibri" w:hAnsi="Calibri"/>
      <w:sz w:val="22"/>
      <w:szCs w:val="22"/>
      <w:lang w:eastAsia="en-US"/>
    </w:rPr>
  </w:style>
  <w:style w:customStyle="1" w:styleId="tb-na16" w:type="paragraph">
    <w:name w:val="tb-na16"/>
    <w:basedOn w:val="Normal"/>
    <w:rsid w:val="00407B05"/>
    <w:pPr>
      <w:overflowPunct/>
      <w:autoSpaceDE/>
      <w:autoSpaceDN/>
      <w:adjustRightInd/>
      <w:spacing w:afterLines="1" w:beforeLines="1"/>
      <w:textAlignment w:val="auto"/>
    </w:pPr>
    <w:rPr>
      <w:rFonts w:ascii="Times" w:eastAsia="Cambria" w:hAnsi="Times"/>
      <w:lang w:eastAsia="en-US" w:val="en-US"/>
    </w:rPr>
  </w:style>
  <w:style w:customStyle="1" w:styleId="FootnoteAnchor" w:type="character">
    <w:name w:val="Footnote Anchor"/>
    <w:rsid w:val="005A3188"/>
    <w:rPr>
      <w:vertAlign w:val="superscript"/>
    </w:rPr>
  </w:style>
  <w:style w:customStyle="1" w:styleId="TijelotekstaChar" w:type="character">
    <w:name w:val="Tijelo teksta Char"/>
    <w:basedOn w:val="Zadanifontodlomka"/>
    <w:link w:val="Tijeloteksta"/>
    <w:rsid w:val="003041C1"/>
    <w:rPr>
      <w:rFonts w:ascii="Arial" w:hAnsi="Arial"/>
      <w:sz w:val="24"/>
    </w:rPr>
  </w:style>
  <w:style w:customStyle="1" w:styleId="TableNormal1" w:type="table">
    <w:name w:val="Table Normal1"/>
    <w:uiPriority w:val="2"/>
    <w:semiHidden/>
    <w:unhideWhenUsed/>
    <w:qFormat/>
    <w:rsid w:val="00CF0C82"/>
    <w:pPr>
      <w:widowControl w:val="0"/>
    </w:pPr>
    <w:rPr>
      <w:rFonts w:asciiTheme="minorHAnsi" w:cstheme="minorBidi" w:eastAsiaTheme="minorHAnsi" w:hAnsiTheme="minorHAnsi"/>
      <w:sz w:val="22"/>
      <w:szCs w:val="22"/>
      <w:lang w:eastAsia="en-US" w:val="en-US"/>
    </w:rPr>
    <w:tblPr>
      <w:tblInd w:type="dxa" w:w="0"/>
      <w:tblCellMar>
        <w:top w:type="dxa" w:w="0"/>
        <w:left w:type="dxa" w:w="0"/>
        <w:bottom w:type="dxa" w:w="0"/>
        <w:right w:type="dxa" w:w="0"/>
      </w:tblCellMar>
    </w:tblPr>
  </w:style>
  <w:style w:customStyle="1" w:styleId="TableParagraph" w:type="paragraph">
    <w:name w:val="Table Paragraph"/>
    <w:basedOn w:val="Normal"/>
    <w:uiPriority w:val="1"/>
    <w:qFormat/>
    <w:rsid w:val="00CF0C82"/>
    <w:pPr>
      <w:widowControl w:val="0"/>
      <w:overflowPunct/>
      <w:autoSpaceDE/>
      <w:autoSpaceDN/>
      <w:adjustRightInd/>
      <w:textAlignment w:val="auto"/>
    </w:pPr>
    <w:rPr>
      <w:rFonts w:asciiTheme="minorHAnsi" w:cstheme="minorBidi" w:eastAsiaTheme="minorHAnsi" w:hAnsiTheme="minorHAnsi"/>
      <w:sz w:val="22"/>
      <w:szCs w:val="22"/>
      <w:lang w:eastAsia="en-US" w:val="en-US"/>
    </w:rPr>
  </w:style>
  <w:style w:customStyle="1" w:styleId="Bodytext2" w:type="character">
    <w:name w:val="Body text (2)_"/>
    <w:basedOn w:val="Zadanifontodlomka"/>
    <w:link w:val="Bodytext20"/>
    <w:rsid w:val="00CF0C82"/>
    <w:rPr>
      <w:shd w:color="auto" w:fill="FFFFFF" w:val="clear"/>
    </w:rPr>
  </w:style>
  <w:style w:customStyle="1" w:styleId="Bodytext20" w:type="paragraph">
    <w:name w:val="Body text (2)"/>
    <w:basedOn w:val="Normal"/>
    <w:link w:val="Bodytext2"/>
    <w:rsid w:val="00CF0C82"/>
    <w:pPr>
      <w:widowControl w:val="0"/>
      <w:shd w:color="auto" w:fill="FFFFFF" w:val="clear"/>
      <w:overflowPunct/>
      <w:autoSpaceDE/>
      <w:autoSpaceDN/>
      <w:adjustRightInd/>
      <w:spacing w:after="240" w:before="480" w:line="278" w:lineRule="exact"/>
      <w:textAlignment w:val="auto"/>
    </w:pPr>
  </w:style>
  <w:style w:customStyle="1" w:styleId="Bodytext2Bold" w:type="character">
    <w:name w:val="Body text (2) + Bold"/>
    <w:basedOn w:val="Bodytext2"/>
    <w:rsid w:val="00CF0C82"/>
    <w:rPr>
      <w:rFonts w:ascii="Times New Roman" w:hAnsi="Times New Roman"/>
      <w:b/>
      <w:bCs/>
      <w:i w:val="0"/>
      <w:iCs w:val="0"/>
      <w:smallCaps w:val="0"/>
      <w:strike w:val="0"/>
      <w:color w:val="000000"/>
      <w:spacing w:val="0"/>
      <w:w w:val="100"/>
      <w:position w:val="0"/>
      <w:sz w:val="24"/>
      <w:szCs w:val="24"/>
      <w:u w:val="none"/>
      <w:shd w:color="auto" w:fill="FFFFFF" w:val="clear"/>
      <w:lang w:bidi="hr-HR" w:eastAsia="hr-HR" w:val="hr-HR"/>
    </w:rPr>
  </w:style>
  <w:style w:customStyle="1" w:styleId="p1" w:type="paragraph">
    <w:name w:val="p1"/>
    <w:basedOn w:val="Normal"/>
    <w:rsid w:val="0020394D"/>
    <w:pPr>
      <w:overflowPunct/>
      <w:autoSpaceDE/>
      <w:autoSpaceDN/>
      <w:adjustRightInd/>
      <w:textAlignment w:val="auto"/>
    </w:pPr>
    <w:rPr>
      <w:rFonts w:ascii="Helvetica Neue" w:eastAsiaTheme="minorHAnsi" w:hAnsi="Helvetica Neue"/>
      <w:color w:val="333333"/>
      <w:sz w:val="21"/>
      <w:szCs w:val="21"/>
      <w:lang w:eastAsia="en-GB" w:val="en-GB"/>
    </w:rPr>
  </w:style>
  <w:style w:customStyle="1" w:styleId="Reetkatablice2" w:type="table">
    <w:name w:val="Rešetka tablice2"/>
    <w:basedOn w:val="Obinatablica"/>
    <w:next w:val="Reetkatablice"/>
    <w:rsid w:val="00B074BB"/>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Reetkatablice3" w:type="table">
    <w:name w:val="Rešetka tablice3"/>
    <w:basedOn w:val="Obinatablica"/>
    <w:next w:val="Reetkatablice"/>
    <w:rsid w:val="00B074BB"/>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Uvuenotijeloteksta" w:type="paragraph">
    <w:name w:val="Body Text Indent"/>
    <w:basedOn w:val="Normal"/>
    <w:link w:val="UvuenotijelotekstaChar"/>
    <w:semiHidden/>
    <w:unhideWhenUsed/>
    <w:rsid w:val="000B649A"/>
    <w:pPr>
      <w:spacing w:after="120"/>
      <w:ind w:left="283"/>
    </w:pPr>
  </w:style>
  <w:style w:customStyle="1" w:styleId="UvuenotijelotekstaChar" w:type="character">
    <w:name w:val="Uvučeno tijelo teksta Char"/>
    <w:basedOn w:val="Zadanifontodlomka"/>
    <w:link w:val="Uvuenotijeloteksta"/>
    <w:semiHidden/>
    <w:rsid w:val="000B649A"/>
  </w:style>
  <w:style w:customStyle="1" w:styleId="Bezproreda2" w:type="paragraph">
    <w:name w:val="Bez proreda2"/>
    <w:rsid w:val="000072E2"/>
    <w:pPr>
      <w:suppressAutoHyphens/>
    </w:pPr>
    <w:rPr>
      <w:rFonts w:ascii="Calibri" w:eastAsia="Calibri" w:hAnsi="Calibri"/>
      <w:kern w:val="2"/>
      <w:sz w:val="22"/>
      <w:szCs w:val="22"/>
      <w:lang w:eastAsia="en-US"/>
    </w:rPr>
  </w:style>
  <w:style w:customStyle="1" w:styleId="Naslov1Char" w:type="character">
    <w:name w:val="Naslov 1 Char"/>
    <w:basedOn w:val="Zadanifontodlomka"/>
    <w:link w:val="Naslov1"/>
    <w:rsid w:val="00D77EEC"/>
    <w:rPr>
      <w:b/>
      <w:sz w:val="24"/>
    </w:rPr>
  </w:style>
  <w:style w:customStyle="1" w:styleId="Sadrajitablice" w:type="paragraph">
    <w:name w:val="Sadržaji tablice"/>
    <w:basedOn w:val="Normal"/>
    <w:rsid w:val="00FE0FF0"/>
    <w:pPr>
      <w:widowControl w:val="0"/>
      <w:suppressLineNumbers/>
      <w:suppressAutoHyphens/>
      <w:overflowPunct/>
      <w:autoSpaceDE/>
      <w:autoSpaceDN/>
      <w:adjustRightInd/>
      <w:textAlignment w:val="auto"/>
    </w:pPr>
    <w:rPr>
      <w:rFonts w:cs="Mangal" w:eastAsia="SimSun"/>
      <w:kern w:val="1"/>
      <w:sz w:val="24"/>
      <w:szCs w:val="24"/>
      <w:lang w:bidi="hi-IN" w:eastAsia="hi-IN"/>
    </w:rPr>
  </w:style>
  <w:style w:styleId="Obinitekst" w:type="paragraph">
    <w:name w:val="Plain Text"/>
    <w:basedOn w:val="Normal"/>
    <w:link w:val="ObinitekstChar"/>
    <w:semiHidden/>
    <w:rsid w:val="00E637B8"/>
    <w:pPr>
      <w:overflowPunct/>
      <w:autoSpaceDE/>
      <w:autoSpaceDN/>
      <w:adjustRightInd/>
      <w:textAlignment w:val="auto"/>
    </w:pPr>
    <w:rPr>
      <w:rFonts w:ascii="Courier New" w:hAnsi="Courier New"/>
      <w:lang w:val="en-GB"/>
    </w:rPr>
  </w:style>
  <w:style w:customStyle="1" w:styleId="ObinitekstChar" w:type="character">
    <w:name w:val="Obični tekst Char"/>
    <w:basedOn w:val="Zadanifontodlomka"/>
    <w:link w:val="Obinitekst"/>
    <w:semiHidden/>
    <w:rsid w:val="00E637B8"/>
    <w:rPr>
      <w:rFonts w:ascii="Courier New" w:hAnsi="Courier New"/>
      <w:lang w:val="en-GB"/>
    </w:rPr>
  </w:style>
  <w:style w:customStyle="1" w:styleId="Reetkatablice4" w:type="table">
    <w:name w:val="Rešetka tablice4"/>
    <w:basedOn w:val="Obinatablica"/>
    <w:next w:val="Reetkatablice"/>
    <w:uiPriority w:val="59"/>
    <w:rsid w:val="001A4F52"/>
    <w:pPr>
      <w:jc w:val="both"/>
    </w:pPr>
    <w:rPr>
      <w:rFonts w:asciiTheme="minorHAnsi" w:cstheme="minorBidi" w:eastAsiaTheme="minorHAnsi" w:hAnsiTheme="minorHAnsi"/>
      <w:sz w:val="22"/>
      <w:szCs w:val="22"/>
      <w:lang w:eastAsia="en-US" w:val="hr-BA"/>
    </w:rPr>
    <w:tblPr>
      <w:tblInd w:type="nil" w:w="0"/>
      <w:tblBorders>
        <w:top w:color="000000" w:space="0" w:sz="4" w:themeColor="text1" w:val="single"/>
        <w:left w:color="000000" w:space="0" w:sz="4" w:themeColor="text1" w:val="single"/>
        <w:bottom w:color="000000" w:space="0" w:sz="4" w:themeColor="text1" w:val="single"/>
        <w:right w:color="000000" w:space="0" w:sz="4" w:themeColor="text1" w:val="single"/>
        <w:insideH w:color="000000" w:space="0" w:sz="4" w:themeColor="text1" w:val="single"/>
        <w:insideV w:color="000000" w:space="0" w:sz="4" w:themeColor="text1" w:val="single"/>
      </w:tblBorders>
    </w:tblPr>
  </w:style>
  <w:style w:customStyle="1" w:styleId="TableGrid2" w:type="table">
    <w:name w:val="Table Grid2"/>
    <w:basedOn w:val="Obinatablica"/>
    <w:next w:val="Reetkatablice"/>
    <w:uiPriority w:val="39"/>
    <w:rsid w:val="005F4968"/>
    <w:rPr>
      <w:rFonts w:asciiTheme="minorHAnsi" w:cstheme="minorBidi" w:eastAsiaTheme="minorHAnsi" w:hAnsiTheme="minorHAnsi"/>
      <w:sz w:val="22"/>
      <w:szCs w:val="22"/>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2801506">
      <w:bodyDiv w:val="true"/>
      <w:marLeft w:val="0"/>
      <w:marRight w:val="0"/>
      <w:marTop w:val="0"/>
      <w:marBottom w:val="0"/>
      <w:divBdr>
        <w:top w:space="0" w:sz="0" w:color="auto" w:val="none"/>
        <w:left w:space="0" w:sz="0" w:color="auto" w:val="none"/>
        <w:bottom w:space="0" w:sz="0" w:color="auto" w:val="none"/>
        <w:right w:space="0" w:sz="0" w:color="auto" w:val="none"/>
      </w:divBdr>
    </w:div>
    <w:div w:id="120152646">
      <w:bodyDiv w:val="true"/>
      <w:marLeft w:val="0"/>
      <w:marRight w:val="0"/>
      <w:marTop w:val="0"/>
      <w:marBottom w:val="0"/>
      <w:divBdr>
        <w:top w:space="0" w:sz="0" w:color="auto" w:val="none"/>
        <w:left w:space="0" w:sz="0" w:color="auto" w:val="none"/>
        <w:bottom w:space="0" w:sz="0" w:color="auto" w:val="none"/>
        <w:right w:space="0" w:sz="0" w:color="auto" w:val="none"/>
      </w:divBdr>
    </w:div>
    <w:div w:id="157186919">
      <w:bodyDiv w:val="true"/>
      <w:marLeft w:val="0"/>
      <w:marRight w:val="0"/>
      <w:marTop w:val="0"/>
      <w:marBottom w:val="0"/>
      <w:divBdr>
        <w:top w:space="0" w:sz="0" w:color="auto" w:val="none"/>
        <w:left w:space="0" w:sz="0" w:color="auto" w:val="none"/>
        <w:bottom w:space="0" w:sz="0" w:color="auto" w:val="none"/>
        <w:right w:space="0" w:sz="0" w:color="auto" w:val="none"/>
      </w:divBdr>
    </w:div>
    <w:div w:id="244848127">
      <w:bodyDiv w:val="true"/>
      <w:marLeft w:val="0"/>
      <w:marRight w:val="0"/>
      <w:marTop w:val="0"/>
      <w:marBottom w:val="0"/>
      <w:divBdr>
        <w:top w:space="0" w:sz="0" w:color="auto" w:val="none"/>
        <w:left w:space="0" w:sz="0" w:color="auto" w:val="none"/>
        <w:bottom w:space="0" w:sz="0" w:color="auto" w:val="none"/>
        <w:right w:space="0" w:sz="0" w:color="auto" w:val="none"/>
      </w:divBdr>
    </w:div>
    <w:div w:id="288167472">
      <w:bodyDiv w:val="true"/>
      <w:marLeft w:val="0"/>
      <w:marRight w:val="0"/>
      <w:marTop w:val="0"/>
      <w:marBottom w:val="0"/>
      <w:divBdr>
        <w:top w:space="0" w:sz="0" w:color="auto" w:val="none"/>
        <w:left w:space="0" w:sz="0" w:color="auto" w:val="none"/>
        <w:bottom w:space="0" w:sz="0" w:color="auto" w:val="none"/>
        <w:right w:space="0" w:sz="0" w:color="auto" w:val="none"/>
      </w:divBdr>
    </w:div>
    <w:div w:id="386495001">
      <w:bodyDiv w:val="true"/>
      <w:marLeft w:val="0"/>
      <w:marRight w:val="0"/>
      <w:marTop w:val="0"/>
      <w:marBottom w:val="0"/>
      <w:divBdr>
        <w:top w:space="0" w:sz="0" w:color="auto" w:val="none"/>
        <w:left w:space="0" w:sz="0" w:color="auto" w:val="none"/>
        <w:bottom w:space="0" w:sz="0" w:color="auto" w:val="none"/>
        <w:right w:space="0" w:sz="0" w:color="auto" w:val="none"/>
      </w:divBdr>
    </w:div>
    <w:div w:id="567961526">
      <w:bodyDiv w:val="true"/>
      <w:marLeft w:val="0"/>
      <w:marRight w:val="0"/>
      <w:marTop w:val="0"/>
      <w:marBottom w:val="0"/>
      <w:divBdr>
        <w:top w:space="0" w:sz="0" w:color="auto" w:val="none"/>
        <w:left w:space="0" w:sz="0" w:color="auto" w:val="none"/>
        <w:bottom w:space="0" w:sz="0" w:color="auto" w:val="none"/>
        <w:right w:space="0" w:sz="0" w:color="auto" w:val="none"/>
      </w:divBdr>
    </w:div>
    <w:div w:id="679165189">
      <w:bodyDiv w:val="true"/>
      <w:marLeft w:val="0"/>
      <w:marRight w:val="0"/>
      <w:marTop w:val="0"/>
      <w:marBottom w:val="0"/>
      <w:divBdr>
        <w:top w:space="0" w:sz="0" w:color="auto" w:val="none"/>
        <w:left w:space="0" w:sz="0" w:color="auto" w:val="none"/>
        <w:bottom w:space="0" w:sz="0" w:color="auto" w:val="none"/>
        <w:right w:space="0" w:sz="0" w:color="auto" w:val="none"/>
      </w:divBdr>
    </w:div>
    <w:div w:id="692154467">
      <w:bodyDiv w:val="true"/>
      <w:marLeft w:val="0"/>
      <w:marRight w:val="0"/>
      <w:marTop w:val="0"/>
      <w:marBottom w:val="0"/>
      <w:divBdr>
        <w:top w:space="0" w:sz="0" w:color="auto" w:val="none"/>
        <w:left w:space="0" w:sz="0" w:color="auto" w:val="none"/>
        <w:bottom w:space="0" w:sz="0" w:color="auto" w:val="none"/>
        <w:right w:space="0" w:sz="0" w:color="auto" w:val="none"/>
      </w:divBdr>
    </w:div>
    <w:div w:id="761145068">
      <w:bodyDiv w:val="true"/>
      <w:marLeft w:val="0"/>
      <w:marRight w:val="0"/>
      <w:marTop w:val="0"/>
      <w:marBottom w:val="0"/>
      <w:divBdr>
        <w:top w:space="0" w:sz="0" w:color="auto" w:val="none"/>
        <w:left w:space="0" w:sz="0" w:color="auto" w:val="none"/>
        <w:bottom w:space="0" w:sz="0" w:color="auto" w:val="none"/>
        <w:right w:space="0" w:sz="0" w:color="auto" w:val="none"/>
      </w:divBdr>
    </w:div>
    <w:div w:id="1023945291">
      <w:bodyDiv w:val="true"/>
      <w:marLeft w:val="0"/>
      <w:marRight w:val="0"/>
      <w:marTop w:val="0"/>
      <w:marBottom w:val="0"/>
      <w:divBdr>
        <w:top w:space="0" w:sz="0" w:color="auto" w:val="none"/>
        <w:left w:space="0" w:sz="0" w:color="auto" w:val="none"/>
        <w:bottom w:space="0" w:sz="0" w:color="auto" w:val="none"/>
        <w:right w:space="0" w:sz="0" w:color="auto" w:val="none"/>
      </w:divBdr>
    </w:div>
    <w:div w:id="1165971294">
      <w:bodyDiv w:val="true"/>
      <w:marLeft w:val="0"/>
      <w:marRight w:val="0"/>
      <w:marTop w:val="0"/>
      <w:marBottom w:val="0"/>
      <w:divBdr>
        <w:top w:space="0" w:sz="0" w:color="auto" w:val="none"/>
        <w:left w:space="0" w:sz="0" w:color="auto" w:val="none"/>
        <w:bottom w:space="0" w:sz="0" w:color="auto" w:val="none"/>
        <w:right w:space="0" w:sz="0" w:color="auto" w:val="none"/>
      </w:divBdr>
    </w:div>
    <w:div w:id="1315334533">
      <w:bodyDiv w:val="true"/>
      <w:marLeft w:val="0"/>
      <w:marRight w:val="0"/>
      <w:marTop w:val="0"/>
      <w:marBottom w:val="0"/>
      <w:divBdr>
        <w:top w:space="0" w:sz="0" w:color="auto" w:val="none"/>
        <w:left w:space="0" w:sz="0" w:color="auto" w:val="none"/>
        <w:bottom w:space="0" w:sz="0" w:color="auto" w:val="none"/>
        <w:right w:space="0" w:sz="0" w:color="auto" w:val="none"/>
      </w:divBdr>
    </w:div>
    <w:div w:id="1422294774">
      <w:bodyDiv w:val="true"/>
      <w:marLeft w:val="0"/>
      <w:marRight w:val="0"/>
      <w:marTop w:val="0"/>
      <w:marBottom w:val="0"/>
      <w:divBdr>
        <w:top w:space="0" w:sz="0" w:color="auto" w:val="none"/>
        <w:left w:space="0" w:sz="0" w:color="auto" w:val="none"/>
        <w:bottom w:space="0" w:sz="0" w:color="auto" w:val="none"/>
        <w:right w:space="0" w:sz="0" w:color="auto" w:val="none"/>
      </w:divBdr>
    </w:div>
    <w:div w:id="1467697297">
      <w:bodyDiv w:val="true"/>
      <w:marLeft w:val="0"/>
      <w:marRight w:val="0"/>
      <w:marTop w:val="0"/>
      <w:marBottom w:val="0"/>
      <w:divBdr>
        <w:top w:space="0" w:sz="0" w:color="auto" w:val="none"/>
        <w:left w:space="0" w:sz="0" w:color="auto" w:val="none"/>
        <w:bottom w:space="0" w:sz="0" w:color="auto" w:val="none"/>
        <w:right w:space="0" w:sz="0" w:color="auto" w:val="none"/>
      </w:divBdr>
    </w:div>
    <w:div w:id="1772236804">
      <w:bodyDiv w:val="true"/>
      <w:marLeft w:val="0"/>
      <w:marRight w:val="0"/>
      <w:marTop w:val="0"/>
      <w:marBottom w:val="0"/>
      <w:divBdr>
        <w:top w:space="0" w:sz="0" w:color="auto" w:val="none"/>
        <w:left w:space="0" w:sz="0" w:color="auto" w:val="none"/>
        <w:bottom w:space="0" w:sz="0" w:color="auto" w:val="none"/>
        <w:right w:space="0" w:sz="0" w:color="auto" w:val="none"/>
      </w:divBdr>
    </w:div>
    <w:div w:id="1908564315">
      <w:bodyDiv w:val="true"/>
      <w:marLeft w:val="0"/>
      <w:marRight w:val="0"/>
      <w:marTop w:val="0"/>
      <w:marBottom w:val="0"/>
      <w:divBdr>
        <w:top w:space="0" w:sz="0" w:color="auto" w:val="none"/>
        <w:left w:space="0" w:sz="0" w:color="auto" w:val="none"/>
        <w:bottom w:space="0" w:sz="0" w:color="auto" w:val="none"/>
        <w:right w:space="0" w:sz="0" w:color="auto" w:val="none"/>
      </w:divBdr>
    </w:div>
    <w:div w:id="1956210123">
      <w:bodyDiv w:val="true"/>
      <w:marLeft w:val="0"/>
      <w:marRight w:val="0"/>
      <w:marTop w:val="0"/>
      <w:marBottom w:val="0"/>
      <w:divBdr>
        <w:top w:space="0" w:sz="0" w:color="auto" w:val="none"/>
        <w:left w:space="0" w:sz="0" w:color="auto" w:val="none"/>
        <w:bottom w:space="0" w:sz="0" w:color="auto" w:val="none"/>
        <w:right w:space="0" w:sz="0" w:color="auto" w:val="none"/>
      </w:divBdr>
    </w:div>
    <w:div w:id="2072608424">
      <w:bodyDiv w:val="true"/>
      <w:marLeft w:val="0"/>
      <w:marRight w:val="0"/>
      <w:marTop w:val="0"/>
      <w:marBottom w:val="0"/>
      <w:divBdr>
        <w:top w:space="0" w:sz="0" w:color="auto" w:val="none"/>
        <w:left w:space="0" w:sz="0" w:color="auto" w:val="none"/>
        <w:bottom w:space="0" w:sz="0" w:color="auto" w:val="none"/>
        <w:right w:space="0" w:sz="0" w:color="auto" w:val="none"/>
      </w:divBdr>
    </w:div>
    <w:div w:id="212114659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DZ III 66</izvorni_sadrzaj>
    <derivirana_varijabla naziv="DomainObject.Prostorija.Naziv_1">Soba DZ III 66</derivirana_varijabla>
  </DomainObject.Prostorija.Naziv>
  <DomainObject.Prostorija.Oznaka>
    <izvorni_sadrzaj>DZ III 66</izvorni_sadrzaj>
    <derivirana_varijabla naziv="DomainObject.Prostorija.Oznaka_1">DZ III 66</derivirana_varijabla>
  </DomainObject.Prostorija.Oznaka>
  <DomainObject.Obrazlozenje>
    <izvorni_sadrzaj/>
    <derivirana_varijabla naziv="DomainObject.Obrazlozenje_1"/>
  </DomainObject.Obrazlozenje>
  <DomainObject.StvarniPocetakDatum>
    <izvorni_sadrzaj>16. siječnja 2019.</izvorni_sadrzaj>
    <derivirana_varijabla naziv="DomainObject.StvarniPocetakDatum_1">16. siječnja 2019.</derivirana_varijabla>
  </DomainObject.StvarniPocetakDatum>
  <DomainObject.StvarniZavrsetakDatum>
    <izvorni_sadrzaj>16. siječnja 2019.</izvorni_sadrzaj>
    <derivirana_varijabla naziv="DomainObject.StvarniZavrsetakDatum_1">16. siječnja 2019.</derivirana_varijabla>
  </DomainObject.StvarniZavrsetakDatum>
  <DomainObject.PlaniraniZavrsetakDatum>
    <izvorni_sadrzaj>16. siječnja 2019.</izvorni_sadrzaj>
    <derivirana_varijabla naziv="DomainObject.PlaniraniZavrsetakDatum_1">16. siječnja 2019.</derivirana_varijabla>
  </DomainObject.PlaniraniZavrsetakDatum>
  <DomainObject.PlaniraniPocetakDatum>
    <izvorni_sadrzaj>16. siječnja 2019.</izvorni_sadrzaj>
    <derivirana_varijabla naziv="DomainObject.PlaniraniPocetakDatum_1">16. siječnja 2019.</derivirana_varijabla>
  </DomainObject.PlaniraniPocetakDatum>
  <DomainObject.StvarniPocetakVrijeme>
    <izvorni_sadrzaj>10:00</izvorni_sadrzaj>
    <derivirana_varijabla naziv="DomainObject.StvarniPocetakVrijeme_1">10:00</derivirana_varijabla>
  </DomainObject.StvarniPocetakVrijeme>
  <DomainObject.StvarniZavrsetakVrijeme>
    <izvorni_sadrzaj>10:31</izvorni_sadrzaj>
    <derivirana_varijabla naziv="DomainObject.StvarniZavrsetakVrijeme_1">10:31</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10:00</izvorni_sadrzaj>
    <derivirana_varijabla naziv="DomainObject.PlaniraniPocetakVrijeme_1">10:00</derivirana_varijabla>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16. siječnja 2019.</izvorni_sadrzaj>
    <derivirana_varijabla naziv="DomainObject.Zapisnik.DatumKreiranja_1">16. siječnja 2019.</derivirana_varijabla>
  </DomainObject.Zapisnik.DatumKreiranja>
  <DomainObject.Zapisnik.ImovinskaKorist>
    <izvorni_sadrzaj/>
    <derivirana_varijabla naziv="DomainObject.Zapisnik.ImovinskaKorist_1"/>
  </DomainObject.Zapisnik.ImovinskaKorist>
  <DomainObject.Zapisnik.Oznaka>
    <izvorni_sadrzaj>St-6287/2016-35</izvorni_sadrzaj>
    <derivirana_varijabla naziv="DomainObject.Zapisnik.Oznaka_1">St-6287/2016-35</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6287</izvorni_sadrzaj>
    <derivirana_varijabla naziv="DomainObject.Predmet.Broj_1">6287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listopada 2016.</izvorni_sadrzaj>
    <derivirana_varijabla naziv="DomainObject.Predmet.DatumOsnivanja_1">13. listopada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St-6287/2016</izvorni_sadrzaj>
    <derivirana_varijabla naziv="DomainObject.Predmet.OznakaBroj_1">St-6287/2016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H.G. NEKRETNINE d.o.o. zastupanog po punomoćniku Jože Glogovšek</izvorni_sadrzaj>
    <derivirana_varijabla naziv="DomainObject.Predmet.ProtustrankaFormated_1">  H.G. NEKRETNINE d.o.o. zastupanog po punomoćniku Jože Glogovšek</derivirana_varijabla>
  </DomainObject.Predmet.ProtustrankaFormated>
  <DomainObject.Predmet.ProtustrankaFormatedOIB>
    <izvorni_sadrzaj>  H.G. NEKRETNINE d.o.o., OIB 72513857988 zastupanog po punomoćniku Jože Glogovšek</izvorni_sadrzaj>
    <derivirana_varijabla naziv="DomainObject.Predmet.ProtustrankaFormatedOIB_1">  H.G. NEKRETNINE d.o.o., OIB 72513857988 zastupanog po punomoćniku Jože Glogovšek</derivirana_varijabla>
  </DomainObject.Predmet.ProtustrankaFormatedOIB>
  <DomainObject.Predmet.ProtustrankaFormatedWithAdress>
    <izvorni_sadrzaj> H.G. NEKRETNINE d.o.o., Budmanijeva 1, 10000 Zagreb zastupanog po punomoćniku Jože Glogovšek</izvorni_sadrzaj>
    <derivirana_varijabla naziv="DomainObject.Predmet.ProtustrankaFormatedWithAdress_1"> H.G. NEKRETNINE d.o.o., Budmanijeva 1, 10000 Zagreb zastupanog po punomoćniku Jože Glogovšek</derivirana_varijabla>
  </DomainObject.Predmet.ProtustrankaFormatedWithAdress>
  <DomainObject.Predmet.ProtustrankaFormatedWithAdressOIB>
    <izvorni_sadrzaj> H.G. NEKRETNINE d.o.o., OIB 72513857988, Budmanijeva 1, 10000 Zagreb zastupanog po punomoćniku Jože Glogovšek</izvorni_sadrzaj>
    <derivirana_varijabla naziv="DomainObject.Predmet.ProtustrankaFormatedWithAdressOIB_1"> H.G. NEKRETNINE d.o.o., OIB 72513857988, Budmanijeva 1, 10000 Zagreb zastupanog po punomoćniku Jože Glogovšek</derivirana_varijabla>
  </DomainObject.Predmet.ProtustrankaFormatedWithAdressOIB>
  <DomainObject.Predmet.ProtustrankaWithAdress>
    <izvorni_sadrzaj>H.G. NEKRETNINE d.o.o. Budmanijeva 1, 10000 Zagreb</izvorni_sadrzaj>
    <derivirana_varijabla naziv="DomainObject.Predmet.ProtustrankaWithAdress_1">H.G. NEKRETNINE d.o.o. Budmanijeva 1, 10000 Zagreb</derivirana_varijabla>
  </DomainObject.Predmet.ProtustrankaWithAdress>
  <DomainObject.Predmet.ProtustrankaWithAdressOIB>
    <izvorni_sadrzaj>H.G. NEKRETNINE d.o.o., OIB 72513857988, Budmanijeva 1, 10000 Zagreb</izvorni_sadrzaj>
    <derivirana_varijabla naziv="DomainObject.Predmet.ProtustrankaWithAdressOIB_1">H.G. NEKRETNINE d.o.o., OIB 72513857988, Budmanijeva 1, 10000 Zagreb</derivirana_varijabla>
  </DomainObject.Predmet.ProtustrankaWithAdressOIB>
  <DomainObject.Predmet.ProtustrankaNazivFormated>
    <izvorni_sadrzaj>H.G. NEKRETNINE d.o.o.</izvorni_sadrzaj>
    <derivirana_varijabla naziv="DomainObject.Predmet.ProtustrankaNazivFormated_1">H.G. NEKRETNINE d.o.o.</derivirana_varijabla>
  </DomainObject.Predmet.ProtustrankaNazivFormated>
  <DomainObject.Predmet.ProtustrankaNazivFormatedOIB>
    <izvorni_sadrzaj>H.G. NEKRETNINE d.o.o., OIB 72513857988</izvorni_sadrzaj>
    <derivirana_varijabla naziv="DomainObject.Predmet.ProtustrankaNazivFormatedOIB_1">H.G. NEKRETNINE d.o.o., OIB 72513857988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RH MF Porezna uprava Zagreb zastupanog po punomoćniku ŽDO u Zagrebu; UPIMOL 2000 d.o.o.</izvorni_sadrzaj>
    <derivirana_varijabla naziv="DomainObject.Predmet.StrankaFormated_1">  FINA Regionalni centar Zagreb; RH MF Porezna uprava Zagreb zastupanog po punomoćniku ŽDO u Zagrebu; UPIMOL 2000 d.o.o.</derivirana_varijabla>
  </DomainObject.Predmet.StrankaFormated>
  <DomainObject.Predmet.StrankaFormatedOIB>
    <izvorni_sadrzaj>  FINA Regionalni centar Zagreb, OIB 85821130368; RH MF Porezna uprava Zagreb, OIB 18683136487 zastupanog po punomoćniku ŽDO u Zagrebu; UPIMOL 2000 d.o.o.</izvorni_sadrzaj>
    <derivirana_varijabla naziv="DomainObject.Predmet.StrankaFormatedOIB_1">  FINA Regionalni centar Zagreb, OIB 85821130368; RH MF Porezna uprava Zagreb, OIB 18683136487 zastupanog po punomoćniku ŽDO u Zagrebu; UPIMOL 2000 d.o.o.</derivirana_varijabla>
  </DomainObject.Predmet.StrankaFormatedOIB>
  <DomainObject.Predmet.StrankaFormatedWithAdress>
    <izvorni_sadrzaj> FINA Regionalni centar Zagreb, Trg svibanjskih žrtava 1995. 1, 10000 Zagreb; RH MF Porezna uprava Zagreb zastupanog po punomoćniku ŽDO u Zagrebu; UPIMOL 2000 d.o.o.</izvorni_sadrzaj>
    <derivirana_varijabla naziv="DomainObject.Predmet.StrankaFormatedWithAdress_1"> FINA Regionalni centar Zagreb, Trg svibanjskih žrtava 1995. 1, 10000 Zagreb; RH MF Porezna uprava Zagreb zastupanog po punomoćniku ŽDO u Zagrebu; UPIMOL 2000 d.o.o.</derivirana_varijabla>
  </DomainObject.Predmet.StrankaFormatedWithAdress>
  <DomainObject.Predmet.StrankaFormatedWithAdressOIB>
    <izvorni_sadrzaj> FINA Regionalni centar Zagreb, OIB 85821130368, Trg svibanjskih žrtava 1995. 1, 10000 Zagreb; RH MF Porezna uprava Zagreb, OIB 18683136487 zastupanog po punomoćniku ŽDO u Zagrebu; UPIMOL 2000 d.o.o.</izvorni_sadrzaj>
    <derivirana_varijabla naziv="DomainObject.Predmet.StrankaFormatedWithAdressOIB_1"> FINA Regionalni centar Zagreb, OIB 85821130368, Trg svibanjskih žrtava 1995. 1, 10000 Zagreb; RH MF Porezna uprava Zagreb, OIB 18683136487 zastupanog po punomoćniku ŽDO u Zagrebu; UPIMOL 2000 d.o.o.</derivirana_varijabla>
  </DomainObject.Predmet.StrankaFormatedWithAdressOIB>
  <DomainObject.Predmet.StrankaWithAdress>
    <izvorni_sadrzaj>FINA Regionalni centar Zagreb Trg svibanjskih žrtava 1995. 1,10000 Zagreb,RH MF Porezna uprava Zagreb ,UPIMOL 2000 d.o.o. </izvorni_sadrzaj>
    <derivirana_varijabla naziv="DomainObject.Predmet.StrankaWithAdress_1">FINA Regionalni centar Zagreb Trg svibanjskih žrtava 1995. 1,10000 Zagreb,RH MF Porezna uprava Zagreb ,UPIMOL 2000 d.o.o. </derivirana_varijabla>
  </DomainObject.Predmet.StrankaWithAdress>
  <DomainObject.Predmet.StrankaWithAdressOIB>
    <izvorni_sadrzaj>FINA Regionalni centar Zagreb, OIB 85821130368, Trg svibanjskih žrtava 1995. 1,10000 Zagreb,RH MF Porezna uprava Zagreb, OIB 18683136487,UPIMOL 2000 d.o.o.</izvorni_sadrzaj>
    <derivirana_varijabla naziv="DomainObject.Predmet.StrankaWithAdressOIB_1">FINA Regionalni centar Zagreb, OIB 85821130368, Trg svibanjskih žrtava 1995. 1,10000 Zagreb,RH MF Porezna uprava Zagreb, OIB 18683136487,UPIMOL 2000 d.o.o.</derivirana_varijabla>
  </DomainObject.Predmet.StrankaWithAdressOIB>
  <DomainObject.Predmet.StrankaNazivFormated>
    <izvorni_sadrzaj>FINA Regionalni centar Zagreb,RH MF Porezna uprava Zagreb,UPIMOL 2000 d.o.o.</izvorni_sadrzaj>
    <derivirana_varijabla naziv="DomainObject.Predmet.StrankaNazivFormated_1">FINA Regionalni centar Zagreb,RH MF Porezna uprava Zagreb,UPIMOL 2000 d.o.o.</derivirana_varijabla>
  </DomainObject.Predmet.StrankaNazivFormated>
  <DomainObject.Predmet.StrankaNazivFormatedOIB>
    <izvorni_sadrzaj>FINA Regionalni centar Zagreb, OIB 85821130368,RH MF Porezna uprava Zagreb, OIB 18683136487,UPIMOL 2000 d.o.o.</izvorni_sadrzaj>
    <derivirana_varijabla naziv="DomainObject.Predmet.StrankaNazivFormatedOIB_1">FINA Regionalni centar Zagreb, OIB 85821130368,RH MF Porezna uprava Zagreb, OIB 18683136487,UPIMOL 2000 d.o.o.</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FINA Regionalni centar Zagreb</item>
      <item>RH MF Porezna uprava Zagreb zastupanog po punomoćniku ŽDO u Zagrebu</item>
      <item>UPIMOL 2000 d.o.o.</item>
    </izvorni_sadrzaj>
    <derivirana_varijabla naziv="DomainObject.Predmet.StrankaListFormated_1">
      <item>FINA Regionalni centar Zagreb</item>
      <item>RH MF Porezna uprava Zagreb zastupanog po punomoćniku ŽDO u Zagrebu</item>
      <item>UPIMOL 2000 d.o.o.</item>
    </derivirana_varijabla>
  </DomainObject.Predmet.StrankaListFormated>
  <DomainObject.Predmet.StrankaListFormatedOIB>
    <izvorni_sadrzaj>
      <item>FINA Regionalni centar Zagreb, OIB 85821130368</item>
      <item>RH MF Porezna uprava Zagreb, OIB 18683136487 zastupanog po punomoćniku ŽDO u Zagrebu</item>
      <item>UPIMOL 2000 d.o.o.</item>
    </izvorni_sadrzaj>
    <derivirana_varijabla naziv="DomainObject.Predmet.StrankaListFormatedOIB_1">
      <item>FINA Regionalni centar Zagreb, OIB 85821130368</item>
      <item>RH MF Porezna uprava Zagreb, OIB 18683136487 zastupanog po punomoćniku ŽDO u Zagrebu</item>
      <item>UPIMOL 2000 d.o.o.</item>
    </derivirana_varijabla>
  </DomainObject.Predmet.StrankaListFormatedOIB>
  <DomainObject.Predmet.StrankaListFormatedWithAdress>
    <izvorni_sadrzaj>
      <item>FINA Regionalni centar Zagreb, Trg svibanjskih žrtava 1995. 1, 10000 Zagreb</item>
      <item>RH MF Porezna uprava Zagreb zastupanog po punomoćniku ŽDO u Zagrebu</item>
      <item>UPIMOL 2000 d.o.o.</item>
    </izvorni_sadrzaj>
    <derivirana_varijabla naziv="DomainObject.Predmet.StrankaListFormatedWithAdress_1">
      <item>FINA Regionalni centar Zagreb, Trg svibanjskih žrtava 1995. 1, 10000 Zagreb</item>
      <item>RH MF Porezna uprava Zagreb zastupanog po punomoćniku ŽDO u Zagrebu</item>
      <item>UPIMOL 2000 d.o.o.</item>
    </derivirana_varijabla>
  </DomainObject.Predmet.StrankaListFormatedWithAdress>
  <DomainObject.Predmet.StrankaListFormatedWithAdressOIB>
    <izvorni_sadrzaj>
      <item>FINA Regionalni centar Zagreb, OIB 85821130368, Trg svibanjskih žrtava 1995. 1, 10000 Zagreb</item>
      <item>RH MF Porezna uprava Zagreb, OIB 18683136487 zastupanog po punomoćniku ŽDO u Zagrebu</item>
      <item>UPIMOL 2000 d.o.o.</item>
    </izvorni_sadrzaj>
    <derivirana_varijabla naziv="DomainObject.Predmet.StrankaListFormatedWithAdressOIB_1">
      <item>FINA Regionalni centar Zagreb, OIB 85821130368, Trg svibanjskih žrtava 1995. 1, 10000 Zagreb</item>
      <item>RH MF Porezna uprava Zagreb, OIB 18683136487 zastupanog po punomoćniku ŽDO u Zagrebu</item>
      <item>UPIMOL 2000 d.o.o.</item>
    </derivirana_varijabla>
  </DomainObject.Predmet.StrankaListFormatedWithAdressOIB>
  <DomainObject.Predmet.StrankaListNazivFormated>
    <izvorni_sadrzaj>
      <item>FINA Regionalni centar Zagreb</item>
      <item>RH MF Porezna uprava Zagreb</item>
      <item>UPIMOL 2000 d.o.o.</item>
    </izvorni_sadrzaj>
    <derivirana_varijabla naziv="DomainObject.Predmet.StrankaListNazivFormated_1">
      <item>FINA Regionalni centar Zagreb</item>
      <item>RH MF Porezna uprava Zagreb</item>
      <item>UPIMOL 2000 d.o.o.</item>
    </derivirana_varijabla>
  </DomainObject.Predmet.StrankaListNazivFormated>
  <DomainObject.Predmet.StrankaListNazivFormatedOIB>
    <izvorni_sadrzaj>
      <item>FINA Regionalni centar Zagreb, OIB 85821130368</item>
      <item>RH MF Porezna uprava Zagreb, OIB 18683136487</item>
      <item>UPIMOL 2000 d.o.o.</item>
    </izvorni_sadrzaj>
    <derivirana_varijabla naziv="DomainObject.Predmet.StrankaListNazivFormatedOIB_1">
      <item>FINA Regionalni centar Zagreb, OIB 85821130368</item>
      <item>RH MF Porezna uprava Zagreb, OIB 18683136487</item>
      <item>UPIMOL 2000 d.o.o.</item>
    </derivirana_varijabla>
  </DomainObject.Predmet.StrankaListNazivFormatedOIB>
  <DomainObject.Predmet.ProtuStrankaListFormated>
    <izvorni_sadrzaj>
      <item>H.G. NEKRETNINE d.o.o. zastupanog po punomoćniku Jože Glogovšek</item>
    </izvorni_sadrzaj>
    <derivirana_varijabla naziv="DomainObject.Predmet.ProtuStrankaListFormated_1">
      <item>H.G. NEKRETNINE d.o.o. zastupanog po punomoćniku Jože Glogovšek</item>
    </derivirana_varijabla>
  </DomainObject.Predmet.ProtuStrankaListFormated>
  <DomainObject.Predmet.ProtuStrankaListFormatedOIB>
    <izvorni_sadrzaj>
      <item>H.G. NEKRETNINE d.o.o., OIB 72513857988 zastupanog po punomoćniku Jože Glogovšek</item>
    </izvorni_sadrzaj>
    <derivirana_varijabla naziv="DomainObject.Predmet.ProtuStrankaListFormatedOIB_1">
      <item>H.G. NEKRETNINE d.o.o., OIB 72513857988 zastupanog po punomoćniku Jože Glogovšek</item>
    </derivirana_varijabla>
  </DomainObject.Predmet.ProtuStrankaListFormatedOIB>
  <DomainObject.Predmet.ProtuStrankaListFormatedWithAdress>
    <izvorni_sadrzaj>
      <item>H.G. NEKRETNINE d.o.o., Budmanijeva 1, 10000 Zagreb zastupanog po punomoćniku Jože Glogovšek</item>
    </izvorni_sadrzaj>
    <derivirana_varijabla naziv="DomainObject.Predmet.ProtuStrankaListFormatedWithAdress_1">
      <item>H.G. NEKRETNINE d.o.o., Budmanijeva 1, 10000 Zagreb zastupanog po punomoćniku Jože Glogovšek</item>
    </derivirana_varijabla>
  </DomainObject.Predmet.ProtuStrankaListFormatedWithAdress>
  <DomainObject.Predmet.ProtuStrankaListFormatedWithAdressOIB>
    <izvorni_sadrzaj>
      <item>H.G. NEKRETNINE d.o.o., OIB 72513857988, Budmanijeva 1, 10000 Zagreb zastupanog po punomoćniku Jože Glogovšek</item>
    </izvorni_sadrzaj>
    <derivirana_varijabla naziv="DomainObject.Predmet.ProtuStrankaListFormatedWithAdressOIB_1">
      <item>H.G. NEKRETNINE d.o.o., OIB 72513857988, Budmanijeva 1, 10000 Zagreb zastupanog po punomoćniku Jože Glogovšek</item>
    </derivirana_varijabla>
  </DomainObject.Predmet.ProtuStrankaListFormatedWithAdressOIB>
  <DomainObject.Predmet.ProtuStrankaListNazivFormated>
    <izvorni_sadrzaj>
      <item>H.G. NEKRETNINE d.o.o.</item>
    </izvorni_sadrzaj>
    <derivirana_varijabla naziv="DomainObject.Predmet.ProtuStrankaListNazivFormated_1">
      <item>H.G. NEKRETNINE d.o.o.</item>
    </derivirana_varijabla>
  </DomainObject.Predmet.ProtuStrankaListNazivFormated>
  <DomainObject.Predmet.ProtuStrankaListNazivFormatedOIB>
    <izvorni_sadrzaj>
      <item>H.G. NEKRETNINE d.o.o., OIB 72513857988</item>
    </izvorni_sadrzaj>
    <derivirana_varijabla naziv="DomainObject.Predmet.ProtuStrankaListNazivFormatedOIB_1">
      <item>H.G. NEKRETNINE d.o.o., OIB 72513857988</item>
    </derivirana_varijabla>
  </DomainObject.Predmet.ProtuStrankaListNazivFormatedOIB>
  <DomainObject.Predmet.OstaliListFormated>
    <izvorni_sadrzaj>
      <item>Jože Glogovšek punomoćnik sudionika u postupku H.G. NEKRETNINE d.o.o.</item>
      <item>Tarja Krehić</item>
      <item>ŽDO u Zagrebu punomoćnik sudionika u postupku RH MF Porezna uprava Zagreb</item>
    </izvorni_sadrzaj>
    <derivirana_varijabla naziv="DomainObject.Predmet.OstaliListFormated_1">
      <item>Jože Glogovšek punomoćnik sudionika u postupku H.G. NEKRETNINE d.o.o.</item>
      <item>Tarja Krehić</item>
      <item>ŽDO u Zagrebu punomoćnik sudionika u postupku RH MF Porezna uprava Zagreb</item>
    </derivirana_varijabla>
  </DomainObject.Predmet.OstaliListFormated>
  <DomainObject.Predmet.OstaliListFormatedOIB>
    <izvorni_sadrzaj>
      <item>Jože Glogovšek punomoćnik sudionika u postupku H.G. NEKRETNINE d.o.o.</item>
      <item>Tarja Krehić</item>
      <item>ŽDO u Zagrebu, OIB 16488001145 punomoćnik sudionika u postupku RH MF Porezna uprava Zagreb</item>
    </izvorni_sadrzaj>
    <derivirana_varijabla naziv="DomainObject.Predmet.OstaliListFormatedOIB_1">
      <item>Jože Glogovšek punomoćnik sudionika u postupku H.G. NEKRETNINE d.o.o.</item>
      <item>Tarja Krehić</item>
      <item>ŽDO u Zagrebu, OIB 16488001145 punomoćnik sudionika u postupku RH MF Porezna uprava Zagreb</item>
    </derivirana_varijabla>
  </DomainObject.Predmet.OstaliListFormatedOIB>
  <DomainObject.Predmet.OstaliListFormatedWithAdress>
    <izvorni_sadrzaj>
      <item>Jože Glogovšek, Ulica Josipa Priola 002, Maribor punomoćnik sudionika u postupku H.G. NEKRETNINE d.o.o.</item>
      <item>Tarja Krehić, Boškovićeva 24, 10000 Zagreb</item>
      <item>ŽDO u Zagrebu, Savska cesta 41, 10000 Zagreb punomoćnik sudionika u postupku RH MF Porezna uprava Zagreb</item>
    </izvorni_sadrzaj>
    <derivirana_varijabla naziv="DomainObject.Predmet.OstaliListFormatedWithAdress_1">
      <item>Jože Glogovšek, Ulica Josipa Priola 002, Maribor punomoćnik sudionika u postupku H.G. NEKRETNINE d.o.o.</item>
      <item>Tarja Krehić, Boškovićeva 24, 10000 Zagreb</item>
      <item>ŽDO u Zagrebu, Savska cesta 41, 10000 Zagreb punomoćnik sudionika u postupku RH MF Porezna uprava Zagreb</item>
    </derivirana_varijabla>
  </DomainObject.Predmet.OstaliListFormatedWithAdress>
  <DomainObject.Predmet.OstaliListFormatedWithAdressOIB>
    <izvorni_sadrzaj>
      <item>Jože Glogovšek, Ulica Josipa Priola 002, Maribor punomoćnik sudionika u postupku H.G. NEKRETNINE d.o.o.</item>
      <item>Tarja Krehić, Boškovićeva 24, 10000 Zagreb</item>
      <item>ŽDO u Zagrebu, OIB 16488001145, Savska cesta 41, 10000 Zagreb punomoćnik sudionika u postupku RH MF Porezna uprava Zagreb</item>
    </izvorni_sadrzaj>
    <derivirana_varijabla naziv="DomainObject.Predmet.OstaliListFormatedWithAdressOIB_1">
      <item>Jože Glogovšek, Ulica Josipa Priola 002, Maribor punomoćnik sudionika u postupku H.G. NEKRETNINE d.o.o.</item>
      <item>Tarja Krehić, Boškovićeva 24, 10000 Zagreb</item>
      <item>ŽDO u Zagrebu, OIB 16488001145, Savska cesta 41, 10000 Zagreb punomoćnik sudionika u postupku RH MF Porezna uprava Zagreb</item>
    </derivirana_varijabla>
  </DomainObject.Predmet.OstaliListFormatedWithAdressOIB>
  <DomainObject.Predmet.OstaliListNazivFormated>
    <izvorni_sadrzaj>
      <item>Jože Glogovšek</item>
      <item>Tarja Krehić</item>
      <item>ŽDO u Zagrebu</item>
    </izvorni_sadrzaj>
    <derivirana_varijabla naziv="DomainObject.Predmet.OstaliListNazivFormated_1">
      <item>Jože Glogovšek</item>
      <item>Tarja Krehić</item>
      <item>ŽDO u Zagrebu</item>
    </derivirana_varijabla>
  </DomainObject.Predmet.OstaliListNazivFormated>
  <DomainObject.Predmet.OstaliListNazivFormatedOIB>
    <izvorni_sadrzaj>
      <item>Jože Glogovšek</item>
      <item>Tarja Krehić</item>
      <item>ŽDO u Zagrebu, OIB 16488001145</item>
    </izvorni_sadrzaj>
    <derivirana_varijabla naziv="DomainObject.Predmet.OstaliListNazivFormatedOIB_1">
      <item>Jože Glogovšek</item>
      <item>Tarja Krehić</item>
      <item>ŽDO u Zagrebu, OIB 16488001145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siječnja 2019.</izvorni_sadrzaj>
    <derivirana_varijabla naziv="DomainObject.Datum_1">16. siječnja 2019.</derivirana_varijabla>
  </DomainObject.Datum>
  <DomainObject.PoslovniBrojDokumenta>
    <izvorni_sadrzaj>St-6287/2016-35</izvorni_sadrzaj>
    <derivirana_varijabla naziv="DomainObject.PoslovniBrojDokumenta_1">St-6287/2016-35</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H.G. NEKRETNINE d.o.o.</izvorni_sadrzaj>
    <derivirana_varijabla naziv="DomainObject.Predmet.ProtustrankaIDrugi_1">H.G. NEKRETNINE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H.G. NEKRETNINE d.o.o., OIB 72513857988, Budmanijeva 1, 10000 Zagreb</izvorni_sadrzaj>
    <derivirana_varijabla naziv="DomainObject.Predmet.ProtustrankaIDrugiAdressOIB_1">H.G. NEKRETNINE d.o.o., OIB 72513857988, Budmanijeva 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H.G. NEKRETNINE d.o.o.</item>
      <item>Jože Glogovšek</item>
      <item>Tarja Krehić</item>
      <item>RH MF Porezna uprava Zagreb</item>
      <item>ŽDO u Zagrebu</item>
      <item>UPIMOL 2000 d.o.o.</item>
    </izvorni_sadrzaj>
    <derivirana_varijabla naziv="DomainObject.Predmet.SudioniciListNaziv_1">
      <item>FINA Regionalni centar Zagreb</item>
      <item>H.G. NEKRETNINE d.o.o.</item>
      <item>Jože Glogovšek</item>
      <item>Tarja Krehić</item>
      <item>RH MF Porezna uprava Zagreb</item>
      <item>ŽDO u Zagrebu</item>
      <item>UPIMOL 2000 d.o.o.</item>
    </derivirana_varijabla>
  </DomainObject.Predmet.SudioniciListNaziv>
  <DomainObject.Predmet.SudioniciListAdressOIB>
    <izvorni_sadrzaj>
      <item>H.G. NEKRETNINE d.o.o., OIB 72513857988, Budmanijeva 1,10000 Zagreb</item>
      <item>FINA Regionalni centar Zagreb, OIB 85821130368, Trg svibanjskih žrtava 1995. 1,10000 Zagreb</item>
      <item>Jože Glogovšek, Ulica Josipa Priola 002,Maribor</item>
      <item>Tarja Krehić, Boškovićeva 24,10000 Zagreb</item>
      <item>RH MF Porezna uprava Zagreb, OIB 18683136487</item>
      <item>ŽDO u Zagrebu, OIB 16488001145, Savska cesta 41,10000 Zagreb</item>
      <item>UPIMOL 2000 d.o.o.</item>
    </izvorni_sadrzaj>
    <derivirana_varijabla naziv="DomainObject.Predmet.SudioniciListAdressOIB_1">
      <item>H.G. NEKRETNINE d.o.o., OIB 72513857988, Budmanijeva 1,10000 Zagreb</item>
      <item>FINA Regionalni centar Zagreb, OIB 85821130368, Trg svibanjskih žrtava 1995. 1,10000 Zagreb</item>
      <item>Jože Glogovšek, Ulica Josipa Priola 002,Maribor</item>
      <item>Tarja Krehić, Boškovićeva 24,10000 Zagreb</item>
      <item>RH MF Porezna uprava Zagreb, OIB 18683136487</item>
      <item>ŽDO u Zagrebu, OIB 16488001145, Savska cesta 41,10000 Zagreb</item>
      <item>UPIMOL 2000 d.o.o.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72513857988</item>
      <item>, OIB null</item>
      <item>, OIB null</item>
      <item>, OIB 18683136487</item>
      <item>, OIB 16488001145</item>
      <item>, OIB null</item>
    </izvorni_sadrzaj>
    <derivirana_varijabla naziv="DomainObject.Predmet.SudioniciListNazivOIB_1">
      <item>, OIB 85821130368</item>
      <item>, OIB 72513857988</item>
      <item>, OIB null</item>
      <item>, OIB null</item>
      <item>, OIB 18683136487</item>
      <item>, OIB 16488001145</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AD7FDBB-0C9E-4C5B-9216-8D2C606E9AA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13</properties:Pages>
  <properties:Words>3863</properties:Words>
  <properties:Characters>22453</properties:Characters>
  <properties:Lines>835</properties:Lines>
  <properties:Paragraphs>253</properties:Paragraphs>
  <properties:TotalTime>48</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58 St- 148/10</vt:lpstr>
      <vt:lpstr>58 St- 148/10</vt:lpstr>
    </vt:vector>
  </properties:TitlesOfParts>
  <properties:LinksUpToDate>false</properties:LinksUpToDate>
  <properties:CharactersWithSpaces>26557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2019-01-11T07:47:00Z</dcterms:created>
  <dc:creator>nmarkovic</dc:creator>
  <cp:lastModifiedBy>Matea Bizjak</cp:lastModifiedBy>
  <cp:lastPrinted>2019-01-16T09:35:00Z</cp:lastPrinted>
  <dcterms:modified xmlns:xsi="http://www.w3.org/2001/XMLSchema-instance" xsi:type="dcterms:W3CDTF">2019-01-16T09:36:00Z</dcterms:modified>
  <cp:revision>9</cp:revision>
  <dc:title>58 St- 148/10</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St-6287/2016-35 / Zapisnik - Ispitno ročište (St-6287-16-ispitno i izvještajno ročište.docx)</vt:lpwstr>
  </prop:property>
  <prop:property name="CC_coloring" pid="4" fmtid="{D5CDD505-2E9C-101B-9397-08002B2CF9AE}">
    <vt:bool>false</vt:bool>
  </prop:property>
  <prop:property name="BrojStranica" pid="5" fmtid="{D5CDD505-2E9C-101B-9397-08002B2CF9AE}">
    <vt:i4>13</vt:i4>
  </prop:property>
</prop:Properties>
</file>