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f9ea" w14:paraId="2e0f9ea" w:rsidRDefault="004B0DC2" w:rsidP="004B0DC2" w:rsidR="004B0DC2" w:rsidRPr="004A1BF3">
      <w:pPr>
        <w15:collapsed w:val="false"/>
      </w:pPr>
      <w:bookmarkStart w:name="_GoBack" w:id="0"/>
      <w:bookmarkEnd w:id="0"/>
      <w:r w:rsidRPr="004A1BF3">
        <w:t xml:space="preserve">      REPUBLIKA HRVATSKA</w:t>
      </w:r>
    </w:p>
    <w:p w:rsidRDefault="004B0DC2" w:rsidP="004B0DC2" w:rsidR="004B0DC2" w:rsidRPr="004A1BF3">
      <w:r w:rsidRPr="004A1BF3">
        <w:t xml:space="preserve">TRGOVAČKI SUD U VARAŽDINU                      </w:t>
      </w:r>
      <w:r w:rsidR="00143105" w:rsidRPr="004A1BF3">
        <w:t xml:space="preserve">   </w:t>
      </w:r>
      <w:r w:rsidR="00176F92" w:rsidRPr="004A1BF3">
        <w:t xml:space="preserve">           </w:t>
      </w:r>
      <w:r w:rsidR="00176F92" w:rsidRPr="004A1BF3">
        <w:tab/>
        <w:t xml:space="preserve">Broj: </w:t>
      </w:r>
      <w:r w:rsidR="007715C3" w:rsidRPr="004A1BF3">
        <w:t>5 St-</w:t>
      </w:r>
      <w:r w:rsidR="00016D05">
        <w:t>35/15-</w:t>
      </w:r>
      <w:r w:rsidR="008D16FA">
        <w:t>70</w:t>
      </w:r>
    </w:p>
    <w:p w:rsidRDefault="004B0DC2" w:rsidP="004B0DC2" w:rsidR="004B0DC2" w:rsidRPr="004A1BF3"/>
    <w:p w:rsidRDefault="00D071A5" w:rsidP="004B0DC2" w:rsidR="00D071A5" w:rsidRPr="004A1BF3"/>
    <w:p w:rsidRDefault="004B0DC2" w:rsidP="004B0DC2" w:rsidR="004B0DC2" w:rsidRPr="004A1BF3">
      <w:pPr>
        <w:jc w:val="center"/>
      </w:pPr>
      <w:r w:rsidRPr="004A1BF3">
        <w:t>Z A P I S N I K</w:t>
      </w:r>
    </w:p>
    <w:p w:rsidRDefault="00F1027A" w:rsidP="004B0DC2" w:rsidR="004B0DC2" w:rsidRPr="004A1BF3">
      <w:pPr>
        <w:jc w:val="center"/>
      </w:pPr>
      <w:r w:rsidRPr="004A1BF3">
        <w:t xml:space="preserve">od </w:t>
      </w:r>
      <w:r w:rsidR="00016D05">
        <w:t>6. ožujka 2018</w:t>
      </w:r>
      <w:r w:rsidR="004B0DC2" w:rsidRPr="004A1BF3">
        <w:t>. godine</w:t>
      </w:r>
    </w:p>
    <w:p w:rsidRDefault="000D7400" w:rsidP="00FF33F3" w:rsidR="00FA1C19" w:rsidRPr="004A1BF3">
      <w:pPr>
        <w:jc w:val="center"/>
      </w:pPr>
      <w:r>
        <w:t>o održanom</w:t>
      </w:r>
      <w:r w:rsidR="00B8777B">
        <w:t xml:space="preserve"> posebnom ispitnom ročištu</w:t>
      </w:r>
      <w:r>
        <w:t xml:space="preserve"> </w:t>
      </w:r>
      <w:r w:rsidR="00222CB4" w:rsidRPr="004A1BF3">
        <w:t>kod Trgovačkog suda u Varaždinu</w:t>
      </w:r>
    </w:p>
    <w:p w:rsidRDefault="00222CB4" w:rsidP="00FA1C19" w:rsidR="004A1BF3">
      <w:pPr>
        <w:jc w:val="center"/>
      </w:pPr>
      <w:r w:rsidRPr="004A1BF3">
        <w:t>u stečajnom postupku nad stečajnim dužnikom</w:t>
      </w:r>
      <w:r w:rsidR="004A1BF3" w:rsidRPr="004A1BF3">
        <w:t xml:space="preserve"> </w:t>
      </w:r>
      <w:r w:rsidR="005D7DD8" w:rsidRPr="00B80532">
        <w:t>BB NEKRETNINE d.o.o. u stečaju, Nedelišće, Livadarska 40, OIB: 57066720584</w:t>
      </w:r>
    </w:p>
    <w:p w:rsidRDefault="004B0DC2" w:rsidP="004B0DC2" w:rsidR="004B0DC2" w:rsidRPr="004A1BF3">
      <w:pPr>
        <w:jc w:val="center"/>
      </w:pPr>
    </w:p>
    <w:p w:rsidRDefault="00D071A5" w:rsidP="00615CD0" w:rsidR="00D071A5" w:rsidRPr="004A1BF3"/>
    <w:p w:rsidRDefault="004B0DC2" w:rsidP="004B0DC2" w:rsidR="004B0DC2" w:rsidRPr="004A1BF3">
      <w:pPr>
        <w:jc w:val="both"/>
      </w:pPr>
      <w:r w:rsidRPr="004A1BF3">
        <w:t>NAZOČNI OD STRANE SUDA:</w:t>
      </w:r>
    </w:p>
    <w:p w:rsidRDefault="004B0DC2" w:rsidP="004B0DC2" w:rsidR="004B0DC2" w:rsidRPr="004A1BF3">
      <w:pPr>
        <w:jc w:val="both"/>
      </w:pPr>
      <w:r w:rsidRPr="004A1BF3">
        <w:t xml:space="preserve">STEČAJNI SUDAC: </w:t>
      </w:r>
      <w:r w:rsidR="005820DB" w:rsidRPr="004A1BF3">
        <w:t>Ksenija Flack-Makitan</w:t>
      </w:r>
    </w:p>
    <w:p w:rsidRDefault="004B0DC2" w:rsidP="004B0DC2" w:rsidR="004B0DC2" w:rsidRPr="004A1BF3">
      <w:pPr>
        <w:jc w:val="both"/>
      </w:pPr>
      <w:r w:rsidRPr="004A1BF3">
        <w:t xml:space="preserve">ZAPISNIČAR: </w:t>
      </w:r>
      <w:r w:rsidR="00143105" w:rsidRPr="004A1BF3">
        <w:t>Lea Rogina</w:t>
      </w:r>
    </w:p>
    <w:p w:rsidRDefault="00D071A5" w:rsidP="004B0DC2" w:rsidR="00D071A5" w:rsidRPr="004A1BF3">
      <w:pPr>
        <w:jc w:val="both"/>
      </w:pPr>
    </w:p>
    <w:p w:rsidRDefault="004B0DC2" w:rsidP="004B0DC2" w:rsidR="004B0DC2" w:rsidRPr="004A1BF3">
      <w:pPr>
        <w:jc w:val="both"/>
      </w:pPr>
      <w:r w:rsidRPr="004A1BF3">
        <w:t>Početak u</w:t>
      </w:r>
      <w:r w:rsidR="00FF33F3" w:rsidRPr="004A1BF3">
        <w:t xml:space="preserve"> </w:t>
      </w:r>
      <w:r w:rsidR="00016D05">
        <w:t>10,30</w:t>
      </w:r>
      <w:r w:rsidR="00B8777B">
        <w:t xml:space="preserve"> </w:t>
      </w:r>
      <w:r w:rsidR="00D14586" w:rsidRPr="004A1BF3">
        <w:t>sati</w:t>
      </w:r>
      <w:r w:rsidR="003344CF" w:rsidRPr="004A1BF3">
        <w:t>.</w:t>
      </w:r>
    </w:p>
    <w:p w:rsidRDefault="007A3CC4" w:rsidP="00F1027A" w:rsidR="007A3CC4">
      <w:pPr>
        <w:jc w:val="both"/>
      </w:pPr>
    </w:p>
    <w:p w:rsidRDefault="00B8777B" w:rsidP="00F1027A" w:rsidR="00B8777B" w:rsidRPr="004A1BF3">
      <w:pPr>
        <w:jc w:val="both"/>
      </w:pPr>
    </w:p>
    <w:p w:rsidRDefault="00A44245" w:rsidP="00F14608" w:rsidR="00F14608">
      <w:pPr>
        <w:ind w:firstLine="708"/>
        <w:jc w:val="both"/>
      </w:pPr>
      <w:r w:rsidRPr="004A1BF3">
        <w:t xml:space="preserve">Konstatira se da su na </w:t>
      </w:r>
      <w:r w:rsidR="000D7400">
        <w:t>današnje</w:t>
      </w:r>
      <w:r w:rsidR="00B8777B">
        <w:t xml:space="preserve"> </w:t>
      </w:r>
      <w:r w:rsidR="000D7400">
        <w:t>ročište pristupili</w:t>
      </w:r>
      <w:r w:rsidR="00C55E7C" w:rsidRPr="004A1BF3">
        <w:t xml:space="preserve">: </w:t>
      </w:r>
      <w:r w:rsidR="0034432B" w:rsidRPr="004A1BF3">
        <w:t>stečajni upravitel</w:t>
      </w:r>
      <w:r w:rsidR="002D5261" w:rsidRPr="004A1BF3">
        <w:t xml:space="preserve">j </w:t>
      </w:r>
      <w:r w:rsidR="005D7DD8">
        <w:t>Dražen Vidman</w:t>
      </w:r>
      <w:r w:rsidR="002D5261" w:rsidRPr="004A1BF3">
        <w:t xml:space="preserve">, </w:t>
      </w:r>
      <w:r w:rsidR="009B4BC8">
        <w:t>zastupnica Republike Hrvatske, zamjenica</w:t>
      </w:r>
      <w:r w:rsidR="00094AA2">
        <w:t xml:space="preserve"> Županijskog državnog odvjetnika u Varaždinu, Građ</w:t>
      </w:r>
      <w:r w:rsidR="00BE1065">
        <w:t xml:space="preserve">ansko-upravni odjel, </w:t>
      </w:r>
      <w:r w:rsidR="00F14608">
        <w:t>Tanja Purić-Stamenković, za razlučnog vjerovnika Adriatic Assets d.o.o., Zagreb, Radnička cesta 80, Zrinka Mustafa Prelić, odvjetnička vježbenica iz Odvjetničkog društva Divjak, Topić i Bahtijarević iz Zagreba, koja izjavljuje da je Adriatic Assets d.o.o. preuzeo tražbinu i razlučno pravo od razlučnog vjerovnika Alpe Adria poslovodstvo d.o.o., Zagreb, za razlučnog vjerovnika Raiffeisen-Bezirksbank Klagenfurt reg.Gen.m.b.H, Bahnhofstr. 3., Klagenfurt, Austrija</w:t>
      </w:r>
      <w:r w:rsidR="006C2954">
        <w:t>, An</w:t>
      </w:r>
      <w:r w:rsidR="00F14608">
        <w:t>a Dunda, odvjetnička vježbenica u Odvjetničkom društvu Buterin i Posavec d.o.o., Zagreb, te zaposlenici Adriatic Assets d.o.o kao javnost Mario Subnetić i Sani Šola.</w:t>
      </w:r>
    </w:p>
    <w:p w:rsidRDefault="00F14608" w:rsidP="00F14608" w:rsidR="00F14608">
      <w:pPr>
        <w:ind w:firstLine="708"/>
        <w:jc w:val="both"/>
      </w:pPr>
    </w:p>
    <w:p w:rsidRDefault="00F14608" w:rsidP="00F14608" w:rsidR="00F14608">
      <w:pPr>
        <w:ind w:firstLine="708"/>
        <w:jc w:val="both"/>
      </w:pPr>
      <w:r>
        <w:t>Ovo ročište zakazano je objavom rješenja ovoga suda od 19. veljače 2018., poslovni broj St-35/15-69 na e-Oglasnoj ploči ovog suda, radi utvrđivanja vrijednosti nekretnina koje su predmet prodaje u ovom postupku.</w:t>
      </w:r>
    </w:p>
    <w:p w:rsidRDefault="00F14608" w:rsidP="00F14608" w:rsidR="00F14608">
      <w:pPr>
        <w:ind w:firstLine="708"/>
        <w:jc w:val="both"/>
      </w:pPr>
    </w:p>
    <w:p w:rsidRDefault="006C2954" w:rsidP="00615CD0" w:rsidR="00615CD0">
      <w:pPr>
        <w:ind w:firstLine="708"/>
        <w:jc w:val="both"/>
      </w:pPr>
      <w:r>
        <w:t xml:space="preserve">U pogledu utvrđivanja vrijednosti za nekretnine upisane u katastarskoj općini Goli Breg, Demerje, </w:t>
      </w:r>
      <w:r w:rsidR="00615CD0">
        <w:t>i to:</w:t>
      </w:r>
    </w:p>
    <w:p w:rsidRDefault="00615CD0" w:rsidP="00615CD0" w:rsidR="00615CD0">
      <w:pPr>
        <w:jc w:val="both"/>
      </w:pPr>
    </w:p>
    <w:tbl>
      <w:tblPr>
        <w:tblW w:type="dxa" w:w="9040"/>
        <w:tblInd w:type="dxa" w:w="93"/>
        <w:tblLook w:val="04A0" w:noVBand="1" w:noHBand="0" w:lastColumn="0" w:firstColumn="1" w:lastRow="0" w:firstRow="1"/>
      </w:tblPr>
      <w:tblGrid>
        <w:gridCol w:w="460"/>
        <w:gridCol w:w="960"/>
        <w:gridCol w:w="1220"/>
        <w:gridCol w:w="960"/>
        <w:gridCol w:w="3100"/>
        <w:gridCol w:w="1160"/>
        <w:gridCol w:w="1180"/>
      </w:tblGrid>
      <w:tr w:rsidTr="00615CD0" w:rsidR="00615CD0" w:rsidRPr="00615CD0">
        <w:trPr>
          <w:trHeight w:val="330"/>
        </w:trPr>
        <w:tc>
          <w:tcPr>
            <w:tcW w:type="dxa" w:w="460"/>
            <w:tcBorders>
              <w:top w:space="0" w:sz="8" w:color="auto" w:val="single"/>
              <w:left w:space="0" w:sz="4" w:color="auto" w:val="single"/>
              <w:bottom w:space="0" w:sz="8" w:color="auto" w:val="single"/>
              <w:right w:space="0" w:sz="8" w:color="auto" w:val="single"/>
            </w:tcBorders>
            <w:shd w:fill="auto" w:color="auto" w:val="clear"/>
            <w:vAlign w:val="bottom"/>
            <w:hideMark/>
          </w:tcPr>
          <w:p w:rsidRDefault="00615CD0" w:rsidR="00615CD0" w:rsidRPr="00615CD0">
            <w:pPr>
              <w:jc w:val="center"/>
              <w:rPr>
                <w:b/>
                <w:bCs/>
                <w:color w:val="000000"/>
              </w:rPr>
            </w:pPr>
            <w:r w:rsidRPr="00615CD0">
              <w:rPr>
                <w:b/>
                <w:bCs/>
                <w:color w:val="000000"/>
              </w:rPr>
              <w:t>rb</w:t>
            </w:r>
          </w:p>
        </w:tc>
        <w:tc>
          <w:tcPr>
            <w:tcW w:type="dxa" w:w="960"/>
            <w:tcBorders>
              <w:top w:space="0" w:sz="8" w:color="auto" w:val="single"/>
              <w:left w:val="nil"/>
              <w:bottom w:space="0" w:sz="8" w:color="auto" w:val="single"/>
              <w:right w:space="0" w:sz="8" w:color="auto" w:val="single"/>
            </w:tcBorders>
            <w:shd w:fill="auto" w:color="auto" w:val="clear"/>
            <w:vAlign w:val="bottom"/>
            <w:hideMark/>
          </w:tcPr>
          <w:p w:rsidRDefault="00615CD0" w:rsidR="00615CD0" w:rsidRPr="00615CD0">
            <w:pPr>
              <w:jc w:val="center"/>
              <w:rPr>
                <w:b/>
                <w:bCs/>
                <w:color w:val="000000"/>
              </w:rPr>
            </w:pPr>
            <w:r w:rsidRPr="00615CD0">
              <w:rPr>
                <w:b/>
                <w:bCs/>
                <w:color w:val="000000"/>
              </w:rPr>
              <w:t xml:space="preserve">zk. ul. </w:t>
            </w:r>
          </w:p>
        </w:tc>
        <w:tc>
          <w:tcPr>
            <w:tcW w:type="dxa" w:w="1220"/>
            <w:tcBorders>
              <w:top w:space="0" w:sz="8" w:color="auto" w:val="single"/>
              <w:left w:val="nil"/>
              <w:bottom w:space="0" w:sz="8" w:color="auto" w:val="single"/>
              <w:right w:space="0" w:sz="8" w:color="auto" w:val="single"/>
            </w:tcBorders>
            <w:shd w:fill="auto" w:color="auto" w:val="clear"/>
            <w:vAlign w:val="bottom"/>
            <w:hideMark/>
          </w:tcPr>
          <w:p w:rsidRDefault="00615CD0" w:rsidR="00615CD0" w:rsidRPr="00615CD0">
            <w:pPr>
              <w:jc w:val="center"/>
              <w:rPr>
                <w:b/>
                <w:bCs/>
                <w:color w:val="000000"/>
              </w:rPr>
            </w:pPr>
            <w:r w:rsidRPr="00615CD0">
              <w:rPr>
                <w:b/>
                <w:bCs/>
                <w:color w:val="000000"/>
              </w:rPr>
              <w:t>k.o.</w:t>
            </w:r>
          </w:p>
        </w:tc>
        <w:tc>
          <w:tcPr>
            <w:tcW w:type="dxa" w:w="960"/>
            <w:tcBorders>
              <w:top w:space="0" w:sz="8" w:color="auto" w:val="single"/>
              <w:left w:val="nil"/>
              <w:bottom w:space="0" w:sz="8" w:color="auto" w:val="single"/>
              <w:right w:space="0" w:sz="8" w:color="auto" w:val="single"/>
            </w:tcBorders>
            <w:shd w:fill="auto" w:color="auto" w:val="clear"/>
            <w:vAlign w:val="bottom"/>
            <w:hideMark/>
          </w:tcPr>
          <w:p w:rsidRDefault="00615CD0" w:rsidR="00615CD0" w:rsidRPr="00615CD0">
            <w:pPr>
              <w:jc w:val="center"/>
              <w:rPr>
                <w:b/>
                <w:bCs/>
                <w:color w:val="000000"/>
              </w:rPr>
            </w:pPr>
            <w:r w:rsidRPr="00615CD0">
              <w:rPr>
                <w:b/>
                <w:bCs/>
                <w:color w:val="000000"/>
              </w:rPr>
              <w:t>kč. br.</w:t>
            </w:r>
          </w:p>
        </w:tc>
        <w:tc>
          <w:tcPr>
            <w:tcW w:type="dxa" w:w="3100"/>
            <w:tcBorders>
              <w:top w:space="0" w:sz="8" w:color="auto" w:val="single"/>
              <w:left w:val="nil"/>
              <w:bottom w:space="0" w:sz="8" w:color="auto" w:val="single"/>
              <w:right w:space="0" w:sz="8" w:color="auto" w:val="single"/>
            </w:tcBorders>
            <w:shd w:fill="auto" w:color="auto" w:val="clear"/>
            <w:vAlign w:val="bottom"/>
            <w:hideMark/>
          </w:tcPr>
          <w:p w:rsidRDefault="00615CD0" w:rsidR="00615CD0" w:rsidRPr="00615CD0">
            <w:pPr>
              <w:jc w:val="center"/>
              <w:rPr>
                <w:b/>
                <w:bCs/>
                <w:color w:val="000000"/>
              </w:rPr>
            </w:pPr>
            <w:r w:rsidRPr="00615CD0">
              <w:rPr>
                <w:b/>
                <w:bCs/>
                <w:color w:val="000000"/>
              </w:rPr>
              <w:t>u naravi</w:t>
            </w:r>
          </w:p>
        </w:tc>
        <w:tc>
          <w:tcPr>
            <w:tcW w:type="dxa" w:w="1160"/>
            <w:tcBorders>
              <w:top w:space="0" w:sz="8" w:color="auto" w:val="single"/>
              <w:left w:val="nil"/>
              <w:bottom w:space="0" w:sz="8" w:color="auto" w:val="single"/>
              <w:right w:space="0" w:sz="8" w:color="auto" w:val="single"/>
            </w:tcBorders>
            <w:shd w:fill="auto" w:color="auto" w:val="clear"/>
            <w:vAlign w:val="bottom"/>
            <w:hideMark/>
          </w:tcPr>
          <w:p w:rsidRDefault="00615CD0" w:rsidR="00615CD0" w:rsidRPr="00615CD0">
            <w:pPr>
              <w:jc w:val="center"/>
              <w:rPr>
                <w:b/>
                <w:bCs/>
                <w:color w:val="000000"/>
              </w:rPr>
            </w:pPr>
            <w:r w:rsidRPr="00615CD0">
              <w:rPr>
                <w:b/>
                <w:bCs/>
                <w:color w:val="000000"/>
              </w:rPr>
              <w:t>P (čhv)</w:t>
            </w:r>
          </w:p>
        </w:tc>
        <w:tc>
          <w:tcPr>
            <w:tcW w:type="dxa" w:w="1180"/>
            <w:tcBorders>
              <w:top w:space="0" w:sz="8" w:color="auto" w:val="single"/>
              <w:left w:val="nil"/>
              <w:bottom w:space="0" w:sz="8" w:color="auto" w:val="single"/>
              <w:right w:space="0" w:sz="8" w:color="auto" w:val="single"/>
            </w:tcBorders>
            <w:shd w:fill="auto" w:color="auto" w:val="clear"/>
            <w:vAlign w:val="bottom"/>
            <w:hideMark/>
          </w:tcPr>
          <w:p w:rsidRDefault="00615CD0" w:rsidR="00615CD0" w:rsidRPr="00615CD0">
            <w:pPr>
              <w:jc w:val="center"/>
              <w:rPr>
                <w:b/>
                <w:bCs/>
                <w:color w:val="000000"/>
              </w:rPr>
            </w:pPr>
            <w:r w:rsidRPr="00615CD0">
              <w:rPr>
                <w:b/>
                <w:bCs/>
                <w:color w:val="000000"/>
              </w:rPr>
              <w:t>P (m2)</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1</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156</w:t>
            </w:r>
          </w:p>
        </w:tc>
        <w:tc>
          <w:tcPr>
            <w:tcW w:type="dxa" w:w="1220"/>
            <w:tcBorders>
              <w:top w:space="0" w:sz="4" w:color="auto" w:val="single"/>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342/5</w:t>
            </w:r>
          </w:p>
        </w:tc>
        <w:tc>
          <w:tcPr>
            <w:tcW w:type="dxa" w:w="3100"/>
            <w:tcBorders>
              <w:top w:space="0" w:sz="4" w:color="auto" w:val="single"/>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 Sokolovićka u Vušivka</w:t>
            </w:r>
          </w:p>
        </w:tc>
        <w:tc>
          <w:tcPr>
            <w:tcW w:type="dxa" w:w="1160"/>
            <w:tcBorders>
              <w:top w:space="0" w:sz="4" w:color="auto" w:val="single"/>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816 čhv</w:t>
            </w:r>
          </w:p>
        </w:tc>
        <w:tc>
          <w:tcPr>
            <w:tcW w:type="dxa" w:w="1180"/>
            <w:tcBorders>
              <w:top w:space="0" w:sz="4" w:color="auto" w:val="single"/>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2.935</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2</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671</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756/10</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 xml:space="preserve">oranica </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3.106</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3</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447</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343/3</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 Vušivka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917 čhv</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3.298</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4</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456</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343/2</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 Vušivka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xml:space="preserve">867 čhv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3.118</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5</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238</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342/4</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 Sokolovićka u Vušivka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816 čhv</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2.935</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6</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430</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346/2</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3.248</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7</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430</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346/4</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put</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59</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8</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15839</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348/14</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1.308</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9</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19</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345/1</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 xml:space="preserve">oranica Kalinovo </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2.522</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10</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429</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346/1</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3.779</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lastRenderedPageBreak/>
              <w:t>11</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429</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346/3</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put</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39</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12</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556</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771/1</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 Zastavnica u Dugavi</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321 čhv</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1.155</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13</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4406</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774/1</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2.441</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14</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4406</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774/2</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4.705</w:t>
            </w:r>
          </w:p>
        </w:tc>
      </w:tr>
      <w:tr w:rsidTr="00615CD0" w:rsidR="00615CD0"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15</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4441</w:t>
            </w:r>
          </w:p>
        </w:tc>
        <w:tc>
          <w:tcPr>
            <w:tcW w:type="dxa" w:w="122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777</w:t>
            </w:r>
          </w:p>
        </w:tc>
        <w:tc>
          <w:tcPr>
            <w:tcW w:type="dxa" w:w="3100"/>
            <w:tcBorders>
              <w:top w:val="nil"/>
              <w:left w:val="nil"/>
              <w:bottom w:space="0" w:sz="4" w:color="auto" w:val="single"/>
              <w:right w:space="0" w:sz="4" w:color="auto" w:val="single"/>
            </w:tcBorders>
            <w:shd w:fill="auto" w:color="auto" w:val="clear"/>
            <w:noWrap/>
            <w:vAlign w:val="bottom"/>
            <w:hideMark/>
          </w:tcPr>
          <w:p w:rsidRDefault="00615CD0" w:rsidR="00615CD0"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center"/>
              <w:rPr>
                <w:color w:val="000000"/>
              </w:rPr>
            </w:pPr>
            <w:r w:rsidRPr="00615CD0">
              <w:rPr>
                <w:color w:val="000000"/>
              </w:rPr>
              <w:t>1085 čhv</w:t>
            </w:r>
          </w:p>
        </w:tc>
        <w:tc>
          <w:tcPr>
            <w:tcW w:type="dxa" w:w="1180"/>
            <w:tcBorders>
              <w:top w:val="nil"/>
              <w:left w:val="nil"/>
              <w:bottom w:space="0" w:sz="4" w:color="auto" w:val="single"/>
              <w:right w:space="0" w:sz="4" w:color="auto" w:val="single"/>
            </w:tcBorders>
            <w:shd w:fill="auto" w:color="auto" w:val="clear"/>
            <w:noWrap/>
            <w:vAlign w:val="bottom"/>
            <w:hideMark/>
          </w:tcPr>
          <w:p w:rsidRDefault="00615CD0" w:rsidR="00615CD0" w:rsidRPr="00615CD0">
            <w:pPr>
              <w:jc w:val="right"/>
              <w:rPr>
                <w:color w:val="000000"/>
              </w:rPr>
            </w:pPr>
            <w:r w:rsidRPr="00615CD0">
              <w:rPr>
                <w:color w:val="000000"/>
              </w:rPr>
              <w:t>3.902</w:t>
            </w:r>
          </w:p>
        </w:tc>
      </w:tr>
      <w:tr w:rsidTr="00615CD0" w:rsidR="00615CD0" w:rsidRPr="00615CD0">
        <w:trPr>
          <w:trHeight w:val="315"/>
        </w:trPr>
        <w:tc>
          <w:tcPr>
            <w:tcW w:type="dxa" w:w="460"/>
            <w:tcBorders>
              <w:top w:val="nil"/>
              <w:left w:val="nil"/>
              <w:bottom w:val="nil"/>
              <w:right w:val="nil"/>
            </w:tcBorders>
            <w:shd w:fill="auto" w:color="auto" w:val="clear"/>
            <w:noWrap/>
            <w:vAlign w:val="bottom"/>
            <w:hideMark/>
          </w:tcPr>
          <w:p w:rsidRDefault="00615CD0" w:rsidR="00615CD0" w:rsidRPr="00615CD0">
            <w:pPr>
              <w:rPr>
                <w:color w:val="000000"/>
              </w:rPr>
            </w:pPr>
          </w:p>
        </w:tc>
        <w:tc>
          <w:tcPr>
            <w:tcW w:type="dxa" w:w="960"/>
            <w:tcBorders>
              <w:top w:val="nil"/>
              <w:left w:val="nil"/>
              <w:bottom w:val="nil"/>
              <w:right w:val="nil"/>
            </w:tcBorders>
            <w:shd w:fill="auto" w:color="auto" w:val="clear"/>
            <w:noWrap/>
            <w:vAlign w:val="bottom"/>
            <w:hideMark/>
          </w:tcPr>
          <w:p w:rsidRDefault="00615CD0" w:rsidR="00615CD0" w:rsidRPr="00615CD0">
            <w:pPr>
              <w:rPr>
                <w:color w:val="000000"/>
              </w:rPr>
            </w:pPr>
          </w:p>
        </w:tc>
        <w:tc>
          <w:tcPr>
            <w:tcW w:type="dxa" w:w="1220"/>
            <w:tcBorders>
              <w:top w:val="nil"/>
              <w:left w:val="nil"/>
              <w:bottom w:val="nil"/>
              <w:right w:val="nil"/>
            </w:tcBorders>
            <w:shd w:fill="auto" w:color="auto" w:val="clear"/>
            <w:noWrap/>
            <w:vAlign w:val="bottom"/>
            <w:hideMark/>
          </w:tcPr>
          <w:p w:rsidRDefault="00615CD0" w:rsidR="00615CD0" w:rsidRPr="00615CD0">
            <w:pPr>
              <w:rPr>
                <w:color w:val="000000"/>
              </w:rPr>
            </w:pPr>
          </w:p>
        </w:tc>
        <w:tc>
          <w:tcPr>
            <w:tcW w:type="dxa" w:w="960"/>
            <w:tcBorders>
              <w:top w:val="nil"/>
              <w:left w:val="nil"/>
              <w:bottom w:val="nil"/>
              <w:right w:val="nil"/>
            </w:tcBorders>
            <w:shd w:fill="auto" w:color="auto" w:val="clear"/>
            <w:noWrap/>
            <w:vAlign w:val="bottom"/>
            <w:hideMark/>
          </w:tcPr>
          <w:p w:rsidRDefault="00615CD0" w:rsidR="00615CD0" w:rsidRPr="00615CD0">
            <w:pPr>
              <w:rPr>
                <w:color w:val="000000"/>
              </w:rPr>
            </w:pPr>
          </w:p>
        </w:tc>
        <w:tc>
          <w:tcPr>
            <w:tcW w:type="dxa" w:w="3100"/>
            <w:tcBorders>
              <w:top w:val="nil"/>
              <w:left w:val="nil"/>
              <w:bottom w:val="nil"/>
              <w:right w:val="nil"/>
            </w:tcBorders>
            <w:shd w:fill="auto" w:color="auto" w:val="clear"/>
            <w:noWrap/>
            <w:vAlign w:val="bottom"/>
            <w:hideMark/>
          </w:tcPr>
          <w:p w:rsidRDefault="00615CD0" w:rsidR="00615CD0" w:rsidRPr="00615CD0">
            <w:pPr>
              <w:rPr>
                <w:color w:val="000000"/>
              </w:rPr>
            </w:pPr>
          </w:p>
        </w:tc>
        <w:tc>
          <w:tcPr>
            <w:tcW w:type="dxa" w:w="1160"/>
            <w:tcBorders>
              <w:top w:val="nil"/>
              <w:left w:val="nil"/>
              <w:bottom w:val="nil"/>
              <w:right w:val="nil"/>
            </w:tcBorders>
            <w:shd w:fill="auto" w:color="auto" w:val="clear"/>
            <w:noWrap/>
            <w:vAlign w:val="bottom"/>
            <w:hideMark/>
          </w:tcPr>
          <w:p w:rsidRDefault="00615CD0" w:rsidR="00615CD0" w:rsidRPr="00615CD0">
            <w:pPr>
              <w:rPr>
                <w:color w:val="000000"/>
              </w:rPr>
            </w:pPr>
          </w:p>
        </w:tc>
        <w:tc>
          <w:tcPr>
            <w:tcW w:type="dxa" w:w="1180"/>
            <w:tcBorders>
              <w:top w:val="nil"/>
              <w:left w:val="nil"/>
              <w:bottom w:val="nil"/>
              <w:right w:val="nil"/>
            </w:tcBorders>
            <w:shd w:fill="auto" w:color="auto" w:val="clear"/>
            <w:noWrap/>
            <w:vAlign w:val="bottom"/>
            <w:hideMark/>
          </w:tcPr>
          <w:p w:rsidRDefault="00615CD0" w:rsidR="00615CD0" w:rsidRPr="00615CD0">
            <w:pPr>
              <w:jc w:val="right"/>
              <w:rPr>
                <w:color w:val="000000"/>
              </w:rPr>
            </w:pPr>
            <w:r w:rsidRPr="00615CD0">
              <w:rPr>
                <w:color w:val="000000"/>
              </w:rPr>
              <w:t>38.550</w:t>
            </w:r>
          </w:p>
        </w:tc>
      </w:tr>
    </w:tbl>
    <w:p w:rsidRDefault="00F14608" w:rsidP="00F14608" w:rsidR="00F14608">
      <w:pPr>
        <w:ind w:firstLine="708"/>
        <w:jc w:val="both"/>
      </w:pPr>
    </w:p>
    <w:p w:rsidRDefault="00AC035A" w:rsidP="00957AED" w:rsidR="00AC035A">
      <w:pPr>
        <w:ind w:firstLine="708"/>
        <w:jc w:val="both"/>
      </w:pPr>
    </w:p>
    <w:p w:rsidRDefault="00615CD0" w:rsidP="00204384" w:rsidR="00777698">
      <w:pPr>
        <w:ind w:firstLine="708"/>
        <w:jc w:val="both"/>
      </w:pPr>
      <w:r>
        <w:t xml:space="preserve">na kojim nekretninama razlučno pravo u prvom prednosnom redu ima Raiffeisen-Bezirksbank Klagenfurt reg.Gen.m.b.H, Bahnhofstr. 3., Klagenfurt, Austrija, a Adriatic Assets d.o.o. ima razlučno pravo u drugom prednosnom redu, te je ovdje nastao spor glede različitih procjena ovih nekretnina, jer je prema procjenama koje je dao napraviti stečajni upravitelj ove nekretnine su procijenjene na viši iznos od procjene TREZOR INVEST d.o.o., </w:t>
      </w:r>
      <w:r w:rsidR="00777698">
        <w:t>Zagreb i to za znatno veći iznos, te u svezi toga punomoćnica Adriatic Assets d.o.o. izjavljuje da se ovaj razlučni vjerovnik nalazi u pregovorima sa Raiffeisen-Bezirksbank Klagenfurt reg.Gen.m.b.H, Bahnhofstr. 3., Klagenfurt, Austrija, oko preuzimanja njihovog razlučnog prava, nakon čega više ne</w:t>
      </w:r>
      <w:r w:rsidR="00A66F1F">
        <w:t xml:space="preserve"> </w:t>
      </w:r>
      <w:r w:rsidR="00777698">
        <w:t>bi bilo spora oko utvrđene vrijednost nekretnine, pa predlaže da se raspisivanje dražbe odgodi na 30 dana</w:t>
      </w:r>
      <w:r w:rsidR="00B23CE7">
        <w:t xml:space="preserve"> i to ne samo za ove nekretnine nego za sve nekretnine koje bi u ovom stečajnom postupku trebale biti predmet prodaje</w:t>
      </w:r>
      <w:r w:rsidR="00204384">
        <w:t>. Utvrđena vrijednost ovih nekretnina prema procjeni VIVAK d.o.o. iznosi 30.582.592,85 kn, a procjena TREZOR INVEST d.o.o. za ove nekretnine iznosi 6.579.413,00 kn. Utvrđuje se da se doista radi o vrlo velikoj razlici u procjenama unatoč tome što je VIVAK d.o.o. svoju procjenu sačinio 2015., a TREZOR INVEST d.o.o. 2017. godine.</w:t>
      </w:r>
    </w:p>
    <w:p w:rsidRDefault="00BE1311" w:rsidP="00204384" w:rsidR="00BE1311">
      <w:pPr>
        <w:ind w:firstLine="708"/>
        <w:jc w:val="both"/>
      </w:pPr>
    </w:p>
    <w:p w:rsidRDefault="00A66F1F" w:rsidP="00777698" w:rsidR="00A66F1F">
      <w:pPr>
        <w:ind w:firstLine="708"/>
        <w:jc w:val="both"/>
      </w:pPr>
    </w:p>
    <w:p w:rsidRDefault="00A66F1F" w:rsidP="00777698" w:rsidR="00A66F1F">
      <w:pPr>
        <w:ind w:firstLine="708"/>
        <w:jc w:val="both"/>
      </w:pPr>
    </w:p>
    <w:p w:rsidRDefault="00A66F1F" w:rsidP="00777698" w:rsidR="00A66F1F">
      <w:pPr>
        <w:ind w:firstLine="708"/>
        <w:jc w:val="both"/>
      </w:pPr>
      <w:r>
        <w:t xml:space="preserve">U pogledu nekretnina i to: </w:t>
      </w:r>
    </w:p>
    <w:p w:rsidRDefault="00A66F1F" w:rsidP="00777698" w:rsidR="00A66F1F">
      <w:pPr>
        <w:ind w:firstLine="708"/>
        <w:jc w:val="both"/>
      </w:pPr>
    </w:p>
    <w:p w:rsidRDefault="00A66F1F" w:rsidP="00777698" w:rsidR="00A66F1F">
      <w:pPr>
        <w:ind w:firstLine="708"/>
        <w:jc w:val="both"/>
      </w:pPr>
    </w:p>
    <w:tbl>
      <w:tblPr>
        <w:tblW w:type="dxa" w:w="8500"/>
        <w:tblInd w:type="dxa" w:w="93"/>
        <w:tblLook w:val="04A0" w:noVBand="1" w:noHBand="0" w:lastColumn="0" w:firstColumn="1" w:lastRow="0" w:firstRow="1"/>
      </w:tblPr>
      <w:tblGrid>
        <w:gridCol w:w="580"/>
        <w:gridCol w:w="960"/>
        <w:gridCol w:w="1160"/>
        <w:gridCol w:w="1160"/>
        <w:gridCol w:w="2140"/>
        <w:gridCol w:w="1540"/>
        <w:gridCol w:w="996"/>
      </w:tblGrid>
      <w:tr w:rsidTr="00A66F1F" w:rsidR="00A66F1F" w:rsidRPr="00A66F1F">
        <w:trPr>
          <w:trHeight w:val="330"/>
        </w:trPr>
        <w:tc>
          <w:tcPr>
            <w:tcW w:type="dxa" w:w="580"/>
            <w:tcBorders>
              <w:top w:space="0" w:sz="8" w:color="auto" w:val="single"/>
              <w:left w:space="0" w:sz="8" w:color="auto" w:val="single"/>
              <w:bottom w:space="0" w:sz="8" w:color="auto" w:val="single"/>
              <w:right w:space="0" w:sz="8" w:color="auto" w:val="single"/>
            </w:tcBorders>
            <w:shd w:fill="auto" w:color="auto" w:val="clear"/>
            <w:vAlign w:val="bottom"/>
            <w:hideMark/>
          </w:tcPr>
          <w:p w:rsidRDefault="00A66F1F" w:rsidR="00A66F1F" w:rsidRPr="00A66F1F">
            <w:pPr>
              <w:jc w:val="center"/>
              <w:rPr>
                <w:b/>
                <w:bCs/>
                <w:color w:val="000000"/>
              </w:rPr>
            </w:pPr>
            <w:r w:rsidRPr="00A66F1F">
              <w:rPr>
                <w:b/>
                <w:bCs/>
                <w:color w:val="000000"/>
              </w:rPr>
              <w:t>rb</w:t>
            </w:r>
          </w:p>
        </w:tc>
        <w:tc>
          <w:tcPr>
            <w:tcW w:type="dxa" w:w="960"/>
            <w:tcBorders>
              <w:top w:space="0" w:sz="8" w:color="auto" w:val="single"/>
              <w:left w:val="nil"/>
              <w:bottom w:space="0" w:sz="8" w:color="auto" w:val="single"/>
              <w:right w:space="0" w:sz="8" w:color="auto" w:val="single"/>
            </w:tcBorders>
            <w:shd w:fill="auto" w:color="auto" w:val="clear"/>
            <w:vAlign w:val="bottom"/>
            <w:hideMark/>
          </w:tcPr>
          <w:p w:rsidRDefault="00A66F1F" w:rsidR="00A66F1F" w:rsidRPr="00A66F1F">
            <w:pPr>
              <w:jc w:val="center"/>
              <w:rPr>
                <w:b/>
                <w:bCs/>
                <w:color w:val="000000"/>
              </w:rPr>
            </w:pPr>
            <w:r w:rsidRPr="00A66F1F">
              <w:rPr>
                <w:b/>
                <w:bCs/>
                <w:color w:val="000000"/>
              </w:rPr>
              <w:t xml:space="preserve">zk. ul. </w:t>
            </w:r>
          </w:p>
        </w:tc>
        <w:tc>
          <w:tcPr>
            <w:tcW w:type="dxa" w:w="1160"/>
            <w:tcBorders>
              <w:top w:space="0" w:sz="8" w:color="auto" w:val="single"/>
              <w:left w:val="nil"/>
              <w:bottom w:space="0" w:sz="8" w:color="auto" w:val="single"/>
              <w:right w:space="0" w:sz="8" w:color="auto" w:val="single"/>
            </w:tcBorders>
            <w:shd w:fill="auto" w:color="auto" w:val="clear"/>
            <w:vAlign w:val="bottom"/>
            <w:hideMark/>
          </w:tcPr>
          <w:p w:rsidRDefault="00A66F1F" w:rsidR="00A66F1F" w:rsidRPr="00A66F1F">
            <w:pPr>
              <w:jc w:val="center"/>
              <w:rPr>
                <w:b/>
                <w:bCs/>
                <w:color w:val="000000"/>
              </w:rPr>
            </w:pPr>
            <w:r w:rsidRPr="00A66F1F">
              <w:rPr>
                <w:b/>
                <w:bCs/>
                <w:color w:val="000000"/>
              </w:rPr>
              <w:t>k.o.</w:t>
            </w:r>
          </w:p>
        </w:tc>
        <w:tc>
          <w:tcPr>
            <w:tcW w:type="dxa" w:w="1160"/>
            <w:tcBorders>
              <w:top w:space="0" w:sz="8" w:color="auto" w:val="single"/>
              <w:left w:val="nil"/>
              <w:bottom w:space="0" w:sz="8" w:color="auto" w:val="single"/>
              <w:right w:space="0" w:sz="8" w:color="auto" w:val="single"/>
            </w:tcBorders>
            <w:shd w:fill="auto" w:color="auto" w:val="clear"/>
            <w:vAlign w:val="bottom"/>
            <w:hideMark/>
          </w:tcPr>
          <w:p w:rsidRDefault="00A66F1F" w:rsidR="00A66F1F" w:rsidRPr="00A66F1F">
            <w:pPr>
              <w:jc w:val="center"/>
              <w:rPr>
                <w:b/>
                <w:bCs/>
                <w:color w:val="000000"/>
              </w:rPr>
            </w:pPr>
            <w:r w:rsidRPr="00A66F1F">
              <w:rPr>
                <w:b/>
                <w:bCs/>
                <w:color w:val="000000"/>
              </w:rPr>
              <w:t>kč. br.</w:t>
            </w:r>
          </w:p>
        </w:tc>
        <w:tc>
          <w:tcPr>
            <w:tcW w:type="dxa" w:w="2140"/>
            <w:tcBorders>
              <w:top w:space="0" w:sz="8" w:color="auto" w:val="single"/>
              <w:left w:val="nil"/>
              <w:bottom w:space="0" w:sz="8" w:color="auto" w:val="single"/>
              <w:right w:space="0" w:sz="8" w:color="auto" w:val="single"/>
            </w:tcBorders>
            <w:shd w:fill="auto" w:color="auto" w:val="clear"/>
            <w:vAlign w:val="bottom"/>
            <w:hideMark/>
          </w:tcPr>
          <w:p w:rsidRDefault="00A66F1F" w:rsidR="00A66F1F" w:rsidRPr="00A66F1F">
            <w:pPr>
              <w:jc w:val="center"/>
              <w:rPr>
                <w:b/>
                <w:bCs/>
                <w:color w:val="000000"/>
              </w:rPr>
            </w:pPr>
            <w:r w:rsidRPr="00A66F1F">
              <w:rPr>
                <w:b/>
                <w:bCs/>
                <w:color w:val="000000"/>
              </w:rPr>
              <w:t>u naravi</w:t>
            </w:r>
          </w:p>
        </w:tc>
        <w:tc>
          <w:tcPr>
            <w:tcW w:type="dxa" w:w="1540"/>
            <w:tcBorders>
              <w:top w:space="0" w:sz="8" w:color="auto" w:val="single"/>
              <w:left w:val="nil"/>
              <w:bottom w:space="0" w:sz="8" w:color="auto" w:val="single"/>
              <w:right w:space="0" w:sz="8" w:color="auto" w:val="single"/>
            </w:tcBorders>
            <w:shd w:fill="auto" w:color="auto" w:val="clear"/>
            <w:vAlign w:val="bottom"/>
            <w:hideMark/>
          </w:tcPr>
          <w:p w:rsidRDefault="00A66F1F" w:rsidR="00A66F1F" w:rsidRPr="00A66F1F">
            <w:pPr>
              <w:jc w:val="center"/>
              <w:rPr>
                <w:b/>
                <w:bCs/>
                <w:color w:val="000000"/>
              </w:rPr>
            </w:pPr>
            <w:r w:rsidRPr="00A66F1F">
              <w:rPr>
                <w:b/>
                <w:bCs/>
                <w:color w:val="000000"/>
              </w:rPr>
              <w:t>P (čhv)</w:t>
            </w:r>
          </w:p>
        </w:tc>
        <w:tc>
          <w:tcPr>
            <w:tcW w:type="dxa" w:w="960"/>
            <w:tcBorders>
              <w:top w:space="0" w:sz="8" w:color="auto" w:val="single"/>
              <w:left w:val="nil"/>
              <w:bottom w:space="0" w:sz="8" w:color="auto" w:val="single"/>
              <w:right w:space="0" w:sz="8" w:color="auto" w:val="single"/>
            </w:tcBorders>
            <w:shd w:fill="auto" w:color="auto" w:val="clear"/>
            <w:vAlign w:val="bottom"/>
            <w:hideMark/>
          </w:tcPr>
          <w:p w:rsidRDefault="00A66F1F" w:rsidR="00A66F1F" w:rsidRPr="00A66F1F">
            <w:pPr>
              <w:jc w:val="center"/>
              <w:rPr>
                <w:b/>
                <w:bCs/>
                <w:color w:val="000000"/>
              </w:rPr>
            </w:pPr>
            <w:r w:rsidRPr="00A66F1F">
              <w:rPr>
                <w:b/>
                <w:bCs/>
                <w:color w:val="000000"/>
              </w:rPr>
              <w:t>P (m2)</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605/A</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 ral 369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7.082</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741</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344</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1477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5.312</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655</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780/1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1150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4.136</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655</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780/3</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527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1.895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630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764</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2.803</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6</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557</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770</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1472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5.294</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7</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3000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778</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1614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5.805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8</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1033 A</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781/2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2.916</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9</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4386</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781/1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3.126</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10</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4386</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781/42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7.767</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11</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783</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347/2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1.555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12</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712</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348/12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2.632</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13</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680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756/7</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2.581</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14</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710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xml:space="preserve">Goli </w:t>
            </w:r>
            <w:r w:rsidRPr="00A66F1F">
              <w:rPr>
                <w:color w:val="000000"/>
              </w:rPr>
              <w:lastRenderedPageBreak/>
              <w:t>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lastRenderedPageBreak/>
              <w:t>348/10</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2.714</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lastRenderedPageBreak/>
              <w:t>15</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724</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1.613</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16</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631</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756/8</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5.631</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17</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4344</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759/2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7.724</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18</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1794</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784/16</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 ral i 573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7.816</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19</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289</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342/1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5.863</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20</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464</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756/6</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5.807</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21</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816</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780/4</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2.935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22</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1057</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781/9</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5.837</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23</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677</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781/3</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xml:space="preserve">1 ral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5.755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24</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540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780/2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3.028</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25</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487</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345/2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4.055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26</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542</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781/4</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3.099</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27</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679</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756/11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2.597</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28</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721</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348/3</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378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1.360</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29</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720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348/4</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577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2.075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30</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529</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756/9</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2.780</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31</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529</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756/34</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2.761</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32</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1004</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347/1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2.227</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33</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1004</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347/4</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2.420</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34</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709</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348/11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1.372</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35</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713</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348/5</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877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3.154</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36</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717</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348/6</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1142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4.107</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37</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723</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348/8</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1129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4.061</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38</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350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784/4</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 xml:space="preserve">dvorište i voćnjak </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1.656</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39</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351</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784/5</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14.692</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40</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517</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765</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1300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4.676</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41</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718</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348/9</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771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2.773</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42</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711</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348/13</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1.205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43</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711</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348/15</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1.204</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44</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450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343/1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 ral i 464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7.423</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lastRenderedPageBreak/>
              <w:t>45</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554</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771/2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1088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3.913</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46</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722</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348/1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2.275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47</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1033</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781/11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5.756</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48</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1033</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781/12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2.905</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49</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519</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766</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776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2.791</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50</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519</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767</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940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3.381</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51</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560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350/5</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3.342</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52</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560</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350/12</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158</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53</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4355</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775/1</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 ral i 496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7.539</w:t>
            </w:r>
          </w:p>
        </w:tc>
      </w:tr>
      <w:tr w:rsidTr="00A66F1F" w:rsidR="00A66F1F" w:rsidRPr="00A66F1F">
        <w:trPr>
          <w:trHeight w:val="315"/>
        </w:trPr>
        <w:tc>
          <w:tcPr>
            <w:tcW w:type="dxa" w:w="580"/>
            <w:tcBorders>
              <w:top w:val="nil"/>
              <w:left w:space="0" w:sz="4" w:color="auto" w:val="single"/>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54</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4384</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Demerje</w:t>
            </w:r>
          </w:p>
        </w:tc>
        <w:tc>
          <w:tcPr>
            <w:tcW w:type="dxa" w:w="11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773</w:t>
            </w:r>
          </w:p>
        </w:tc>
        <w:tc>
          <w:tcPr>
            <w:tcW w:type="dxa" w:w="2140"/>
            <w:tcBorders>
              <w:top w:val="nil"/>
              <w:left w:val="nil"/>
              <w:bottom w:space="0" w:sz="4"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1 ral i 356 čhv</w:t>
            </w:r>
          </w:p>
        </w:tc>
        <w:tc>
          <w:tcPr>
            <w:tcW w:type="dxa" w:w="960"/>
            <w:tcBorders>
              <w:top w:val="nil"/>
              <w:left w:val="nil"/>
              <w:bottom w:space="0" w:sz="4"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7.035</w:t>
            </w:r>
          </w:p>
        </w:tc>
      </w:tr>
      <w:tr w:rsidTr="00A66F1F" w:rsidR="00A66F1F" w:rsidRPr="00A66F1F">
        <w:trPr>
          <w:trHeight w:val="330"/>
        </w:trPr>
        <w:tc>
          <w:tcPr>
            <w:tcW w:type="dxa" w:w="580"/>
            <w:tcBorders>
              <w:top w:val="nil"/>
              <w:left w:space="0" w:sz="4" w:color="auto" w:val="single"/>
              <w:bottom w:space="0" w:sz="8"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55</w:t>
            </w:r>
          </w:p>
        </w:tc>
        <w:tc>
          <w:tcPr>
            <w:tcW w:type="dxa" w:w="960"/>
            <w:tcBorders>
              <w:top w:val="nil"/>
              <w:left w:val="nil"/>
              <w:bottom w:space="0" w:sz="8"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670</w:t>
            </w:r>
          </w:p>
        </w:tc>
        <w:tc>
          <w:tcPr>
            <w:tcW w:type="dxa" w:w="1160"/>
            <w:tcBorders>
              <w:top w:val="nil"/>
              <w:left w:val="nil"/>
              <w:bottom w:space="0" w:sz="8"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Goli Breg</w:t>
            </w:r>
          </w:p>
        </w:tc>
        <w:tc>
          <w:tcPr>
            <w:tcW w:type="dxa" w:w="1160"/>
            <w:tcBorders>
              <w:top w:val="nil"/>
              <w:left w:val="nil"/>
              <w:bottom w:space="0" w:sz="8"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347/5</w:t>
            </w:r>
          </w:p>
        </w:tc>
        <w:tc>
          <w:tcPr>
            <w:tcW w:type="dxa" w:w="2140"/>
            <w:tcBorders>
              <w:top w:val="nil"/>
              <w:left w:val="nil"/>
              <w:bottom w:space="0" w:sz="8" w:color="auto" w:val="single"/>
              <w:right w:space="0" w:sz="4" w:color="auto" w:val="single"/>
            </w:tcBorders>
            <w:shd w:fill="auto" w:color="auto" w:val="clear"/>
            <w:noWrap/>
            <w:vAlign w:val="bottom"/>
            <w:hideMark/>
          </w:tcPr>
          <w:p w:rsidRDefault="00A66F1F" w:rsidR="00A66F1F" w:rsidRPr="00A66F1F">
            <w:pPr>
              <w:rPr>
                <w:color w:val="000000"/>
              </w:rPr>
            </w:pPr>
            <w:r w:rsidRPr="00A66F1F">
              <w:rPr>
                <w:color w:val="000000"/>
              </w:rPr>
              <w:t>oranica</w:t>
            </w:r>
          </w:p>
        </w:tc>
        <w:tc>
          <w:tcPr>
            <w:tcW w:type="dxa" w:w="1540"/>
            <w:tcBorders>
              <w:top w:val="nil"/>
              <w:left w:val="nil"/>
              <w:bottom w:space="0" w:sz="8" w:color="auto" w:val="single"/>
              <w:right w:space="0" w:sz="4" w:color="auto" w:val="single"/>
            </w:tcBorders>
            <w:shd w:fill="auto" w:color="auto" w:val="clear"/>
            <w:noWrap/>
            <w:vAlign w:val="bottom"/>
            <w:hideMark/>
          </w:tcPr>
          <w:p w:rsidRDefault="00A66F1F" w:rsidR="00A66F1F" w:rsidRPr="00A66F1F">
            <w:pPr>
              <w:jc w:val="center"/>
              <w:rPr>
                <w:color w:val="000000"/>
              </w:rPr>
            </w:pPr>
            <w:r w:rsidRPr="00A66F1F">
              <w:rPr>
                <w:color w:val="000000"/>
              </w:rPr>
              <w:t> </w:t>
            </w:r>
          </w:p>
        </w:tc>
        <w:tc>
          <w:tcPr>
            <w:tcW w:type="dxa" w:w="960"/>
            <w:tcBorders>
              <w:top w:val="nil"/>
              <w:left w:val="nil"/>
              <w:bottom w:space="0" w:sz="8" w:color="auto" w:val="single"/>
              <w:right w:space="0" w:sz="4" w:color="auto" w:val="single"/>
            </w:tcBorders>
            <w:shd w:fill="auto" w:color="auto" w:val="clear"/>
            <w:noWrap/>
            <w:vAlign w:val="bottom"/>
            <w:hideMark/>
          </w:tcPr>
          <w:p w:rsidRDefault="00A66F1F" w:rsidR="00A66F1F" w:rsidRPr="00A66F1F">
            <w:pPr>
              <w:jc w:val="right"/>
              <w:rPr>
                <w:color w:val="000000"/>
              </w:rPr>
            </w:pPr>
            <w:r w:rsidRPr="00A66F1F">
              <w:rPr>
                <w:color w:val="000000"/>
              </w:rPr>
              <w:t>47</w:t>
            </w:r>
          </w:p>
        </w:tc>
      </w:tr>
      <w:tr w:rsidTr="00A66F1F" w:rsidR="00A66F1F" w:rsidRPr="00A66F1F">
        <w:trPr>
          <w:trHeight w:val="300"/>
        </w:trPr>
        <w:tc>
          <w:tcPr>
            <w:tcW w:type="dxa" w:w="580"/>
            <w:tcBorders>
              <w:top w:val="nil"/>
              <w:left w:val="nil"/>
              <w:bottom w:val="nil"/>
              <w:right w:val="nil"/>
            </w:tcBorders>
            <w:shd w:fill="auto" w:color="auto" w:val="clear"/>
            <w:noWrap/>
            <w:vAlign w:val="bottom"/>
            <w:hideMark/>
          </w:tcPr>
          <w:p w:rsidRDefault="00A66F1F" w:rsidR="00A66F1F" w:rsidRPr="00A66F1F">
            <w:pPr>
              <w:rPr>
                <w:color w:val="000000"/>
              </w:rPr>
            </w:pPr>
          </w:p>
        </w:tc>
        <w:tc>
          <w:tcPr>
            <w:tcW w:type="dxa" w:w="960"/>
            <w:tcBorders>
              <w:top w:val="nil"/>
              <w:left w:val="nil"/>
              <w:bottom w:val="nil"/>
              <w:right w:val="nil"/>
            </w:tcBorders>
            <w:shd w:fill="auto" w:color="auto" w:val="clear"/>
            <w:noWrap/>
            <w:vAlign w:val="bottom"/>
            <w:hideMark/>
          </w:tcPr>
          <w:p w:rsidRDefault="00A66F1F" w:rsidR="00A66F1F" w:rsidRPr="00A66F1F">
            <w:pPr>
              <w:rPr>
                <w:color w:val="000000"/>
              </w:rPr>
            </w:pPr>
          </w:p>
        </w:tc>
        <w:tc>
          <w:tcPr>
            <w:tcW w:type="dxa" w:w="1160"/>
            <w:tcBorders>
              <w:top w:val="nil"/>
              <w:left w:val="nil"/>
              <w:bottom w:val="nil"/>
              <w:right w:val="nil"/>
            </w:tcBorders>
            <w:shd w:fill="auto" w:color="auto" w:val="clear"/>
            <w:noWrap/>
            <w:vAlign w:val="bottom"/>
            <w:hideMark/>
          </w:tcPr>
          <w:p w:rsidRDefault="00A66F1F" w:rsidR="00A66F1F" w:rsidRPr="00A66F1F">
            <w:pPr>
              <w:rPr>
                <w:color w:val="000000"/>
              </w:rPr>
            </w:pPr>
          </w:p>
        </w:tc>
        <w:tc>
          <w:tcPr>
            <w:tcW w:type="dxa" w:w="1160"/>
            <w:tcBorders>
              <w:top w:val="nil"/>
              <w:left w:val="nil"/>
              <w:bottom w:val="nil"/>
              <w:right w:val="nil"/>
            </w:tcBorders>
            <w:shd w:fill="auto" w:color="auto" w:val="clear"/>
            <w:noWrap/>
            <w:vAlign w:val="bottom"/>
            <w:hideMark/>
          </w:tcPr>
          <w:p w:rsidRDefault="00A66F1F" w:rsidR="00A66F1F" w:rsidRPr="00A66F1F">
            <w:pPr>
              <w:rPr>
                <w:color w:val="000000"/>
              </w:rPr>
            </w:pPr>
          </w:p>
        </w:tc>
        <w:tc>
          <w:tcPr>
            <w:tcW w:type="dxa" w:w="2140"/>
            <w:tcBorders>
              <w:top w:val="nil"/>
              <w:left w:val="nil"/>
              <w:bottom w:val="nil"/>
              <w:right w:val="nil"/>
            </w:tcBorders>
            <w:shd w:fill="auto" w:color="auto" w:val="clear"/>
            <w:noWrap/>
            <w:vAlign w:val="bottom"/>
            <w:hideMark/>
          </w:tcPr>
          <w:p w:rsidRDefault="00A66F1F" w:rsidR="00A66F1F" w:rsidRPr="00A66F1F">
            <w:pPr>
              <w:rPr>
                <w:color w:val="000000"/>
              </w:rPr>
            </w:pPr>
          </w:p>
        </w:tc>
        <w:tc>
          <w:tcPr>
            <w:tcW w:type="dxa" w:w="1540"/>
            <w:tcBorders>
              <w:top w:val="nil"/>
              <w:left w:val="nil"/>
              <w:bottom w:val="nil"/>
              <w:right w:val="nil"/>
            </w:tcBorders>
            <w:shd w:fill="auto" w:color="auto" w:val="clear"/>
            <w:noWrap/>
            <w:vAlign w:val="bottom"/>
            <w:hideMark/>
          </w:tcPr>
          <w:p w:rsidRDefault="00A66F1F" w:rsidR="00A66F1F" w:rsidRPr="00A66F1F">
            <w:pPr>
              <w:rPr>
                <w:color w:val="000000"/>
              </w:rPr>
            </w:pPr>
          </w:p>
        </w:tc>
        <w:tc>
          <w:tcPr>
            <w:tcW w:type="dxa" w:w="960"/>
            <w:tcBorders>
              <w:top w:val="nil"/>
              <w:left w:val="nil"/>
              <w:bottom w:val="nil"/>
              <w:right w:val="nil"/>
            </w:tcBorders>
            <w:shd w:fill="auto" w:color="auto" w:val="clear"/>
            <w:noWrap/>
            <w:vAlign w:val="bottom"/>
            <w:hideMark/>
          </w:tcPr>
          <w:p w:rsidRDefault="00A66F1F" w:rsidR="00A66F1F" w:rsidRPr="00A66F1F">
            <w:pPr>
              <w:jc w:val="right"/>
              <w:rPr>
                <w:color w:val="000000"/>
              </w:rPr>
            </w:pPr>
            <w:r w:rsidRPr="00A66F1F">
              <w:rPr>
                <w:color w:val="000000"/>
              </w:rPr>
              <w:t>216.466</w:t>
            </w:r>
          </w:p>
        </w:tc>
      </w:tr>
    </w:tbl>
    <w:p w:rsidRDefault="00A66F1F" w:rsidP="00777698" w:rsidR="00A66F1F">
      <w:pPr>
        <w:ind w:firstLine="708"/>
        <w:jc w:val="both"/>
      </w:pPr>
    </w:p>
    <w:p w:rsidRDefault="00615CD0" w:rsidP="00957AED" w:rsidR="00615CD0">
      <w:pPr>
        <w:ind w:firstLine="708"/>
        <w:jc w:val="both"/>
      </w:pPr>
    </w:p>
    <w:p w:rsidRDefault="00204384" w:rsidP="00204384" w:rsidR="00615CD0">
      <w:pPr>
        <w:ind w:firstLine="708"/>
        <w:jc w:val="both"/>
      </w:pPr>
      <w:r>
        <w:t xml:space="preserve">na kojima u prvom prednosnom redu razlučno pravo ima </w:t>
      </w:r>
      <w:r w:rsidR="00615CD0">
        <w:t>Adriatic Assets d.o.o., te se utvrđuje da na tim česticama razlučno pravo nema Raiffeisen-Bezirksbank Klagenfurt reg.Gen.m.b.H, Bahnhofstr. 3., Klagenfurt, Austrija, te stečajni upravitelj i punomoćnica Adriatic Assets d.o.o. izjavljuju da je za ove čestice potrebno uzeti kao procijenjenu vrijednost nekretnina iznos od 36.717.587,00 kn.</w:t>
      </w:r>
    </w:p>
    <w:p w:rsidRDefault="00204384" w:rsidP="00204384" w:rsidR="00204384">
      <w:pPr>
        <w:ind w:firstLine="708"/>
        <w:jc w:val="both"/>
      </w:pPr>
    </w:p>
    <w:p w:rsidRDefault="00204384" w:rsidP="00204384" w:rsidR="00204384">
      <w:pPr>
        <w:ind w:firstLine="708"/>
        <w:jc w:val="both"/>
      </w:pPr>
      <w:r>
        <w:t>Punomoćnica razlučnog vjerovnika Raiffeisen-Bezirksbank Klagenfurt reg.Gen.m.b.H, Bahnhofstr. 3., Klagenfurt, Austrija, predlaže da se vrijednost nekretnina utvrdi prema elaboratu kojeg je dao izraditi stečajni upravitelj, te da se nekretnine prodaju zasebno ovisno o tome koji je razlučni vjerovnik u kojem prednosnom redu, kako bi se kasnije olakšalo namirenje i smatra da nije potrebno čekati 30 dana da se donese odluka u ovom spisu.</w:t>
      </w:r>
    </w:p>
    <w:p w:rsidRDefault="00204384" w:rsidP="00204384" w:rsidR="00204384">
      <w:pPr>
        <w:ind w:firstLine="708"/>
        <w:jc w:val="both"/>
      </w:pPr>
    </w:p>
    <w:p w:rsidRDefault="00204384" w:rsidP="00BE1311" w:rsidR="00204384">
      <w:pPr>
        <w:ind w:firstLine="708"/>
        <w:jc w:val="both"/>
      </w:pPr>
      <w:r>
        <w:t>Sud donosi</w:t>
      </w:r>
    </w:p>
    <w:p w:rsidRDefault="00204384" w:rsidP="00204384" w:rsidR="00204384">
      <w:pPr>
        <w:ind w:firstLine="708"/>
        <w:jc w:val="center"/>
      </w:pPr>
      <w:r>
        <w:t>r j e š e n j e</w:t>
      </w:r>
    </w:p>
    <w:p w:rsidRDefault="00016D05" w:rsidP="00BE1311" w:rsidR="00016D05">
      <w:pPr>
        <w:jc w:val="both"/>
      </w:pPr>
    </w:p>
    <w:p w:rsidRDefault="00204384" w:rsidP="00C5533F" w:rsidR="00615CD0">
      <w:pPr>
        <w:ind w:firstLine="708"/>
        <w:jc w:val="both"/>
      </w:pPr>
      <w:r>
        <w:t xml:space="preserve">S obzirom na </w:t>
      </w:r>
      <w:r w:rsidR="00BE1311">
        <w:t xml:space="preserve">veliku razliku u procjenama VIVAK d.o.o. i TREZOR INVEST d.o.o. za dio nekretnina koje treba unovčiti i činjenicu da se razlučni vjerovnici u prvom i drugom prednosnom redu ne mogu usuglasiti oko cijene koja bi se utvrdila za prodaju nekretnina i to: </w:t>
      </w:r>
    </w:p>
    <w:p w:rsidRDefault="00615CD0" w:rsidP="00C5533F" w:rsidR="00615CD0">
      <w:pPr>
        <w:ind w:firstLine="708"/>
        <w:jc w:val="both"/>
      </w:pPr>
    </w:p>
    <w:tbl>
      <w:tblPr>
        <w:tblW w:type="dxa" w:w="9040"/>
        <w:tblInd w:type="dxa" w:w="93"/>
        <w:tblLook w:val="04A0" w:noVBand="1" w:noHBand="0" w:lastColumn="0" w:firstColumn="1" w:lastRow="0" w:firstRow="1"/>
      </w:tblPr>
      <w:tblGrid>
        <w:gridCol w:w="460"/>
        <w:gridCol w:w="960"/>
        <w:gridCol w:w="1220"/>
        <w:gridCol w:w="960"/>
        <w:gridCol w:w="3100"/>
        <w:gridCol w:w="1160"/>
        <w:gridCol w:w="1180"/>
      </w:tblGrid>
      <w:tr w:rsidTr="00BE1311" w:rsidR="00BE1311" w:rsidRPr="00615CD0">
        <w:trPr>
          <w:trHeight w:val="330"/>
        </w:trPr>
        <w:tc>
          <w:tcPr>
            <w:tcW w:type="dxa" w:w="460"/>
            <w:tcBorders>
              <w:top w:space="0" w:sz="8" w:color="auto" w:val="single"/>
              <w:left w:space="0" w:sz="4" w:color="auto" w:val="single"/>
              <w:bottom w:space="0" w:sz="8" w:color="auto" w:val="single"/>
              <w:right w:space="0" w:sz="8" w:color="auto" w:val="single"/>
            </w:tcBorders>
            <w:shd w:fill="auto" w:color="auto" w:val="clear"/>
            <w:vAlign w:val="bottom"/>
            <w:hideMark/>
          </w:tcPr>
          <w:p w:rsidRDefault="00BE1311" w:rsidP="00BE1311" w:rsidR="00BE1311" w:rsidRPr="00615CD0">
            <w:pPr>
              <w:jc w:val="center"/>
              <w:rPr>
                <w:b/>
                <w:bCs/>
                <w:color w:val="000000"/>
              </w:rPr>
            </w:pPr>
            <w:r w:rsidRPr="00615CD0">
              <w:rPr>
                <w:b/>
                <w:bCs/>
                <w:color w:val="000000"/>
              </w:rPr>
              <w:t>rb</w:t>
            </w:r>
          </w:p>
        </w:tc>
        <w:tc>
          <w:tcPr>
            <w:tcW w:type="dxa" w:w="960"/>
            <w:tcBorders>
              <w:top w:space="0" w:sz="8" w:color="auto" w:val="single"/>
              <w:left w:val="nil"/>
              <w:bottom w:space="0" w:sz="8" w:color="auto" w:val="single"/>
              <w:right w:space="0" w:sz="8" w:color="auto" w:val="single"/>
            </w:tcBorders>
            <w:shd w:fill="auto" w:color="auto" w:val="clear"/>
            <w:vAlign w:val="bottom"/>
            <w:hideMark/>
          </w:tcPr>
          <w:p w:rsidRDefault="00BE1311" w:rsidP="00BE1311" w:rsidR="00BE1311" w:rsidRPr="00615CD0">
            <w:pPr>
              <w:jc w:val="center"/>
              <w:rPr>
                <w:b/>
                <w:bCs/>
                <w:color w:val="000000"/>
              </w:rPr>
            </w:pPr>
            <w:r w:rsidRPr="00615CD0">
              <w:rPr>
                <w:b/>
                <w:bCs/>
                <w:color w:val="000000"/>
              </w:rPr>
              <w:t xml:space="preserve">zk. ul. </w:t>
            </w:r>
          </w:p>
        </w:tc>
        <w:tc>
          <w:tcPr>
            <w:tcW w:type="dxa" w:w="1220"/>
            <w:tcBorders>
              <w:top w:space="0" w:sz="8" w:color="auto" w:val="single"/>
              <w:left w:val="nil"/>
              <w:bottom w:space="0" w:sz="8" w:color="auto" w:val="single"/>
              <w:right w:space="0" w:sz="8" w:color="auto" w:val="single"/>
            </w:tcBorders>
            <w:shd w:fill="auto" w:color="auto" w:val="clear"/>
            <w:vAlign w:val="bottom"/>
            <w:hideMark/>
          </w:tcPr>
          <w:p w:rsidRDefault="00BE1311" w:rsidP="00BE1311" w:rsidR="00BE1311" w:rsidRPr="00615CD0">
            <w:pPr>
              <w:jc w:val="center"/>
              <w:rPr>
                <w:b/>
                <w:bCs/>
                <w:color w:val="000000"/>
              </w:rPr>
            </w:pPr>
            <w:r w:rsidRPr="00615CD0">
              <w:rPr>
                <w:b/>
                <w:bCs/>
                <w:color w:val="000000"/>
              </w:rPr>
              <w:t>k.o.</w:t>
            </w:r>
          </w:p>
        </w:tc>
        <w:tc>
          <w:tcPr>
            <w:tcW w:type="dxa" w:w="960"/>
            <w:tcBorders>
              <w:top w:space="0" w:sz="8" w:color="auto" w:val="single"/>
              <w:left w:val="nil"/>
              <w:bottom w:space="0" w:sz="8" w:color="auto" w:val="single"/>
              <w:right w:space="0" w:sz="8" w:color="auto" w:val="single"/>
            </w:tcBorders>
            <w:shd w:fill="auto" w:color="auto" w:val="clear"/>
            <w:vAlign w:val="bottom"/>
            <w:hideMark/>
          </w:tcPr>
          <w:p w:rsidRDefault="00BE1311" w:rsidP="00BE1311" w:rsidR="00BE1311" w:rsidRPr="00615CD0">
            <w:pPr>
              <w:jc w:val="center"/>
              <w:rPr>
                <w:b/>
                <w:bCs/>
                <w:color w:val="000000"/>
              </w:rPr>
            </w:pPr>
            <w:r w:rsidRPr="00615CD0">
              <w:rPr>
                <w:b/>
                <w:bCs/>
                <w:color w:val="000000"/>
              </w:rPr>
              <w:t>kč. br.</w:t>
            </w:r>
          </w:p>
        </w:tc>
        <w:tc>
          <w:tcPr>
            <w:tcW w:type="dxa" w:w="3100"/>
            <w:tcBorders>
              <w:top w:space="0" w:sz="8" w:color="auto" w:val="single"/>
              <w:left w:val="nil"/>
              <w:bottom w:space="0" w:sz="8" w:color="auto" w:val="single"/>
              <w:right w:space="0" w:sz="8" w:color="auto" w:val="single"/>
            </w:tcBorders>
            <w:shd w:fill="auto" w:color="auto" w:val="clear"/>
            <w:vAlign w:val="bottom"/>
            <w:hideMark/>
          </w:tcPr>
          <w:p w:rsidRDefault="00BE1311" w:rsidP="00BE1311" w:rsidR="00BE1311" w:rsidRPr="00615CD0">
            <w:pPr>
              <w:jc w:val="center"/>
              <w:rPr>
                <w:b/>
                <w:bCs/>
                <w:color w:val="000000"/>
              </w:rPr>
            </w:pPr>
            <w:r w:rsidRPr="00615CD0">
              <w:rPr>
                <w:b/>
                <w:bCs/>
                <w:color w:val="000000"/>
              </w:rPr>
              <w:t>u naravi</w:t>
            </w:r>
          </w:p>
        </w:tc>
        <w:tc>
          <w:tcPr>
            <w:tcW w:type="dxa" w:w="1160"/>
            <w:tcBorders>
              <w:top w:space="0" w:sz="8" w:color="auto" w:val="single"/>
              <w:left w:val="nil"/>
              <w:bottom w:space="0" w:sz="8" w:color="auto" w:val="single"/>
              <w:right w:space="0" w:sz="8" w:color="auto" w:val="single"/>
            </w:tcBorders>
            <w:shd w:fill="auto" w:color="auto" w:val="clear"/>
            <w:vAlign w:val="bottom"/>
            <w:hideMark/>
          </w:tcPr>
          <w:p w:rsidRDefault="00BE1311" w:rsidP="00BE1311" w:rsidR="00BE1311" w:rsidRPr="00615CD0">
            <w:pPr>
              <w:jc w:val="center"/>
              <w:rPr>
                <w:b/>
                <w:bCs/>
                <w:color w:val="000000"/>
              </w:rPr>
            </w:pPr>
            <w:r w:rsidRPr="00615CD0">
              <w:rPr>
                <w:b/>
                <w:bCs/>
                <w:color w:val="000000"/>
              </w:rPr>
              <w:t>P (čhv)</w:t>
            </w:r>
          </w:p>
        </w:tc>
        <w:tc>
          <w:tcPr>
            <w:tcW w:type="dxa" w:w="1180"/>
            <w:tcBorders>
              <w:top w:space="0" w:sz="8" w:color="auto" w:val="single"/>
              <w:left w:val="nil"/>
              <w:bottom w:space="0" w:sz="8" w:color="auto" w:val="single"/>
              <w:right w:space="0" w:sz="8" w:color="auto" w:val="single"/>
            </w:tcBorders>
            <w:shd w:fill="auto" w:color="auto" w:val="clear"/>
            <w:vAlign w:val="bottom"/>
            <w:hideMark/>
          </w:tcPr>
          <w:p w:rsidRDefault="00BE1311" w:rsidP="00BE1311" w:rsidR="00BE1311" w:rsidRPr="00615CD0">
            <w:pPr>
              <w:jc w:val="center"/>
              <w:rPr>
                <w:b/>
                <w:bCs/>
                <w:color w:val="000000"/>
              </w:rPr>
            </w:pPr>
            <w:r w:rsidRPr="00615CD0">
              <w:rPr>
                <w:b/>
                <w:bCs/>
                <w:color w:val="000000"/>
              </w:rPr>
              <w:t>P (m2)</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156</w:t>
            </w:r>
          </w:p>
        </w:tc>
        <w:tc>
          <w:tcPr>
            <w:tcW w:type="dxa" w:w="1220"/>
            <w:tcBorders>
              <w:top w:space="0" w:sz="4" w:color="auto" w:val="single"/>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342/5</w:t>
            </w:r>
          </w:p>
        </w:tc>
        <w:tc>
          <w:tcPr>
            <w:tcW w:type="dxa" w:w="3100"/>
            <w:tcBorders>
              <w:top w:space="0" w:sz="4" w:color="auto" w:val="single"/>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 Sokolovićka u Vušivka</w:t>
            </w:r>
          </w:p>
        </w:tc>
        <w:tc>
          <w:tcPr>
            <w:tcW w:type="dxa" w:w="1160"/>
            <w:tcBorders>
              <w:top w:space="0" w:sz="4" w:color="auto" w:val="single"/>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816 čhv</w:t>
            </w:r>
          </w:p>
        </w:tc>
        <w:tc>
          <w:tcPr>
            <w:tcW w:type="dxa" w:w="1180"/>
            <w:tcBorders>
              <w:top w:space="0" w:sz="4" w:color="auto" w:val="single"/>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2.935</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2</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671</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756/10</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 xml:space="preserve">oranica </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3.106</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3</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447</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343/3</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 Vušivka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917 čhv</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3.298</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4</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456</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343/2</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 Vušivka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xml:space="preserve">867 čhv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3.118</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5</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238</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342/4</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 Sokolovićka u Vušivka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816 čhv</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2.935</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lastRenderedPageBreak/>
              <w:t>6</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430</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346/2</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3.248</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7</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430</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346/4</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put</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59</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8</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15839</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348/14</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1.308</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9</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19</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345/1</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 xml:space="preserve">oranica Kalinovo </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2.522</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10</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429</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346/1</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3.779</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11</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429</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Goli Breg</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346/3</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put</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39</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12</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556</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771/1</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 Zastavnica u Dugavi</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321 čhv</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1.155</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13</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4406</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774/1</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2.441</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14</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4406</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774/2</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 </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4.705</w:t>
            </w:r>
          </w:p>
        </w:tc>
      </w:tr>
      <w:tr w:rsidTr="00BE1311" w:rsidR="00BE1311" w:rsidRPr="00615CD0">
        <w:trPr>
          <w:trHeight w:val="315"/>
        </w:trPr>
        <w:tc>
          <w:tcPr>
            <w:tcW w:type="dxa" w:w="460"/>
            <w:tcBorders>
              <w:top w:val="nil"/>
              <w:left w:space="0" w:sz="4" w:color="auto" w:val="single"/>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15</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4441</w:t>
            </w:r>
          </w:p>
        </w:tc>
        <w:tc>
          <w:tcPr>
            <w:tcW w:type="dxa" w:w="122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Demerje</w:t>
            </w:r>
          </w:p>
        </w:tc>
        <w:tc>
          <w:tcPr>
            <w:tcW w:type="dxa" w:w="9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777</w:t>
            </w:r>
          </w:p>
        </w:tc>
        <w:tc>
          <w:tcPr>
            <w:tcW w:type="dxa" w:w="310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rPr>
                <w:color w:val="000000"/>
              </w:rPr>
            </w:pPr>
            <w:r w:rsidRPr="00615CD0">
              <w:rPr>
                <w:color w:val="000000"/>
              </w:rPr>
              <w:t>oranica</w:t>
            </w:r>
          </w:p>
        </w:tc>
        <w:tc>
          <w:tcPr>
            <w:tcW w:type="dxa" w:w="116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center"/>
              <w:rPr>
                <w:color w:val="000000"/>
              </w:rPr>
            </w:pPr>
            <w:r w:rsidRPr="00615CD0">
              <w:rPr>
                <w:color w:val="000000"/>
              </w:rPr>
              <w:t>1085 čhv</w:t>
            </w:r>
          </w:p>
        </w:tc>
        <w:tc>
          <w:tcPr>
            <w:tcW w:type="dxa" w:w="1180"/>
            <w:tcBorders>
              <w:top w:val="nil"/>
              <w:left w:val="nil"/>
              <w:bottom w:space="0" w:sz="4" w:color="auto" w:val="single"/>
              <w:right w:space="0" w:sz="4" w:color="auto" w:val="single"/>
            </w:tcBorders>
            <w:shd w:fill="auto" w:color="auto" w:val="clear"/>
            <w:noWrap/>
            <w:vAlign w:val="bottom"/>
            <w:hideMark/>
          </w:tcPr>
          <w:p w:rsidRDefault="00BE1311" w:rsidP="00BE1311" w:rsidR="00BE1311" w:rsidRPr="00615CD0">
            <w:pPr>
              <w:jc w:val="right"/>
              <w:rPr>
                <w:color w:val="000000"/>
              </w:rPr>
            </w:pPr>
            <w:r w:rsidRPr="00615CD0">
              <w:rPr>
                <w:color w:val="000000"/>
              </w:rPr>
              <w:t>3.902</w:t>
            </w:r>
          </w:p>
        </w:tc>
      </w:tr>
      <w:tr w:rsidTr="00BE1311" w:rsidR="00BE1311" w:rsidRPr="00615CD0">
        <w:trPr>
          <w:trHeight w:val="315"/>
        </w:trPr>
        <w:tc>
          <w:tcPr>
            <w:tcW w:type="dxa" w:w="460"/>
            <w:tcBorders>
              <w:top w:val="nil"/>
              <w:left w:val="nil"/>
              <w:bottom w:val="nil"/>
              <w:right w:val="nil"/>
            </w:tcBorders>
            <w:shd w:fill="auto" w:color="auto" w:val="clear"/>
            <w:noWrap/>
            <w:vAlign w:val="bottom"/>
            <w:hideMark/>
          </w:tcPr>
          <w:p w:rsidRDefault="00BE1311" w:rsidP="00BE1311" w:rsidR="00BE1311" w:rsidRPr="00615CD0">
            <w:pPr>
              <w:rPr>
                <w:color w:val="000000"/>
              </w:rPr>
            </w:pPr>
          </w:p>
        </w:tc>
        <w:tc>
          <w:tcPr>
            <w:tcW w:type="dxa" w:w="960"/>
            <w:tcBorders>
              <w:top w:val="nil"/>
              <w:left w:val="nil"/>
              <w:bottom w:val="nil"/>
              <w:right w:val="nil"/>
            </w:tcBorders>
            <w:shd w:fill="auto" w:color="auto" w:val="clear"/>
            <w:noWrap/>
            <w:vAlign w:val="bottom"/>
            <w:hideMark/>
          </w:tcPr>
          <w:p w:rsidRDefault="00BE1311" w:rsidP="00BE1311" w:rsidR="00BE1311" w:rsidRPr="00615CD0">
            <w:pPr>
              <w:rPr>
                <w:color w:val="000000"/>
              </w:rPr>
            </w:pPr>
          </w:p>
        </w:tc>
        <w:tc>
          <w:tcPr>
            <w:tcW w:type="dxa" w:w="1220"/>
            <w:tcBorders>
              <w:top w:val="nil"/>
              <w:left w:val="nil"/>
              <w:bottom w:val="nil"/>
              <w:right w:val="nil"/>
            </w:tcBorders>
            <w:shd w:fill="auto" w:color="auto" w:val="clear"/>
            <w:noWrap/>
            <w:vAlign w:val="bottom"/>
            <w:hideMark/>
          </w:tcPr>
          <w:p w:rsidRDefault="00BE1311" w:rsidP="00BE1311" w:rsidR="00BE1311" w:rsidRPr="00615CD0">
            <w:pPr>
              <w:rPr>
                <w:color w:val="000000"/>
              </w:rPr>
            </w:pPr>
          </w:p>
        </w:tc>
        <w:tc>
          <w:tcPr>
            <w:tcW w:type="dxa" w:w="960"/>
            <w:tcBorders>
              <w:top w:val="nil"/>
              <w:left w:val="nil"/>
              <w:bottom w:val="nil"/>
              <w:right w:val="nil"/>
            </w:tcBorders>
            <w:shd w:fill="auto" w:color="auto" w:val="clear"/>
            <w:noWrap/>
            <w:vAlign w:val="bottom"/>
            <w:hideMark/>
          </w:tcPr>
          <w:p w:rsidRDefault="00BE1311" w:rsidP="00BE1311" w:rsidR="00BE1311" w:rsidRPr="00615CD0">
            <w:pPr>
              <w:rPr>
                <w:color w:val="000000"/>
              </w:rPr>
            </w:pPr>
          </w:p>
        </w:tc>
        <w:tc>
          <w:tcPr>
            <w:tcW w:type="dxa" w:w="3100"/>
            <w:tcBorders>
              <w:top w:val="nil"/>
              <w:left w:val="nil"/>
              <w:bottom w:val="nil"/>
              <w:right w:val="nil"/>
            </w:tcBorders>
            <w:shd w:fill="auto" w:color="auto" w:val="clear"/>
            <w:noWrap/>
            <w:vAlign w:val="bottom"/>
            <w:hideMark/>
          </w:tcPr>
          <w:p w:rsidRDefault="00BE1311" w:rsidP="00BE1311" w:rsidR="00BE1311" w:rsidRPr="00615CD0">
            <w:pPr>
              <w:rPr>
                <w:color w:val="000000"/>
              </w:rPr>
            </w:pPr>
          </w:p>
        </w:tc>
        <w:tc>
          <w:tcPr>
            <w:tcW w:type="dxa" w:w="1160"/>
            <w:tcBorders>
              <w:top w:val="nil"/>
              <w:left w:val="nil"/>
              <w:bottom w:val="nil"/>
              <w:right w:val="nil"/>
            </w:tcBorders>
            <w:shd w:fill="auto" w:color="auto" w:val="clear"/>
            <w:noWrap/>
            <w:vAlign w:val="bottom"/>
            <w:hideMark/>
          </w:tcPr>
          <w:p w:rsidRDefault="00BE1311" w:rsidP="00BE1311" w:rsidR="00BE1311" w:rsidRPr="00615CD0">
            <w:pPr>
              <w:rPr>
                <w:color w:val="000000"/>
              </w:rPr>
            </w:pPr>
          </w:p>
        </w:tc>
        <w:tc>
          <w:tcPr>
            <w:tcW w:type="dxa" w:w="1180"/>
            <w:tcBorders>
              <w:top w:val="nil"/>
              <w:left w:val="nil"/>
              <w:bottom w:val="nil"/>
              <w:right w:val="nil"/>
            </w:tcBorders>
            <w:shd w:fill="auto" w:color="auto" w:val="clear"/>
            <w:noWrap/>
            <w:vAlign w:val="bottom"/>
            <w:hideMark/>
          </w:tcPr>
          <w:p w:rsidRDefault="00BE1311" w:rsidP="00BE1311" w:rsidR="00BE1311" w:rsidRPr="00615CD0">
            <w:pPr>
              <w:jc w:val="right"/>
              <w:rPr>
                <w:color w:val="000000"/>
              </w:rPr>
            </w:pPr>
            <w:r w:rsidRPr="00615CD0">
              <w:rPr>
                <w:color w:val="000000"/>
              </w:rPr>
              <w:t>38.550</w:t>
            </w:r>
          </w:p>
        </w:tc>
      </w:tr>
    </w:tbl>
    <w:p w:rsidRDefault="00615CD0" w:rsidP="00C5533F" w:rsidR="00615CD0">
      <w:pPr>
        <w:ind w:firstLine="708"/>
        <w:jc w:val="both"/>
      </w:pPr>
    </w:p>
    <w:p w:rsidRDefault="006357A9" w:rsidP="00C5533F" w:rsidR="006357A9">
      <w:pPr>
        <w:ind w:firstLine="708"/>
        <w:jc w:val="both"/>
      </w:pPr>
    </w:p>
    <w:p w:rsidRDefault="006357A9" w:rsidP="00C5533F" w:rsidR="00615CD0">
      <w:pPr>
        <w:ind w:firstLine="708"/>
        <w:jc w:val="both"/>
      </w:pPr>
      <w:r>
        <w:t xml:space="preserve">od TREZOR INVEST d.o.o. zatražiti će se očitovanje, uz dostavu procjene VIVAK d.o.o. zbog čega je i njihova procjena višestruko manja za iste nekretnine, kako bi se utvrdilo zbog čega je došlo do tako drastičnih razlika u procijenjenim vrijednostima. </w:t>
      </w:r>
    </w:p>
    <w:p w:rsidRDefault="0062157D" w:rsidP="00E8543D" w:rsidR="0062157D">
      <w:pPr>
        <w:jc w:val="both"/>
      </w:pPr>
    </w:p>
    <w:p w:rsidRDefault="0062157D" w:rsidP="00E8543D" w:rsidR="0062157D">
      <w:pPr>
        <w:jc w:val="both"/>
      </w:pPr>
    </w:p>
    <w:p w:rsidRDefault="005F66A5" w:rsidP="00E8543D" w:rsidR="005F66A5" w:rsidRPr="004A1BF3">
      <w:pPr>
        <w:ind w:firstLine="708"/>
      </w:pPr>
      <w:r w:rsidRPr="004A1BF3">
        <w:t>Ovaj zapisnik objaviti će se na mrežnoj stranici e-Oglasna ploča suda.</w:t>
      </w:r>
    </w:p>
    <w:p w:rsidRDefault="00E8543D" w:rsidP="0034432B" w:rsidR="00E8543D">
      <w:pPr>
        <w:jc w:val="both"/>
      </w:pPr>
    </w:p>
    <w:p w:rsidRDefault="00990273" w:rsidP="0034432B" w:rsidR="00990273" w:rsidRPr="004A1BF3">
      <w:pPr>
        <w:jc w:val="both"/>
      </w:pPr>
    </w:p>
    <w:p w:rsidRDefault="0034432B" w:rsidP="00D071A5" w:rsidR="008E1E30" w:rsidRPr="004A1BF3">
      <w:pPr>
        <w:jc w:val="center"/>
      </w:pPr>
      <w:r w:rsidRPr="004A1BF3">
        <w:t xml:space="preserve">Dovršeno u </w:t>
      </w:r>
      <w:r w:rsidR="006357A9">
        <w:t>11,10</w:t>
      </w:r>
      <w:r w:rsidR="00E8543D">
        <w:t xml:space="preserve"> </w:t>
      </w:r>
      <w:r w:rsidRPr="004A1BF3">
        <w:t>sati.</w:t>
      </w:r>
    </w:p>
    <w:sectPr w:rsidSect="0063455E" w:rsidR="008E1E30" w:rsidRPr="004A1BF3">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0EE0" w:rsidR="006C0EE0">
      <w:r>
        <w:separator/>
      </w:r>
    </w:p>
  </w:endnote>
  <w:endnote w:id="0" w:type="continuationSeparator">
    <w:p w:rsidRDefault="006C0EE0" w:rsidR="006C0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0EE0" w:rsidR="006C0EE0">
      <w:r>
        <w:separator/>
      </w:r>
    </w:p>
  </w:footnote>
  <w:footnote w:id="0" w:type="continuationSeparator">
    <w:p w:rsidRDefault="006C0EE0" w:rsidR="006C0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311" w:rsidP="00005E29" w:rsidR="00BE13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311" w:rsidR="00BE13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311" w:rsidP="00005E29" w:rsidR="00BE13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49FB">
      <w:rPr>
        <w:rStyle w:val="Brojstranice"/>
        <w:noProof/>
      </w:rPr>
      <w:t>5</w:t>
    </w:r>
    <w:r>
      <w:rPr>
        <w:rStyle w:val="Brojstranice"/>
      </w:rPr>
      <w:fldChar w:fldCharType="end"/>
    </w:r>
  </w:p>
  <w:p w:rsidRDefault="00BE1311" w:rsidP="004A1BDB" w:rsidR="00BE1311"/>
  <w:p w:rsidRDefault="00BE1311" w:rsidP="004A1BDB" w:rsidR="00BE1311" w:rsidRPr="0074140E">
    <w:pPr>
      <w:ind w:left="5664"/>
    </w:pPr>
    <w:r>
      <w:t>Poslovni broj: 5 St-35/15-70</w:t>
    </w:r>
  </w:p>
  <w:p w:rsidRDefault="00BE1311" w:rsidR="00BE13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720" w:val="num"/>
        </w:tabs>
        <w:ind w:hanging="360" w:left="720"/>
      </w:pPr>
    </w:lvl>
  </w:abstractNum>
  <w:abstractNum w:abstractNumId="1">
    <w:nsid w:val="06521564"/>
    <w:multiLevelType w:val="hybridMultilevel"/>
    <w:tmpl w:val="8C563878"/>
    <w:lvl w:tplc="C6264910"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FE00FAD"/>
    <w:multiLevelType w:val="hybridMultilevel"/>
    <w:tmpl w:val="44E206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B5677F"/>
    <w:multiLevelType w:val="hybridMultilevel"/>
    <w:tmpl w:val="7486CF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2A5CD2"/>
    <w:multiLevelType w:val="hybridMultilevel"/>
    <w:tmpl w:val="E4B8173E"/>
    <w:lvl w:tplc="37C260C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33382BF2"/>
    <w:multiLevelType w:val="hybridMultilevel"/>
    <w:tmpl w:val="020E423E"/>
    <w:lvl w:tplc="E7B6EB3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33B73A29"/>
    <w:multiLevelType w:val="hybridMultilevel"/>
    <w:tmpl w:val="D1204CDC"/>
    <w:lvl w:tplc="2580F8C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36C867E7"/>
    <w:multiLevelType w:val="hybridMultilevel"/>
    <w:tmpl w:val="FEF23F2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B47406"/>
    <w:multiLevelType w:val="hybridMultilevel"/>
    <w:tmpl w:val="19EA9996"/>
    <w:lvl w:tplc="53CE96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5D66F65"/>
    <w:multiLevelType w:val="hybridMultilevel"/>
    <w:tmpl w:val="5CAA8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BA1731"/>
    <w:multiLevelType w:val="hybridMultilevel"/>
    <w:tmpl w:val="5CAA8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3731AA8"/>
    <w:multiLevelType w:val="hybridMultilevel"/>
    <w:tmpl w:val="C42EBC62"/>
    <w:lvl w:tplc="5356913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5CB67979"/>
    <w:multiLevelType w:val="hybridMultilevel"/>
    <w:tmpl w:val="293896EA"/>
    <w:lvl w:tplc="1E90D3B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4881444"/>
    <w:multiLevelType w:val="hybridMultilevel"/>
    <w:tmpl w:val="A454ABF0"/>
    <w:lvl w:tplc="2F182F1E" w:ilvl="0">
      <w:start w:val="1"/>
      <w:numFmt w:val="upperLetter"/>
      <w:lvlText w:val="%1)"/>
      <w:lvlJc w:val="left"/>
      <w:pPr>
        <w:tabs>
          <w:tab w:pos="720" w:val="num"/>
        </w:tabs>
        <w:ind w:hanging="360" w:left="720"/>
      </w:pPr>
      <w:rPr>
        <w:rFonts w:hint="default"/>
      </w:rPr>
    </w:lvl>
    <w:lvl w:tplc="A17A4830"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2DD6052"/>
    <w:multiLevelType w:val="hybridMultilevel"/>
    <w:tmpl w:val="E41C98DC"/>
    <w:lvl w:tplc="A53A4EC8"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5"/>
  </w:num>
  <w:num w:numId="2">
    <w:abstractNumId w:val="12"/>
  </w:num>
  <w:num w:numId="3">
    <w:abstractNumId w:val="13"/>
  </w:num>
  <w:num w:numId="4">
    <w:abstractNumId w:val="3"/>
  </w:num>
  <w:num w:numId="5">
    <w:abstractNumId w:val="14"/>
  </w:num>
  <w:num w:numId="6">
    <w:abstractNumId w:val="6"/>
  </w:num>
  <w:num w:numId="7">
    <w:abstractNumId w:val="1"/>
  </w:num>
  <w:num w:numId="8">
    <w:abstractNumId w:val="11"/>
  </w:num>
  <w:num w:numId="9">
    <w:abstractNumId w:val="2"/>
  </w:num>
  <w:num w:numId="10">
    <w:abstractNumId w:val="5"/>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10"/>
  </w:num>
  <w:num w:numId="16">
    <w:abstractNumId w:val="16"/>
  </w:num>
  <w:num w:numId="17">
    <w:abstractNumId w:val="4"/>
  </w:num>
  <w:num w:numId="18">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06B15"/>
    <w:rsid w:val="00014B7B"/>
    <w:rsid w:val="00014DDD"/>
    <w:rsid w:val="00016D05"/>
    <w:rsid w:val="000271E2"/>
    <w:rsid w:val="000363A5"/>
    <w:rsid w:val="000424E6"/>
    <w:rsid w:val="000472B0"/>
    <w:rsid w:val="00052223"/>
    <w:rsid w:val="00061020"/>
    <w:rsid w:val="000731BE"/>
    <w:rsid w:val="00081711"/>
    <w:rsid w:val="00092DCD"/>
    <w:rsid w:val="000944A2"/>
    <w:rsid w:val="00094AA2"/>
    <w:rsid w:val="000A070F"/>
    <w:rsid w:val="000A5C55"/>
    <w:rsid w:val="000C6C55"/>
    <w:rsid w:val="000D4542"/>
    <w:rsid w:val="000D72CF"/>
    <w:rsid w:val="000D7400"/>
    <w:rsid w:val="000E1FAA"/>
    <w:rsid w:val="000E3C07"/>
    <w:rsid w:val="000E3DC7"/>
    <w:rsid w:val="000F23FB"/>
    <w:rsid w:val="000F4B16"/>
    <w:rsid w:val="001124A2"/>
    <w:rsid w:val="001231AE"/>
    <w:rsid w:val="001240CC"/>
    <w:rsid w:val="00124A0A"/>
    <w:rsid w:val="00143105"/>
    <w:rsid w:val="00167A8F"/>
    <w:rsid w:val="00176F92"/>
    <w:rsid w:val="001862EB"/>
    <w:rsid w:val="00187F68"/>
    <w:rsid w:val="00195C50"/>
    <w:rsid w:val="00197024"/>
    <w:rsid w:val="001A3DF1"/>
    <w:rsid w:val="001A647A"/>
    <w:rsid w:val="001C0CDD"/>
    <w:rsid w:val="001C6922"/>
    <w:rsid w:val="001C7F8F"/>
    <w:rsid w:val="001D06C4"/>
    <w:rsid w:val="001E1D50"/>
    <w:rsid w:val="001E6749"/>
    <w:rsid w:val="001F61DE"/>
    <w:rsid w:val="0020375E"/>
    <w:rsid w:val="00204384"/>
    <w:rsid w:val="00205857"/>
    <w:rsid w:val="00205F29"/>
    <w:rsid w:val="00211F02"/>
    <w:rsid w:val="00222CB4"/>
    <w:rsid w:val="0022685A"/>
    <w:rsid w:val="00253722"/>
    <w:rsid w:val="0026412A"/>
    <w:rsid w:val="00271DF2"/>
    <w:rsid w:val="0027306A"/>
    <w:rsid w:val="00273BF2"/>
    <w:rsid w:val="00277D83"/>
    <w:rsid w:val="00277FF6"/>
    <w:rsid w:val="002C1521"/>
    <w:rsid w:val="002C1534"/>
    <w:rsid w:val="002C1B26"/>
    <w:rsid w:val="002C37EF"/>
    <w:rsid w:val="002D5261"/>
    <w:rsid w:val="002D582B"/>
    <w:rsid w:val="002F464E"/>
    <w:rsid w:val="002F5EBB"/>
    <w:rsid w:val="00301CE4"/>
    <w:rsid w:val="0031583B"/>
    <w:rsid w:val="00315A84"/>
    <w:rsid w:val="003162EB"/>
    <w:rsid w:val="00325EF4"/>
    <w:rsid w:val="003344CF"/>
    <w:rsid w:val="003406A8"/>
    <w:rsid w:val="003409B0"/>
    <w:rsid w:val="00343845"/>
    <w:rsid w:val="0034432B"/>
    <w:rsid w:val="00370DD7"/>
    <w:rsid w:val="00375EAE"/>
    <w:rsid w:val="003A195B"/>
    <w:rsid w:val="003C0B5C"/>
    <w:rsid w:val="003D24EF"/>
    <w:rsid w:val="003D6EC6"/>
    <w:rsid w:val="003F2E0F"/>
    <w:rsid w:val="003F5052"/>
    <w:rsid w:val="0040146C"/>
    <w:rsid w:val="0040701D"/>
    <w:rsid w:val="004158C6"/>
    <w:rsid w:val="00425C7A"/>
    <w:rsid w:val="00431644"/>
    <w:rsid w:val="00446314"/>
    <w:rsid w:val="0045239D"/>
    <w:rsid w:val="0045604F"/>
    <w:rsid w:val="00456A04"/>
    <w:rsid w:val="00466939"/>
    <w:rsid w:val="004722CC"/>
    <w:rsid w:val="0048343E"/>
    <w:rsid w:val="00484F3F"/>
    <w:rsid w:val="00491E2A"/>
    <w:rsid w:val="00497966"/>
    <w:rsid w:val="004A1BDB"/>
    <w:rsid w:val="004A1BF3"/>
    <w:rsid w:val="004A4C35"/>
    <w:rsid w:val="004B0DC2"/>
    <w:rsid w:val="004B3506"/>
    <w:rsid w:val="004D2836"/>
    <w:rsid w:val="004D58FA"/>
    <w:rsid w:val="004E57B7"/>
    <w:rsid w:val="004F35E9"/>
    <w:rsid w:val="005005F9"/>
    <w:rsid w:val="00511BDD"/>
    <w:rsid w:val="00512555"/>
    <w:rsid w:val="00522286"/>
    <w:rsid w:val="005263B7"/>
    <w:rsid w:val="005316EA"/>
    <w:rsid w:val="00557DA5"/>
    <w:rsid w:val="00560D4A"/>
    <w:rsid w:val="00566F7F"/>
    <w:rsid w:val="00571CBD"/>
    <w:rsid w:val="005820DB"/>
    <w:rsid w:val="00585EE4"/>
    <w:rsid w:val="00590ADB"/>
    <w:rsid w:val="005B025E"/>
    <w:rsid w:val="005B2A39"/>
    <w:rsid w:val="005C2681"/>
    <w:rsid w:val="005C4E28"/>
    <w:rsid w:val="005C54E4"/>
    <w:rsid w:val="005D7DD8"/>
    <w:rsid w:val="005F66A5"/>
    <w:rsid w:val="00615CD0"/>
    <w:rsid w:val="006179EA"/>
    <w:rsid w:val="0062157D"/>
    <w:rsid w:val="0063455E"/>
    <w:rsid w:val="006357A9"/>
    <w:rsid w:val="00652763"/>
    <w:rsid w:val="00663BC1"/>
    <w:rsid w:val="006649E9"/>
    <w:rsid w:val="00670C04"/>
    <w:rsid w:val="00670F89"/>
    <w:rsid w:val="00677879"/>
    <w:rsid w:val="00680051"/>
    <w:rsid w:val="00681486"/>
    <w:rsid w:val="00686F77"/>
    <w:rsid w:val="0069756A"/>
    <w:rsid w:val="006A208F"/>
    <w:rsid w:val="006A2936"/>
    <w:rsid w:val="006A2CCE"/>
    <w:rsid w:val="006A63C4"/>
    <w:rsid w:val="006B04A1"/>
    <w:rsid w:val="006B1751"/>
    <w:rsid w:val="006B2424"/>
    <w:rsid w:val="006C0EE0"/>
    <w:rsid w:val="006C2954"/>
    <w:rsid w:val="006D4944"/>
    <w:rsid w:val="006D55B2"/>
    <w:rsid w:val="006E6AC5"/>
    <w:rsid w:val="006F61C6"/>
    <w:rsid w:val="00711407"/>
    <w:rsid w:val="007130A8"/>
    <w:rsid w:val="00713A8B"/>
    <w:rsid w:val="0073358D"/>
    <w:rsid w:val="007402AA"/>
    <w:rsid w:val="0074140E"/>
    <w:rsid w:val="007430AA"/>
    <w:rsid w:val="00745F67"/>
    <w:rsid w:val="00752F3C"/>
    <w:rsid w:val="0075312E"/>
    <w:rsid w:val="007625ED"/>
    <w:rsid w:val="007715C3"/>
    <w:rsid w:val="007718E6"/>
    <w:rsid w:val="007736A2"/>
    <w:rsid w:val="00773CB0"/>
    <w:rsid w:val="00777698"/>
    <w:rsid w:val="007803ED"/>
    <w:rsid w:val="007853E1"/>
    <w:rsid w:val="00792179"/>
    <w:rsid w:val="00795956"/>
    <w:rsid w:val="007975B3"/>
    <w:rsid w:val="00797963"/>
    <w:rsid w:val="007A0044"/>
    <w:rsid w:val="007A146E"/>
    <w:rsid w:val="007A3CC4"/>
    <w:rsid w:val="007A5D60"/>
    <w:rsid w:val="007B3423"/>
    <w:rsid w:val="007E1B31"/>
    <w:rsid w:val="007E2457"/>
    <w:rsid w:val="007E4732"/>
    <w:rsid w:val="007F4199"/>
    <w:rsid w:val="007F7265"/>
    <w:rsid w:val="00807F0E"/>
    <w:rsid w:val="00815CF1"/>
    <w:rsid w:val="00822274"/>
    <w:rsid w:val="00831A21"/>
    <w:rsid w:val="008343BB"/>
    <w:rsid w:val="0084572C"/>
    <w:rsid w:val="00847EFF"/>
    <w:rsid w:val="0085166D"/>
    <w:rsid w:val="00851A46"/>
    <w:rsid w:val="00860291"/>
    <w:rsid w:val="008759D6"/>
    <w:rsid w:val="00885C3A"/>
    <w:rsid w:val="0088617C"/>
    <w:rsid w:val="00890705"/>
    <w:rsid w:val="008A010A"/>
    <w:rsid w:val="008A296C"/>
    <w:rsid w:val="008A7E6F"/>
    <w:rsid w:val="008C2CBB"/>
    <w:rsid w:val="008D16FA"/>
    <w:rsid w:val="008E0D44"/>
    <w:rsid w:val="008E1E30"/>
    <w:rsid w:val="008E5F77"/>
    <w:rsid w:val="008F00E3"/>
    <w:rsid w:val="008F7258"/>
    <w:rsid w:val="00900510"/>
    <w:rsid w:val="00900D2C"/>
    <w:rsid w:val="00930ECA"/>
    <w:rsid w:val="0094672E"/>
    <w:rsid w:val="00951A35"/>
    <w:rsid w:val="009525FC"/>
    <w:rsid w:val="00957AED"/>
    <w:rsid w:val="009768BF"/>
    <w:rsid w:val="00985182"/>
    <w:rsid w:val="00990273"/>
    <w:rsid w:val="009A050C"/>
    <w:rsid w:val="009A3287"/>
    <w:rsid w:val="009A47AF"/>
    <w:rsid w:val="009A5125"/>
    <w:rsid w:val="009B4A39"/>
    <w:rsid w:val="009B4BC8"/>
    <w:rsid w:val="009C0243"/>
    <w:rsid w:val="009C7A56"/>
    <w:rsid w:val="009E363C"/>
    <w:rsid w:val="009F448D"/>
    <w:rsid w:val="009F60BE"/>
    <w:rsid w:val="009F62C1"/>
    <w:rsid w:val="00A009A1"/>
    <w:rsid w:val="00A07DDB"/>
    <w:rsid w:val="00A118B6"/>
    <w:rsid w:val="00A32E90"/>
    <w:rsid w:val="00A366E4"/>
    <w:rsid w:val="00A418EF"/>
    <w:rsid w:val="00A44245"/>
    <w:rsid w:val="00A44DE7"/>
    <w:rsid w:val="00A47661"/>
    <w:rsid w:val="00A51637"/>
    <w:rsid w:val="00A6342A"/>
    <w:rsid w:val="00A63B24"/>
    <w:rsid w:val="00A65617"/>
    <w:rsid w:val="00A66F1F"/>
    <w:rsid w:val="00A72D02"/>
    <w:rsid w:val="00A767C8"/>
    <w:rsid w:val="00A85ED0"/>
    <w:rsid w:val="00A867E6"/>
    <w:rsid w:val="00A95739"/>
    <w:rsid w:val="00A96EAF"/>
    <w:rsid w:val="00AA3E3B"/>
    <w:rsid w:val="00AC035A"/>
    <w:rsid w:val="00AE2BE8"/>
    <w:rsid w:val="00AF212C"/>
    <w:rsid w:val="00AF32D9"/>
    <w:rsid w:val="00B20A2D"/>
    <w:rsid w:val="00B23CE7"/>
    <w:rsid w:val="00B24F78"/>
    <w:rsid w:val="00B3049A"/>
    <w:rsid w:val="00B47697"/>
    <w:rsid w:val="00B51AD6"/>
    <w:rsid w:val="00B52077"/>
    <w:rsid w:val="00B53FF6"/>
    <w:rsid w:val="00B66364"/>
    <w:rsid w:val="00B8777B"/>
    <w:rsid w:val="00BA12BE"/>
    <w:rsid w:val="00BA5861"/>
    <w:rsid w:val="00BA6FB4"/>
    <w:rsid w:val="00BC2546"/>
    <w:rsid w:val="00BD1E94"/>
    <w:rsid w:val="00BD58E8"/>
    <w:rsid w:val="00BE1065"/>
    <w:rsid w:val="00BE1311"/>
    <w:rsid w:val="00BF54A4"/>
    <w:rsid w:val="00C01EF5"/>
    <w:rsid w:val="00C12F02"/>
    <w:rsid w:val="00C13F75"/>
    <w:rsid w:val="00C170A9"/>
    <w:rsid w:val="00C26141"/>
    <w:rsid w:val="00C320DE"/>
    <w:rsid w:val="00C43CC2"/>
    <w:rsid w:val="00C5533F"/>
    <w:rsid w:val="00C55E7C"/>
    <w:rsid w:val="00C578B7"/>
    <w:rsid w:val="00C80B1A"/>
    <w:rsid w:val="00C85804"/>
    <w:rsid w:val="00C94A10"/>
    <w:rsid w:val="00CA31C8"/>
    <w:rsid w:val="00CB0470"/>
    <w:rsid w:val="00CB5E78"/>
    <w:rsid w:val="00CB7FBD"/>
    <w:rsid w:val="00CC4771"/>
    <w:rsid w:val="00CC5AC6"/>
    <w:rsid w:val="00CD10AB"/>
    <w:rsid w:val="00CD19C5"/>
    <w:rsid w:val="00CF062D"/>
    <w:rsid w:val="00CF63BE"/>
    <w:rsid w:val="00D071A5"/>
    <w:rsid w:val="00D14586"/>
    <w:rsid w:val="00D238AB"/>
    <w:rsid w:val="00D26B5F"/>
    <w:rsid w:val="00D32E75"/>
    <w:rsid w:val="00D34A3E"/>
    <w:rsid w:val="00D45CD2"/>
    <w:rsid w:val="00D47080"/>
    <w:rsid w:val="00D6140F"/>
    <w:rsid w:val="00D65D66"/>
    <w:rsid w:val="00D767A5"/>
    <w:rsid w:val="00D813AC"/>
    <w:rsid w:val="00D8721C"/>
    <w:rsid w:val="00DA58B0"/>
    <w:rsid w:val="00DB6A90"/>
    <w:rsid w:val="00DC5B94"/>
    <w:rsid w:val="00DC6AB6"/>
    <w:rsid w:val="00DD4E8C"/>
    <w:rsid w:val="00DE1B6B"/>
    <w:rsid w:val="00DF226E"/>
    <w:rsid w:val="00DF3DBC"/>
    <w:rsid w:val="00E02425"/>
    <w:rsid w:val="00E1306D"/>
    <w:rsid w:val="00E17840"/>
    <w:rsid w:val="00E20C5F"/>
    <w:rsid w:val="00E47BF7"/>
    <w:rsid w:val="00E509B4"/>
    <w:rsid w:val="00E71DE0"/>
    <w:rsid w:val="00E80065"/>
    <w:rsid w:val="00E8543D"/>
    <w:rsid w:val="00E869C8"/>
    <w:rsid w:val="00EA17AA"/>
    <w:rsid w:val="00EA5CAD"/>
    <w:rsid w:val="00EA6CA4"/>
    <w:rsid w:val="00EB0C04"/>
    <w:rsid w:val="00EB3991"/>
    <w:rsid w:val="00EC02EF"/>
    <w:rsid w:val="00EC7739"/>
    <w:rsid w:val="00ED30CA"/>
    <w:rsid w:val="00ED3537"/>
    <w:rsid w:val="00EE46E6"/>
    <w:rsid w:val="00EF5043"/>
    <w:rsid w:val="00F01A3C"/>
    <w:rsid w:val="00F1027A"/>
    <w:rsid w:val="00F14608"/>
    <w:rsid w:val="00F22103"/>
    <w:rsid w:val="00F360A2"/>
    <w:rsid w:val="00F44787"/>
    <w:rsid w:val="00F55013"/>
    <w:rsid w:val="00F637BE"/>
    <w:rsid w:val="00F7214E"/>
    <w:rsid w:val="00F749FB"/>
    <w:rsid w:val="00F83603"/>
    <w:rsid w:val="00FA1C19"/>
    <w:rsid w:val="00FB6725"/>
    <w:rsid w:val="00FB6835"/>
    <w:rsid w:val="00FC35A8"/>
    <w:rsid w:val="00FD22B8"/>
    <w:rsid w:val="00FD2B93"/>
    <w:rsid w:val="00FD7F3A"/>
    <w:rsid w:val="00FE0491"/>
    <w:rsid w:val="00FF33F3"/>
    <w:rsid w:val="00FF36CF"/>
    <w:rsid w:val="00FF511B"/>
    <w:rsid w:val="00FF5918"/>
    <w:rsid w:val="00FF7A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cs="Tahoma" w:hAnsi="Tahoma" w:ascii="Tahoma"/>
      <w:sz w:val="16"/>
      <w:szCs w:val="16"/>
    </w:rPr>
  </w:style>
  <w:style w:styleId="Podnoje" w:type="paragraph">
    <w:name w:val="footer"/>
    <w:basedOn w:val="Normal"/>
    <w:link w:val="PodnojeChar"/>
    <w:rsid w:val="005263B7"/>
    <w:pPr>
      <w:tabs>
        <w:tab w:pos="4536" w:val="center"/>
        <w:tab w:pos="9072" w:val="right"/>
      </w:tabs>
    </w:pPr>
  </w:style>
  <w:style w:customStyle="true"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F749FB"/>
    <w:rPr>
      <w:color w:val="808080"/>
      <w:bdr w:space="0" w:sz="0" w:color="auto" w:val="none"/>
      <w:shd w:fill="auto" w:color="auto" w:val="clear"/>
    </w:rPr>
  </w:style>
  <w:style w:customStyle="true" w:styleId="eSPISCCParagraphDefaultFont" w:type="character">
    <w:name w:val="eSPIS_CC_Paragraph Default Font"/>
    <w:basedOn w:val="Zadanifontodlomka"/>
    <w:rsid w:val="00F749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49FB"/>
    <w:rPr>
      <w:bdr w:space="0" w:sz="0" w:color="auto" w:val="none"/>
      <w:shd w:fill="FFFFCC" w:color="auto" w:val="clear"/>
      <w:lang w:val="hr-HR"/>
    </w:rPr>
  </w:style>
  <w:style w:customStyle="true" w:styleId="PozadinaSvijetloCrvena" w:type="character">
    <w:name w:val="Pozadina_SvijetloCrvena"/>
    <w:basedOn w:val="eSPISCCParagraphDefaultFont"/>
    <w:rsid w:val="00F749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49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ascii="Tahoma" w:cs="Tahoma" w:hAnsi="Tahoma"/>
      <w:sz w:val="16"/>
      <w:szCs w:val="16"/>
    </w:rPr>
  </w:style>
  <w:style w:styleId="Podnoje" w:type="paragraph">
    <w:name w:val="footer"/>
    <w:basedOn w:val="Normal"/>
    <w:link w:val="PodnojeChar"/>
    <w:rsid w:val="005263B7"/>
    <w:pPr>
      <w:tabs>
        <w:tab w:pos="4536" w:val="center"/>
        <w:tab w:pos="9072" w:val="right"/>
      </w:tabs>
    </w:pPr>
  </w:style>
  <w:style w:customStyle="1"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F749FB"/>
    <w:rPr>
      <w:color w:val="808080"/>
      <w:bdr w:color="auto" w:space="0" w:sz="0" w:val="none"/>
      <w:shd w:color="auto" w:fill="auto" w:val="clear"/>
    </w:rPr>
  </w:style>
  <w:style w:customStyle="1" w:styleId="eSPISCCParagraphDefaultFont" w:type="character">
    <w:name w:val="eSPIS_CC_Paragraph Default Font"/>
    <w:basedOn w:val="Zadanifontodlomka"/>
    <w:rsid w:val="00F749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49FB"/>
    <w:rPr>
      <w:bdr w:color="auto" w:space="0" w:sz="0" w:val="none"/>
      <w:shd w:color="auto" w:fill="FFFFCC" w:val="clear"/>
      <w:lang w:val="hr-HR"/>
    </w:rPr>
  </w:style>
  <w:style w:customStyle="1" w:styleId="PozadinaSvijetloCrvena" w:type="character">
    <w:name w:val="Pozadina_SvijetloCrvena"/>
    <w:basedOn w:val="eSPISCCParagraphDefaultFont"/>
    <w:rsid w:val="00F749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49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2588023">
      <w:bodyDiv w:val="true"/>
      <w:marLeft w:val="0"/>
      <w:marRight w:val="0"/>
      <w:marTop w:val="0"/>
      <w:marBottom w:val="0"/>
      <w:divBdr>
        <w:top w:space="0" w:sz="0" w:color="auto" w:val="none"/>
        <w:left w:space="0" w:sz="0" w:color="auto" w:val="none"/>
        <w:bottom w:space="0" w:sz="0" w:color="auto" w:val="none"/>
        <w:right w:space="0" w:sz="0" w:color="auto" w:val="none"/>
      </w:divBdr>
    </w:div>
    <w:div w:id="620572843">
      <w:bodyDiv w:val="true"/>
      <w:marLeft w:val="0"/>
      <w:marRight w:val="0"/>
      <w:marTop w:val="0"/>
      <w:marBottom w:val="0"/>
      <w:divBdr>
        <w:top w:space="0" w:sz="0" w:color="auto" w:val="none"/>
        <w:left w:space="0" w:sz="0" w:color="auto" w:val="none"/>
        <w:bottom w:space="0" w:sz="0" w:color="auto" w:val="none"/>
        <w:right w:space="0" w:sz="0" w:color="auto" w:val="none"/>
      </w:divBdr>
    </w:div>
    <w:div w:id="1192842265">
      <w:bodyDiv w:val="true"/>
      <w:marLeft w:val="0"/>
      <w:marRight w:val="0"/>
      <w:marTop w:val="0"/>
      <w:marBottom w:val="0"/>
      <w:divBdr>
        <w:top w:space="0" w:sz="0" w:color="auto" w:val="none"/>
        <w:left w:space="0" w:sz="0" w:color="auto" w:val="none"/>
        <w:bottom w:space="0" w:sz="0" w:color="auto" w:val="none"/>
        <w:right w:space="0" w:sz="0" w:color="auto" w:val="none"/>
      </w:divBdr>
    </w:div>
    <w:div w:id="1232232363">
      <w:bodyDiv w:val="true"/>
      <w:marLeft w:val="0"/>
      <w:marRight w:val="0"/>
      <w:marTop w:val="0"/>
      <w:marBottom w:val="0"/>
      <w:divBdr>
        <w:top w:space="0" w:sz="0" w:color="auto" w:val="none"/>
        <w:left w:space="0" w:sz="0" w:color="auto" w:val="none"/>
        <w:bottom w:space="0" w:sz="0" w:color="auto" w:val="none"/>
        <w:right w:space="0" w:sz="0" w:color="auto" w:val="none"/>
      </w:divBdr>
    </w:div>
    <w:div w:id="1323971321">
      <w:bodyDiv w:val="true"/>
      <w:marLeft w:val="0"/>
      <w:marRight w:val="0"/>
      <w:marTop w:val="0"/>
      <w:marBottom w:val="0"/>
      <w:divBdr>
        <w:top w:space="0" w:sz="0" w:color="auto" w:val="none"/>
        <w:left w:space="0" w:sz="0" w:color="auto" w:val="none"/>
        <w:bottom w:space="0" w:sz="0" w:color="auto" w:val="none"/>
        <w:right w:space="0" w:sz="0" w:color="auto" w:val="none"/>
      </w:divBdr>
    </w:div>
    <w:div w:id="1381006178">
      <w:bodyDiv w:val="true"/>
      <w:marLeft w:val="0"/>
      <w:marRight w:val="0"/>
      <w:marTop w:val="0"/>
      <w:marBottom w:val="0"/>
      <w:divBdr>
        <w:top w:space="0" w:sz="0" w:color="auto" w:val="none"/>
        <w:left w:space="0" w:sz="0" w:color="auto" w:val="none"/>
        <w:bottom w:space="0" w:sz="0" w:color="auto" w:val="none"/>
        <w:right w:space="0" w:sz="0" w:color="auto" w:val="none"/>
      </w:divBdr>
    </w:div>
    <w:div w:id="1606495759">
      <w:bodyDiv w:val="true"/>
      <w:marLeft w:val="0"/>
      <w:marRight w:val="0"/>
      <w:marTop w:val="0"/>
      <w:marBottom w:val="0"/>
      <w:divBdr>
        <w:top w:space="0" w:sz="0" w:color="auto" w:val="none"/>
        <w:left w:space="0" w:sz="0" w:color="auto" w:val="none"/>
        <w:bottom w:space="0" w:sz="0" w:color="auto" w:val="none"/>
        <w:right w:space="0" w:sz="0" w:color="auto" w:val="none"/>
      </w:divBdr>
    </w:div>
    <w:div w:id="1686440189">
      <w:bodyDiv w:val="true"/>
      <w:marLeft w:val="0"/>
      <w:marRight w:val="0"/>
      <w:marTop w:val="0"/>
      <w:marBottom w:val="0"/>
      <w:divBdr>
        <w:top w:space="0" w:sz="0" w:color="auto" w:val="none"/>
        <w:left w:space="0" w:sz="0" w:color="auto" w:val="none"/>
        <w:bottom w:space="0" w:sz="0" w:color="auto" w:val="none"/>
        <w:right w:space="0" w:sz="0" w:color="auto" w:val="none"/>
      </w:divBdr>
    </w:div>
    <w:div w:id="17563900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ožujka 2018.</izvorni_sadrzaj>
    <derivirana_varijabla naziv="DomainObject.StvarniPocetakDatum_1">6. ožujka 2018.</derivirana_varijabla>
  </DomainObject.StvarniPocetakDatum>
  <DomainObject.StvarniZavrsetakDatum>
    <izvorni_sadrzaj>6. ožujka 2018.</izvorni_sadrzaj>
    <derivirana_varijabla naziv="DomainObject.StvarniZavrsetakDatum_1">6. ožujka 2018.</derivirana_varijabla>
  </DomainObject.StvarniZavrsetakDatum>
  <DomainObject.PlaniraniZavrsetakDatum>
    <izvorni_sadrzaj>6. ožujka 2018.</izvorni_sadrzaj>
    <derivirana_varijabla naziv="DomainObject.PlaniraniZavrsetakDatum_1">6. ožujka 2018.</derivirana_varijabla>
  </DomainObject.PlaniraniZavrsetakDatum>
  <DomainObject.PlaniraniPocetakDatum>
    <izvorni_sadrzaj>6. ožujka 2018.</izvorni_sadrzaj>
    <derivirana_varijabla naziv="DomainObject.PlaniraniPocetakDatum_1">6. ožujka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2018.</izvorni_sadrzaj>
    <derivirana_varijabla naziv="DomainObject.Zapisnik.DatumKreiranja_1">6. ožujka 2018.</derivirana_varijabla>
  </DomainObject.Zapisnik.DatumKreiranja>
  <DomainObject.Zapisnik.ImovinskaKorist>
    <izvorni_sadrzaj/>
    <derivirana_varijabla naziv="DomainObject.Zapisnik.ImovinskaKorist_1"/>
  </DomainObject.Zapisnik.ImovinskaKorist>
  <DomainObject.Zapisnik.Oznaka>
    <izvorni_sadrzaj>St-35/2015-70</izvorni_sadrzaj>
    <derivirana_varijabla naziv="DomainObject.Zapisnik.Oznaka_1">St-35/2015-70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2015.</izvorni_sadrzaj>
    <derivirana_varijabla naziv="DomainObject.Predmet.DatumOsnivanja_1">20.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BB NEKRETNINE d.o.o. - nekretnine i usluge u stečaju</izvorni_sadrzaj>
    <derivirana_varijabla naziv="DomainObject.Predmet.ProtustrankaFormated_1">  BB NEKRETNINE d.o.o. - nekretnine i usluge u stečaju</derivirana_varijabla>
  </DomainObject.Predmet.ProtustrankaFormated>
  <DomainObject.Predmet.ProtustrankaFormatedOIB>
    <izvorni_sadrzaj>  BB NEKRETNINE d.o.o. - nekretnine i usluge u stečaju, OIB 57066720584</izvorni_sadrzaj>
    <derivirana_varijabla naziv="DomainObject.Predmet.ProtustrankaFormatedOIB_1">  BB NEKRETNINE d.o.o. - nekretnine i usluge u stečaju, OIB 57066720584</derivirana_varijabla>
  </DomainObject.Predmet.ProtustrankaFormatedOIB>
  <DomainObject.Predmet.ProtustrankaFormatedWithAdress>
    <izvorni_sadrzaj> BB NEKRETNINE d.o.o. - nekretnine i usluge u stečaju, Livadarska 40, 40000 Nedelišće</izvorni_sadrzaj>
    <derivirana_varijabla naziv="DomainObject.Predmet.ProtustrankaFormatedWithAdress_1"> BB NEKRETNINE d.o.o. - nekretnine i usluge u stečaju, Livadarska 40, 40000 Nedelišće</derivirana_varijabla>
  </DomainObject.Predmet.ProtustrankaFormatedWithAdress>
  <DomainObject.Predmet.ProtustrankaFormatedWithAdressOIB>
    <izvorni_sadrzaj> BB NEKRETNINE d.o.o. - nekretnine i usluge u stečaju, OIB 57066720584, Livadarska 40, 40000 Nedelišće</izvorni_sadrzaj>
    <derivirana_varijabla naziv="DomainObject.Predmet.ProtustrankaFormatedWithAdressOIB_1"> BB NEKRETNINE d.o.o. - nekretnine i usluge u stečaju, OIB 57066720584, Livadarska 40, 40000 Nedelišće</derivirana_varijabla>
  </DomainObject.Predmet.ProtustrankaFormatedWithAdressOIB>
  <DomainObject.Predmet.ProtustrankaWithAdress>
    <izvorni_sadrzaj>BB NEKRETNINE d.o.o. - nekretnine i usluge u stečaju Livadarska 40, 40000 Nedelišće</izvorni_sadrzaj>
    <derivirana_varijabla naziv="DomainObject.Predmet.ProtustrankaWithAdress_1">BB NEKRETNINE d.o.o. - nekretnine i usluge u stečaju Livadarska 40, 40000 Nedelišće</derivirana_varijabla>
  </DomainObject.Predmet.ProtustrankaWithAdress>
  <DomainObject.Predmet.ProtustrankaWithAdressOIB>
    <izvorni_sadrzaj>BB NEKRETNINE d.o.o. - nekretnine i usluge u stečaju, OIB 57066720584, Livadarska 40, 40000 Nedelišće</izvorni_sadrzaj>
    <derivirana_varijabla naziv="DomainObject.Predmet.ProtustrankaWithAdressOIB_1">BB NEKRETNINE d.o.o. - nekretnine i usluge u stečaju, OIB 57066720584, Livadarska 40, 40000 Nedelišće</derivirana_varijabla>
  </DomainObject.Predmet.ProtustrankaWithAdressOIB>
  <DomainObject.Predmet.ProtustrankaNazivFormated>
    <izvorni_sadrzaj>BB NEKRETNINE d.o.o. - nekretnine i usluge u stečaju</izvorni_sadrzaj>
    <derivirana_varijabla naziv="DomainObject.Predmet.ProtustrankaNazivFormated_1">BB NEKRETNINE d.o.o. - nekretnine i usluge u stečaju</derivirana_varijabla>
  </DomainObject.Predmet.ProtustrankaNazivFormated>
  <DomainObject.Predmet.ProtustrankaNazivFormatedOIB>
    <izvorni_sadrzaj>BB NEKRETNINE d.o.o. - nekretnine i usluge u stečaju, OIB 57066720584</izvorni_sadrzaj>
    <derivirana_varijabla naziv="DomainObject.Predmet.ProtustrankaNazivFormatedOIB_1">BB NEKRETNINE d.o.o. - nekretnine i usluge u stečaju, OIB 57066720584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BB NEKRETNINE d.o.o. - nekretnine i usluge u stečaju</item>
    </izvorni_sadrzaj>
    <derivirana_varijabla naziv="DomainObject.Predmet.ProtuStrankaListFormated_1">
      <item>BB NEKRETNINE d.o.o. - nekretnine i usluge u stečaju</item>
    </derivirana_varijabla>
  </DomainObject.Predmet.ProtuStrankaListFormated>
  <DomainObject.Predmet.ProtuStrankaListFormatedOIB>
    <izvorni_sadrzaj>
      <item>BB NEKRETNINE d.o.o. - nekretnine i usluge u stečaju, OIB 57066720584</item>
    </izvorni_sadrzaj>
    <derivirana_varijabla naziv="DomainObject.Predmet.ProtuStrankaListFormatedOIB_1">
      <item>BB NEKRETNINE d.o.o. - nekretnine i usluge u stečaju, OIB 57066720584</item>
    </derivirana_varijabla>
  </DomainObject.Predmet.ProtuStrankaListFormatedOIB>
  <DomainObject.Predmet.ProtuStrankaListFormatedWithAdress>
    <izvorni_sadrzaj>
      <item>BB NEKRETNINE d.o.o. - nekretnine i usluge u stečaju, Livadarska 40, 40000 Nedelišće</item>
    </izvorni_sadrzaj>
    <derivirana_varijabla naziv="DomainObject.Predmet.ProtuStrankaListFormatedWithAdress_1">
      <item>BB NEKRETNINE d.o.o. - nekretnine i usluge u stečaju, Livadarska 40, 40000 Nedelišće</item>
    </derivirana_varijabla>
  </DomainObject.Predmet.ProtuStrankaListFormatedWithAdress>
  <DomainObject.Predmet.ProtuStrankaListFormatedWithAdressOIB>
    <izvorni_sadrzaj>
      <item>BB NEKRETNINE d.o.o. - nekretnine i usluge u stečaju, OIB 57066720584, Livadarska 40, 40000 Nedelišće</item>
    </izvorni_sadrzaj>
    <derivirana_varijabla naziv="DomainObject.Predmet.ProtuStrankaListFormatedWithAdressOIB_1">
      <item>BB NEKRETNINE d.o.o. - nekretnine i usluge u stečaju, OIB 57066720584, Livadarska 40, 40000 Nedelišće</item>
    </derivirana_varijabla>
  </DomainObject.Predmet.ProtuStrankaListFormatedWithAdressOIB>
  <DomainObject.Predmet.ProtuStrankaListNazivFormated>
    <izvorni_sadrzaj>
      <item>BB NEKRETNINE d.o.o. - nekretnine i usluge u stečaju</item>
    </izvorni_sadrzaj>
    <derivirana_varijabla naziv="DomainObject.Predmet.ProtuStrankaListNazivFormated_1">
      <item>BB NEKRETNINE d.o.o. - nekretnine i usluge u stečaju</item>
    </derivirana_varijabla>
  </DomainObject.Predmet.ProtuStrankaListNazivFormated>
  <DomainObject.Predmet.ProtuStrankaListNazivFormatedOIB>
    <izvorni_sadrzaj>
      <item>BB NEKRETNINE d.o.o. - nekretnine i usluge u stečaju, OIB 57066720584</item>
    </izvorni_sadrzaj>
    <derivirana_varijabla naziv="DomainObject.Predmet.ProtuStrankaListNazivFormatedOIB_1">
      <item>BB NEKRETNINE d.o.o. - nekretnine i usluge u stečaju, OIB 57066720584</item>
    </derivirana_varijabla>
  </DomainObject.Predmet.ProtuStrankaListNazivFormatedOIB>
  <DomainObject.Predmet.OstaliListFormated>
    <izvorni_sadrzaj>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tem>Adriatic Assets d.o.o. za usluge</item>
    </izvorni_sadrzaj>
    <derivirana_varijabla naziv="DomainObject.Predmet.OstaliListFormated_1">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tem>Adriatic Assets d.o.o. za usluge</item>
    </derivirana_varijabla>
  </DomainObject.Predmet.OstaliListFormated>
  <DomainObject.Predmet.OstaliListFormatedOIB>
    <izvorni_sadrzaj>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item>Adriatic Assets d.o.o. za usluge, OIB 18846383988</item>
    </izvorni_sadrzaj>
    <derivirana_varijabla naziv="DomainObject.Predmet.OstaliListFormatedOIB_1">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item>Adriatic Assets d.o.o. za usluge, OIB 18846383988</item>
    </derivirana_varijabla>
  </DomainObject.Predmet.OstaliListFormatedOIB>
  <DomainObject.Predmet.OstaliListFormatedWithAdress>
    <izvorni_sadrzaj>
      <item>Sudski registar</item>
      <item>Matija Posavec, Livadarska 40, 40305 Nedelišće</item>
      <item>Dražen Vidman, Vladimira Nazora 77, 42240 Ivanec</item>
      <item>Zvonimir Franić, Od Domina 1, 20000 Dubrovnik</item>
      <item>BUTERIN &amp; POSAVEC, odvjetničko društvo, javno trgovačko društvo, Draškovićeva 82, 10000 Zagreb</item>
      <item>Općinski građanski sud u Zagrebu</item>
      <item>Alpe-Adria poslovodstvo društvo s ograničenom odgovornošću za promet nekretnina, Slavonska avenija 6 a, 10000 Zagreb</item>
      <item>Adriatic Assets d.o.o. za usluge, Radnička cesta 80, 10000 Zagreb</item>
    </izvorni_sadrzaj>
    <derivirana_varijabla naziv="DomainObject.Predmet.OstaliListFormatedWithAdress_1">
      <item>Sudski registar</item>
      <item>Matija Posavec, Livadarska 40, 40305 Nedelišće</item>
      <item>Dražen Vidman, Vladimira Nazora 77, 42240 Ivanec</item>
      <item>Zvonimir Franić, Od Domina 1, 20000 Dubrovnik</item>
      <item>BUTERIN &amp; POSAVEC, odvjetničko društvo, javno trgovačko društvo, Draškovićeva 82, 10000 Zagreb</item>
      <item>Općinski građanski sud u Zagrebu</item>
      <item>Alpe-Adria poslovodstvo društvo s ograničenom odgovornošću za promet nekretnina, Slavonska avenija 6 a, 10000 Zagreb</item>
      <item>Adriatic Assets d.o.o. za usluge, Radnička cesta 80, 10000 Zagreb</item>
    </derivirana_varijabla>
  </DomainObject.Predmet.OstaliListFormatedWithAdress>
  <DomainObject.Predmet.OstaliListFormatedWithAdressOIB>
    <izvorni_sadrzaj>
      <item>Sudski registar</item>
      <item>Matija Posavec, OIB 60518735694, Livadarska 40, 40305 Nedelišće</item>
      <item>Dražen Vidman, OIB 42883746819, Vladimira Nazora 77, 42240 Ivanec</item>
      <item>Zvonimir Franić, OIB 96532005830, Od Domina 1, 20000 Dubrovnik</item>
      <item>BUTERIN &amp; POSAVEC, odvjetničko društvo, javno trgovačko društvo, OIB 88443826619, Draškovićeva 82, 10000 Zagreb</item>
      <item>Općinski građanski sud u Zagrebu</item>
      <item>Alpe-Adria poslovodstvo društvo s ograničenom odgovornošću za promet nekretnina, OIB 99488126785, Slavonska avenija 6 a, 10000 Zagreb</item>
      <item>Adriatic Assets d.o.o. za usluge, OIB 18846383988, Radnička cesta 80, 10000 Zagreb</item>
    </izvorni_sadrzaj>
    <derivirana_varijabla naziv="DomainObject.Predmet.OstaliListFormatedWithAdressOIB_1">
      <item>Sudski registar</item>
      <item>Matija Posavec, OIB 60518735694, Livadarska 40, 40305 Nedelišće</item>
      <item>Dražen Vidman, OIB 42883746819, Vladimira Nazora 77, 42240 Ivanec</item>
      <item>Zvonimir Franić, OIB 96532005830, Od Domina 1, 20000 Dubrovnik</item>
      <item>BUTERIN &amp; POSAVEC, odvjetničko društvo, javno trgovačko društvo, OIB 88443826619, Draškovićeva 82, 10000 Zagreb</item>
      <item>Općinski građanski sud u Zagrebu</item>
      <item>Alpe-Adria poslovodstvo društvo s ograničenom odgovornošću za promet nekretnina, OIB 99488126785, Slavonska avenija 6 a, 10000 Zagreb</item>
      <item>Adriatic Assets d.o.o. za usluge, OIB 18846383988, Radnička cesta 80, 10000 Zagreb</item>
    </derivirana_varijabla>
  </DomainObject.Predmet.OstaliListFormatedWithAdressOIB>
  <DomainObject.Predmet.OstaliListNazivFormated>
    <izvorni_sadrzaj>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tem>Adriatic Assets d.o.o. za usluge</item>
    </izvorni_sadrzaj>
    <derivirana_varijabla naziv="DomainObject.Predmet.OstaliListNazivFormated_1">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tem>Adriatic Assets d.o.o. za usluge</item>
    </derivirana_varijabla>
  </DomainObject.Predmet.OstaliListNazivFormated>
  <DomainObject.Predmet.OstaliListNazivFormatedOIB>
    <izvorni_sadrzaj>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item>Adriatic Assets d.o.o. za usluge, OIB 18846383988</item>
    </izvorni_sadrzaj>
    <derivirana_varijabla naziv="DomainObject.Predmet.OstaliListNazivFormatedOIB_1">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item>Adriatic Assets d.o.o. za usluge, OIB 18846383988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St-35/2015-70</izvorni_sadrzaj>
    <derivirana_varijabla naziv="DomainObject.PoslovniBrojDokumenta_1">St-35/2015-70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BB NEKRETNINE d.o.o. - nekretnine i usluge u stečaju</izvorni_sadrzaj>
    <derivirana_varijabla naziv="DomainObject.Predmet.ProtustrankaIDrugi_1">BB NEKRETNINE d.o.o. - nekretnine i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BB NEKRETNINE d.o.o. - nekretnine i usluge u stečaju, OIB 57066720584, Livadarska 40, 40000 Nedelišće</izvorni_sadrzaj>
    <derivirana_varijabla naziv="DomainObject.Predmet.ProtustrankaIDrugiAdressOIB_1">BB NEKRETNINE d.o.o. - nekretnine i usluge u stečaju, OIB 57066720584, Livadarska 40,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BB NEKRETNINE d.o.o. - nekretnine i usluge u stečaju</item>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tem>Adriatic Assets d.o.o. za usluge</item>
    </izvorni_sadrzaj>
    <derivirana_varijabla naziv="DomainObject.Predmet.SudioniciListNaziv_1">
      <item>Financijska agencija</item>
      <item>BB NEKRETNINE d.o.o. - nekretnine i usluge u stečaju</item>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tem>Adriatic Assets d.o.o. za usluge</item>
    </derivirana_varijabla>
  </DomainObject.Predmet.SudioniciListNaziv>
  <DomainObject.Predmet.SudioniciListAdressOIB>
    <izvorni_sadrzaj>
      <item>Financijska agencija, OIB 85821130368</item>
      <item>BB NEKRETNINE d.o.o. - nekretnine i usluge u stečaju, OIB 57066720584, Livadarska 40,40000 Nedelišće</item>
      <item>Sudski registar</item>
      <item>Matija Posavec, OIB 60518735694, Livadarska 40,40305 Nedelišće</item>
      <item>Dražen Vidman, OIB 42883746819, Vladimira Nazora 77,42240 Ivanec</item>
      <item>Zvonimir Franić, OIB 96532005830, Od Domina 1,20000 Dubrovnik</item>
      <item>BUTERIN &amp; POSAVEC, odvjetničko društvo, javno trgovačko društvo, OIB 88443826619, Draškovićeva 82,10000 Zagreb</item>
      <item>Općinski građanski sud u Zagrebu</item>
      <item>Alpe-Adria poslovodstvo društvo s ograničenom odgovornošću za promet nekretnina, OIB 99488126785, Slavonska avenija 6 a,10000 Zagreb</item>
      <item>Adriatic Assets d.o.o. za usluge, OIB 18846383988, Radnička cesta 80,10000 Zagreb</item>
    </izvorni_sadrzaj>
    <derivirana_varijabla naziv="DomainObject.Predmet.SudioniciListAdressOIB_1">
      <item>Financijska agencija, OIB 85821130368</item>
      <item>BB NEKRETNINE d.o.o. - nekretnine i usluge u stečaju, OIB 57066720584, Livadarska 40,40000 Nedelišće</item>
      <item>Sudski registar</item>
      <item>Matija Posavec, OIB 60518735694, Livadarska 40,40305 Nedelišće</item>
      <item>Dražen Vidman, OIB 42883746819, Vladimira Nazora 77,42240 Ivanec</item>
      <item>Zvonimir Franić, OIB 96532005830, Od Domina 1,20000 Dubrovnik</item>
      <item>BUTERIN &amp; POSAVEC, odvjetničko društvo, javno trgovačko društvo, OIB 88443826619, Draškovićeva 82,10000 Zagreb</item>
      <item>Općinski građanski sud u Zagrebu</item>
      <item>Alpe-Adria poslovodstvo društvo s ograničenom odgovornošću za promet nekretnina, OIB 99488126785, Slavonska avenija 6 a,10000 Zagreb</item>
      <item>Adriatic Assets d.o.o. za usluge, OIB 18846383988,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57066720584</item>
      <item>, OIB null</item>
      <item>, OIB 60518735694</item>
      <item>, OIB 42883746819</item>
      <item>, OIB 96532005830</item>
      <item>, OIB 88443826619</item>
      <item>, OIB null</item>
      <item>, OIB 99488126785</item>
      <item>, OIB 18846383988</item>
    </izvorni_sadrzaj>
    <derivirana_varijabla naziv="DomainObject.Predmet.SudioniciListNazivOIB_1">
      <item>, OIB 85821130368</item>
      <item>, OIB 57066720584</item>
      <item>, OIB null</item>
      <item>, OIB 60518735694</item>
      <item>, OIB 42883746819</item>
      <item>, OIB 96532005830</item>
      <item>, OIB 88443826619</item>
      <item>, OIB null</item>
      <item>, OIB 99488126785</item>
      <item>, OIB 18846383988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7B8DCF-971C-4658-9504-A7E0946A33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1330</properties:Words>
  <properties:Characters>6684</properties:Characters>
  <properties:Lines>761</properties:Lines>
  <properties:Paragraphs>590</properties:Paragraphs>
  <properties:TotalTime>419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2015-10-23T11:36:00Z</dcterms:created>
  <dc:creator>jlekic</dc:creator>
  <cp:lastModifiedBy>Lea Rogina</cp:lastModifiedBy>
  <cp:lastPrinted>2018-03-06T10:10:00Z</cp:lastPrinted>
  <dcterms:modified xmlns:xsi="http://www.w3.org/2001/XMLSchema-instance" xsi:type="dcterms:W3CDTF">2018-03-06T11:01:00Z</dcterms:modified>
  <cp:revision>142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St-35/2015-70 / Zapisnik - Ostalo (ST-35-15- ZAPISNIK 6.03.2018..docx)</vt:lpwstr>
  </prop:property>
  <prop:property name="CC_coloring" pid="4" fmtid="{D5CDD505-2E9C-101B-9397-08002B2CF9AE}">
    <vt:bool>false</vt:bool>
  </prop:property>
  <prop:property name="BrojStranica" pid="5" fmtid="{D5CDD505-2E9C-101B-9397-08002B2CF9AE}">
    <vt:i4>5</vt:i4>
  </prop:property>
</prop:Properties>
</file>