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4b96" w14:paraId="4384b96" w:rsidRDefault="00AB4602" w:rsidP="00BB12A9" w:rsidR="00BB12A9">
      <w:pPr>
        <w:pStyle w:val="NormaleSPIS"/>
        <w:ind w:firstLine="0"/>
        <w15:collapsed w:val="false"/>
        <w:rPr>
          <w:rFonts w:hAnsi="Calibri" w:ascii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12A9">
        <w:rPr>
          <w:rFonts w:hAnsi="Calibri" w:ascii="Calibri"/>
        </w:rPr>
        <w:t xml:space="preserve">Jan </w:t>
      </w:r>
      <w:proofErr w:type="spellStart"/>
      <w:r w:rsidR="00BB12A9">
        <w:rPr>
          <w:rFonts w:hAnsi="Calibri" w:ascii="Calibri"/>
        </w:rPr>
        <w:t>Vnouček</w:t>
      </w:r>
      <w:proofErr w:type="spellEnd"/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nositelj obiteljskog poljoprivrednog gospodarstva</w:t>
      </w: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Križevačka cesta 18</w:t>
      </w: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43000 Bjelovar</w:t>
      </w:r>
    </w:p>
    <w:p w:rsidRDefault="00BB12A9" w:rsidP="00BB12A9" w:rsidR="00BB12A9">
      <w:pPr>
        <w:rPr>
          <w:rFonts w:hAnsi="Calibri" w:ascii="Calibri"/>
        </w:rPr>
      </w:pPr>
      <w:proofErr w:type="spellStart"/>
      <w:r>
        <w:rPr>
          <w:rFonts w:hAnsi="Calibri" w:ascii="Calibri"/>
        </w:rPr>
        <w:t>Oib</w:t>
      </w:r>
      <w:proofErr w:type="spellEnd"/>
      <w:r>
        <w:rPr>
          <w:rFonts w:hAnsi="Calibri" w:ascii="Calibri"/>
        </w:rPr>
        <w:t xml:space="preserve"> 21320886879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pStyle w:val="Naslov1"/>
        <w:rPr>
          <w:rFonts w:hAnsi="Calibri" w:ascii="Calibri"/>
          <w:kern w:val="36"/>
          <w:szCs w:val="32"/>
        </w:rPr>
      </w:pPr>
      <w:bookmarkStart w:name="_Toc381801089" w:id="0"/>
      <w:r>
        <w:rPr>
          <w:rFonts w:hAnsi="Calibri" w:ascii="Calibri"/>
          <w:kern w:val="36"/>
        </w:rPr>
        <w:t>PLAN FINANCIJSKOG I OPERATIVNOG RESTRUKTURIRANJA</w:t>
      </w:r>
      <w:bookmarkEnd w:id="0"/>
      <w:r>
        <w:rPr>
          <w:rFonts w:hAnsi="Calibri" w:ascii="Calibri"/>
          <w:kern w:val="36"/>
        </w:rPr>
        <w:t xml:space="preserve"> </w:t>
      </w: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jc w:val="center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sdt>
      <w:sdtPr>
        <w:rPr>
          <w:rFonts w:cstheme="minorBidi" w:eastAsiaTheme="minorHAnsi" w:hAnsi="Calibri" w:ascii="Calibri"/>
          <w:b w:val="false"/>
          <w:bCs w:val="false"/>
          <w:sz w:val="24"/>
          <w:szCs w:val="24"/>
        </w:rPr>
        <w:id w:val="2246802"/>
        <w:docPartObj>
          <w:docPartGallery w:val="Table of Contents"/>
          <w:docPartUnique/>
        </w:docPartObj>
      </w:sdtPr>
      <w:sdtContent>
        <w:p w:rsidRDefault="00BB12A9" w:rsidP="00BB12A9" w:rsidR="00BB12A9">
          <w:pPr>
            <w:pStyle w:val="TOCNaslov"/>
            <w:spacing w:before="2"/>
            <w:rPr>
              <w:rFonts w:hAnsi="Calibri" w:ascii="Calibri"/>
            </w:rPr>
          </w:pPr>
          <w:r>
            <w:rPr>
              <w:rFonts w:hAnsi="Calibri" w:ascii="Calibri"/>
            </w:rPr>
            <w:t>SADRŽAJ:</w:t>
          </w:r>
        </w:p>
        <w:p w:rsidRDefault="00BB12A9" w:rsidP="00BB12A9" w:rsidR="00BB12A9">
          <w:pPr>
            <w:pStyle w:val="Sadraj1"/>
            <w:tabs>
              <w:tab w:pos="9484" w:val="right"/>
            </w:tabs>
            <w:spacing w:before="2"/>
            <w:rPr>
              <w:rFonts w:eastAsiaTheme="minorEastAsia" w:hAnsiTheme="minorHAnsi" w:asciiTheme="minorHAnsi"/>
              <w:noProof/>
            </w:rPr>
          </w:pPr>
          <w:r>
            <w:rPr>
              <w:rFonts w:hAnsi="Calibri" w:ascii="Calibri"/>
            </w:rPr>
            <w:fldChar w:fldCharType="begin"/>
          </w:r>
          <w:r>
            <w:rPr>
              <w:rFonts w:hAnsi="Calibri" w:ascii="Calibri"/>
            </w:rPr>
            <w:instrText xml:space="preserve"> TOC \o "1-3" \h \z \u </w:instrText>
          </w:r>
          <w:r>
            <w:rPr>
              <w:rFonts w:hAnsi="Calibri" w:ascii="Calibri"/>
            </w:rPr>
            <w:fldChar w:fldCharType="separate"/>
          </w:r>
          <w:r>
            <w:rPr>
              <w:rFonts w:hAnsi="Calibri" w:ascii="Calibri"/>
              <w:noProof/>
              <w:kern w:val="36"/>
            </w:rPr>
            <w:t>PLAN FINANCIJSKOG I OPERATIVNOG RESTRUKTURIRANJA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0. UVOD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3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0.1. OPĆI PODACI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3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0.2. PREDMET POSLOVANJA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3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0.3. ANALIZA ZAPOSLENIH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3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0.4. OPERATIVNO POSLOVANJE I TRŽIŠNA SITUACIJA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3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0.5. IZVJEŠĆE O POSLOVNOM I FINANCIJSKOM STANJU DUŽNIKA JANA VNOUČEK, NOSITELJA OBITELJSKOG POLJOPRIVREDNOG GOSPODARSTVA, NA TEMELJU FINANCIJSKOG IZVJEŠTAJA SA STANJEM NA DAN 31.12.2017. GODINE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noProof/>
            </w:rPr>
          </w:pPr>
          <w:r>
            <w:rPr>
              <w:rFonts w:hAnsi="Calibri" w:ascii="Calibri"/>
              <w:noProof/>
            </w:rPr>
            <w:t>1. OPIS ČINJENICA I OKOLNOSTI IZ KOJIH PROIZLAZI POSTOJANJE NESPOSOBNOSTI ZA PLAĆANJE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2. IZRAČUN MANJKA LIKVIDNIH SREDSTAVA NA DAN PRILOŽENIH FINANCIJSKIH IZVJEŠTAJA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3. MJERE FINANCIJSKOG RESTRUKTURIRANJA I IZRAČUN NJIHOVIH UČINAKA NA MANJAK LIKVIDNIH SREDSTAVA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4. OPIS MJERA OPERATIVNOG RESTRUKTURIRANJA I IZRAČUN NJIHOVIH UČINAKA NA POSLOVANJE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_Toc381801099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5. PLAN POSLOVANJA ZA RAZDOBLJE DO KRAJA 2018. GODINE, 2019. GODINU i 2020. GODINU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6.1. PLANIRANA BILANCA NA ZADNJI DAN RAZDOBLJA ZA KOJE JE SASTAVLJEN PLAN POSLOVANJA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6.2. PLANIRANI NETO NOVČANI TIJEK (DIREKTNA METODA) ZA RAZDOBLJE DO KRAJA 2018. GODINE, 2019. GODINU i 2020. GODINU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7. ANALIZA SVIH TRAŽBINA PREMA VISINI I VRSTI (tražbine radnika i prijašnjih dužnikovih radnika, izlučna prava, razlučna prava, tražbine za koje se vodi postupak, neosigurane tražbine i druge tražbine)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9. ROK ZA DOBROVOLJNO ISPUNJENJE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10. PLANIRANI IZNOS TROŠKOVA RESTRUKTURIRANJA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pStyle w:val="Sadraj2"/>
            <w:tabs>
              <w:tab w:pos="9484" w:val="right"/>
            </w:tabs>
            <w:spacing w:before="2"/>
            <w:rPr>
              <w:rFonts w:eastAsiaTheme="minorEastAsia"/>
              <w:b/>
              <w:noProof/>
            </w:rPr>
          </w:pPr>
          <w:r>
            <w:rPr>
              <w:rFonts w:hAnsi="Calibri" w:ascii="Calibri"/>
              <w:noProof/>
            </w:rPr>
            <w:t>IZJAVA UPRAVE – NOSITELJA OBITELJSKOG POLJOPRIVREDNOG GOSPODARSTVA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_Toc381801106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</w:t>
          </w:r>
          <w:r>
            <w:rPr>
              <w:noProof/>
            </w:rPr>
            <w:fldChar w:fldCharType="end"/>
          </w:r>
        </w:p>
        <w:p w:rsidRDefault="00BB12A9" w:rsidP="00BB12A9" w:rsidR="00BB12A9">
          <w:pPr>
            <w:rPr>
              <w:rFonts w:hAnsi="Calibri" w:ascii="Calibri"/>
            </w:rPr>
          </w:pPr>
          <w:r>
            <w:rPr>
              <w:rFonts w:hAnsi="Calibri" w:ascii="Calibri"/>
            </w:rPr>
            <w:fldChar w:fldCharType="end"/>
          </w:r>
        </w:p>
      </w:sdtContent>
    </w:sdt>
    <w:p w:rsidRDefault="00BB12A9" w:rsidP="00BB12A9" w:rsidR="00BB12A9">
      <w:pPr>
        <w:pStyle w:val="Naslov2"/>
        <w:rPr>
          <w:rFonts w:hAnsi="Calibri" w:ascii="Calibri"/>
          <w:sz w:val="24"/>
        </w:rPr>
      </w:pPr>
    </w:p>
    <w:p w:rsidRDefault="00BB12A9" w:rsidP="00BB12A9" w:rsidR="00BB12A9">
      <w:pPr>
        <w:pStyle w:val="Naslov2"/>
        <w:rPr>
          <w:rFonts w:hAnsi="Calibri" w:ascii="Calibri"/>
          <w:sz w:val="24"/>
        </w:rPr>
      </w:pPr>
    </w:p>
    <w:p w:rsidRDefault="00BB12A9" w:rsidP="00BB12A9" w:rsidR="00BB12A9">
      <w:pPr>
        <w:pStyle w:val="Naslov2"/>
        <w:rPr>
          <w:rFonts w:hAnsi="Calibri" w:ascii="Calibri"/>
          <w:sz w:val="24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Naslov2"/>
        <w:rPr>
          <w:rFonts w:hAnsi="Calibri" w:ascii="Calibri"/>
          <w:sz w:val="24"/>
        </w:rPr>
      </w:pPr>
      <w:bookmarkStart w:name="_Toc381801090" w:id="1"/>
      <w:r>
        <w:rPr>
          <w:rFonts w:hAnsi="Calibri" w:ascii="Calibri"/>
          <w:sz w:val="24"/>
        </w:rPr>
        <w:lastRenderedPageBreak/>
        <w:t>0. UVOD</w:t>
      </w:r>
      <w:bookmarkEnd w:id="1"/>
    </w:p>
    <w:p w:rsidRDefault="00BB12A9" w:rsidP="00BB12A9" w:rsidR="00BB12A9">
      <w:pPr>
        <w:pStyle w:val="Naslov3"/>
        <w:rPr>
          <w:rFonts w:hAnsi="Calibri" w:ascii="Calibri"/>
          <w:szCs w:val="20"/>
        </w:rPr>
      </w:pPr>
      <w:bookmarkStart w:name="_Toc381801091" w:id="2"/>
      <w:r>
        <w:rPr>
          <w:rFonts w:hAnsi="Calibri" w:ascii="Calibri"/>
        </w:rPr>
        <w:t>0.1. OPĆI PODACI</w:t>
      </w:r>
      <w:bookmarkEnd w:id="2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Ime i prezime : 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OIB: 21320886879 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>Prebivalište: Križevačka cesta 18, 43000 Bjelovar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>Poslovna adresa: Križevačka cesta 18, 43000 Bjelovar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>Djelatnost: Uzgoj grožđa i proizvodnja vina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>Datum osnivanja: 30.08.2006.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>Broj zaposlenih na dan (26.7.2018.) : 3</w:t>
      </w:r>
    </w:p>
    <w:p w:rsidRDefault="00BB12A9" w:rsidP="00BB12A9" w:rsidR="00BB12A9">
      <w:pPr>
        <w:pStyle w:val="Naslov3"/>
        <w:rPr>
          <w:rFonts w:hAnsi="Calibri" w:ascii="Calibri"/>
          <w:szCs w:val="20"/>
        </w:rPr>
      </w:pPr>
      <w:bookmarkStart w:name="_Toc381801092" w:id="3"/>
      <w:r>
        <w:rPr>
          <w:rFonts w:hAnsi="Calibri" w:ascii="Calibri"/>
        </w:rPr>
        <w:t>0.2. PREDMET POSLOVANJA</w:t>
      </w:r>
      <w:bookmarkEnd w:id="3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Obiteljsko poljoprivredno gospodarstvo 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 xml:space="preserve"> bavi se uzgojem grožđa i proizvodnjom vina. Uz to </w:t>
      </w:r>
      <w:proofErr w:type="spellStart"/>
      <w:r>
        <w:rPr>
          <w:rFonts w:cs="Times New Roman" w:hAnsi="Calibri" w:ascii="Calibri"/>
          <w:szCs w:val="20"/>
        </w:rPr>
        <w:t>registirana</w:t>
      </w:r>
      <w:proofErr w:type="spellEnd"/>
      <w:r>
        <w:rPr>
          <w:rFonts w:cs="Times New Roman" w:hAnsi="Calibri" w:ascii="Calibri"/>
          <w:szCs w:val="20"/>
        </w:rPr>
        <w:t xml:space="preserve"> je dopunska djelatnost proizvodnje jakih alkoholnih pića. 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>, nositelj obiteljskog poljoprivrednog gospodarstva upisan je u upisnik obiteljskih poljoprivrednih gospodarstava pod brojem MIBPG 168944.</w:t>
      </w:r>
    </w:p>
    <w:p w:rsidRDefault="00BB12A9" w:rsidP="00BB12A9" w:rsidR="00BB12A9">
      <w:pPr>
        <w:pStyle w:val="Naslov3"/>
        <w:rPr>
          <w:rFonts w:hAnsi="Calibri" w:ascii="Calibri"/>
          <w:szCs w:val="20"/>
        </w:rPr>
      </w:pPr>
      <w:bookmarkStart w:name="_Toc381801093" w:id="4"/>
      <w:r>
        <w:rPr>
          <w:rFonts w:hAnsi="Calibri" w:ascii="Calibri"/>
        </w:rPr>
        <w:t>0.3. ANALIZA ZAPOSLENIH</w:t>
      </w:r>
      <w:bookmarkEnd w:id="4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>, nositelj obiteljskog poljoprivrednog gospodarstva na dan 23.02.2018. godine zapošljava 2 radnika na puno radno vrijeme i jednog radnika na nepuno radno vrijeme. Tijekom sezone OPG zapošljava do 20-tak sezonskih radnika u poljoprivredi za poslove uzgoja i berbe nasada.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>,nositelj obiteljskog poljoprivrednog gospodarstva planira i nakon restrukturiranja zapošljavati jednak broj radnika kao i do sada jer za istima postoji potreba.</w:t>
      </w:r>
    </w:p>
    <w:p w:rsidRDefault="00BB12A9" w:rsidP="00BB12A9" w:rsidR="00BB12A9">
      <w:pPr>
        <w:pStyle w:val="Naslov3"/>
        <w:rPr>
          <w:rFonts w:hAnsi="Calibri" w:ascii="Calibri"/>
          <w:szCs w:val="20"/>
        </w:rPr>
      </w:pPr>
      <w:bookmarkStart w:name="_Toc381801094" w:id="5"/>
      <w:r>
        <w:rPr>
          <w:rFonts w:hAnsi="Calibri" w:ascii="Calibri"/>
        </w:rPr>
        <w:t>0.4. OPERATIVNO POSLOVANJE I TRŽIŠNA SITUACIJA</w:t>
      </w:r>
      <w:bookmarkEnd w:id="5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>, nositelj obiteljskog poljoprivrednog gospodarstva osnova je gospodarstvo 30.08.2006. godine i ono je upisano u upisnik OPG-a pod brojem MIBPG 168944. Temeljna djelatnost je uzgoj grožđa i proizvodnja vina od vlastitog grožđa. Godišnja proizvodnja je oko 600hL sortnog, kvalitetnog i vrhunskog vina. Vino se proizvodi najvećim dijelom od vlastito uzgojenog grožđa, dok jedan dio sirovine se nabavlja od drugih uzgajivača grožđa. Vino se proizvodi u vlastitoj suvremenoj vinariji koja se nalazi u Lipovom Brdu, na adresi Lipovo Brdo 51A. Vino se plasira direktnom prodajom na tržištu grada Bjelovara i okolnih općina i to putem maloprodaje u vinariji, maloprodaje u prodajnom prostoru na Gradskoj tržnici u Bjelovaru i veleprodajom i dostavom veleprodajnim kupcima – ugostiteljima. Maloprodaja čini gotovo 80% prihoda. Cijela količina proizvedenog vina uspijeva se plasirati na tržište, ali zbog u zadnje vrijeme učestalih elementarnih nepogoda proizvodnja je bila smanjena te se radi zadovoljenja potreba tržišta moralo otkupljivati veća količina grožđa od drugih uzgajivača.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pStyle w:val="Naslov3"/>
        <w:rPr>
          <w:rFonts w:hAnsi="Calibri" w:ascii="Calibri"/>
        </w:rPr>
      </w:pPr>
      <w:bookmarkStart w:name="_Toc381801095" w:id="6"/>
      <w:r>
        <w:rPr>
          <w:rFonts w:hAnsi="Calibri" w:ascii="Calibri"/>
        </w:rPr>
        <w:lastRenderedPageBreak/>
        <w:t>0.5. IZVJEŠĆE O POSLOVNOM I FINANCIJSKOM STANJU DUŽNIKA JANA VNOUČEK, NOSITELJA OBITELJSKOG POLJOPRIVREDNOG GOSPODARSTVA, NA TEMELJU FINANCIJSKOG IZVJEŠTAJA SA STANJEM NA DAN 31.05.2018. GODINE</w:t>
      </w:r>
      <w:bookmarkEnd w:id="6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>Rezultati poslovanja dani su u računu dobiti i gubitka na dan 31.05.2018. (iznosi u kn):</w:t>
      </w: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tbl>
      <w:tblPr>
        <w:tblW w:type="dxa" w:w="10206"/>
        <w:jc w:val="center"/>
        <w:tblLook w:val="04A0" w:noVBand="1" w:noHBand="0" w:lastColumn="0" w:firstColumn="1" w:lastRow="0" w:firstRow="1"/>
      </w:tblPr>
      <w:tblGrid>
        <w:gridCol w:w="935"/>
        <w:gridCol w:w="904"/>
        <w:gridCol w:w="878"/>
        <w:gridCol w:w="857"/>
        <w:gridCol w:w="838"/>
        <w:gridCol w:w="824"/>
        <w:gridCol w:w="720"/>
        <w:gridCol w:w="730"/>
        <w:gridCol w:w="1760"/>
        <w:gridCol w:w="1760"/>
      </w:tblGrid>
      <w:tr w:rsidTr="00BB12A9" w:rsidR="00BB12A9">
        <w:trPr>
          <w:trHeight w:val="400"/>
          <w:jc w:val="center"/>
        </w:trPr>
        <w:tc>
          <w:tcPr>
            <w:tcW w:type="dxa" w:w="1048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lang w:val="en-US"/>
              </w:rPr>
            </w:pPr>
            <w:bookmarkStart w:name="RANGE!A2:J105" w:id="7"/>
            <w:r>
              <w:rPr>
                <w:rFonts w:hAnsi="Arial" w:ascii="Arial"/>
                <w:b/>
                <w:bCs/>
                <w:color w:val="000090"/>
              </w:rPr>
              <w:t>RAČUN DOBITI I GUBITKA</w:t>
            </w:r>
            <w:bookmarkEnd w:id="7"/>
          </w:p>
        </w:tc>
        <w:tc>
          <w:tcPr>
            <w:tcW w:type="dxa" w:w="17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br/>
              <w:t>POD-RDG</w:t>
            </w:r>
          </w:p>
        </w:tc>
      </w:tr>
      <w:tr w:rsidTr="00BB12A9" w:rsidR="00BB12A9">
        <w:trPr>
          <w:trHeight w:val="400"/>
          <w:jc w:val="center"/>
        </w:trPr>
        <w:tc>
          <w:tcPr>
            <w:tcW w:type="dxa" w:w="1048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t>za razdoblje 01.01.2018. do 31.05.2018.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</w:p>
        </w:tc>
      </w:tr>
      <w:tr w:rsidTr="00BB12A9" w:rsidR="00BB12A9">
        <w:trPr>
          <w:trHeight w:val="100"/>
          <w:jc w:val="center"/>
        </w:trPr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2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72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68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760"/>
          </w:tcPr>
          <w:p w:rsidRDefault="00BB12A9" w:rsidR="00BB12A9">
            <w:pPr>
              <w:jc w:val="center"/>
              <w:rPr>
                <w:rFonts w:hAnsi="Arial" w:ascii="Arial"/>
                <w:color w:val="000090"/>
                <w:sz w:val="18"/>
                <w:szCs w:val="18"/>
                <w:lang w:val="en-US"/>
              </w:rPr>
            </w:pPr>
          </w:p>
        </w:tc>
        <w:tc>
          <w:tcPr>
            <w:tcW w:type="dxa" w:w="1760"/>
            <w:vAlign w:val="center"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Obveznik: 21320886879; OPG Jan </w:t>
            </w:r>
            <w:proofErr w:type="spellStart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Vnouček</w:t>
            </w:r>
            <w:proofErr w:type="spellEnd"/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AOP</w:t>
            </w: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br/>
            </w:r>
            <w:r>
              <w:rPr>
                <w:rFonts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proofErr w:type="spellStart"/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Rbr</w:t>
            </w:r>
            <w:proofErr w:type="spellEnd"/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 xml:space="preserve">. </w:t>
            </w: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br/>
            </w:r>
            <w:r>
              <w:rPr>
                <w:rFonts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BB12A9" w:rsidR="00BB12A9">
        <w:trPr>
          <w:trHeight w:val="260"/>
          <w:jc w:val="center"/>
        </w:trPr>
        <w:tc>
          <w:tcPr>
            <w:tcW w:type="dxa" w:w="7320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dxa" w:w="72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dxa" w:w="68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660.013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179.360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641.528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170.581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18.485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8.779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600.109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287.956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13.582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-14.840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294.853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130.958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176.494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38.616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31.644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59.810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86.715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32.532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53.900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41.532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36.525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32.412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9.465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4.903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7.910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4.217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199.316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81.813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 xml:space="preserve">   5. Ostali troškovi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37.926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47.579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532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914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7.184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275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Prihodi od ulaganja u udjele (dionice)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Tečajne razlike i ostali financijski prihodi iz odnosa s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159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4.470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275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2.714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64.187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11.560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>3. Rashodi s osnove kamata i slični rashodi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64.018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11.560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169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IX.   UKUPNI PRIHODI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667.197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179.635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664.296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299.516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-119.881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119.881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-119.881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119.881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PREKINUTO POSLOVANJE (popunjava poduzetnik obveznika MSFI-a samo ako ima prekinuto poslovanje)</w:t>
            </w:r>
          </w:p>
        </w:tc>
      </w:tr>
      <w:tr w:rsidTr="00BB12A9" w:rsidR="00BB12A9">
        <w:trPr>
          <w:trHeight w:val="50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XIV. DOBIT ILI GUBITAK PREKINUTOG POSLOVANJA PRIJE</w:t>
            </w: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OPOREZIVANJA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 xml:space="preserve"> (AOP 187-188)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1. Dobit prekinutog poslovanja prije oporezivanja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2. Gubitak prekinutog poslovanja prije oporezivanja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XV. POREZ NA DOBIT PREKINUTOG POSLOVANJA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189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1. Dobit prekinutog poslovanja za razdoblje (AOP 186-189)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2. Gubitak prekinutog poslovanja za razdoblje (AOP 189-186)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UKUPNO POSLOVANJE (popunjava samo poduzetnik obveznik MSFI-a koji ima prekinuto poslovanje)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XVI. DOBIT ILI GUBITAK PRIJE OPOREZIVANJA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179+186)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 xml:space="preserve"> 1. Dobit prije oporezivanja (AOP 192)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2. Gubitak prije oporezivanja (AOP 192)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XVII. POREZ NA DOBIT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182+189)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XVIII. DOBIT ILI GUBITAK RAZDOBLJA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192-195)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1. Dobit razdoblja (AOP 192-195)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2. Gubitak razdoblja (AOP 195-192)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DODATAK RDG-u (popunjava poduzetnik koji sastavlja konsolidirani godišnji financijski izvještaj)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XIX. DOBIT ILI GUBITAK RAZDOBLJA </w:t>
            </w:r>
            <w:r>
              <w:rPr>
                <w:rFonts w:hAnsi="Arial" w:ascii="Arial"/>
                <w:color w:val="000090"/>
                <w:sz w:val="18"/>
                <w:szCs w:val="18"/>
              </w:rPr>
              <w:t>(AOP 200+201)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199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1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 1. Pripisana imateljima kapitala matice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1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 2. Pripisana manjinskom (</w:t>
            </w:r>
            <w:proofErr w:type="spellStart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nekontrolirajućem</w:t>
            </w:r>
            <w:proofErr w:type="spellEnd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) interesu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IZVJEŠTAJ O OSTALOJ SVEOBUHVATNOJ DOBITI (popunjava poduzetnik obveznik primjene MSFI-a)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 xml:space="preserve">I. DOBIT ILI GUBITAK RAZDOBLJA 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50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II. OSTALA SVEOBUHVATNA DOBIT/GUBITAK PRIJE POREZA</w:t>
            </w:r>
            <w:r>
              <w:rPr>
                <w:rFonts w:hAnsi="Arial" w:ascii="Arial"/>
                <w:b/>
                <w:bCs/>
                <w:sz w:val="18"/>
                <w:szCs w:val="18"/>
              </w:rPr>
              <w:br/>
              <w:t xml:space="preserve">    </w:t>
            </w:r>
            <w:r>
              <w:rPr>
                <w:rFonts w:hAnsi="Arial" w:ascii="Arial"/>
                <w:sz w:val="18"/>
                <w:szCs w:val="18"/>
              </w:rPr>
              <w:t>(AOP 204 do 211)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1. Tečajne razlike iz preračuna inozemnog poslovanja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52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2. Promjene revalorizacijskih rezervi dugotrajne materijalne i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nematerijalne imovine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52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3. Dobit ili gubitak s osnove naknadnog vrednovanja financijske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imovine raspoložive za prodaju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4. Dobit ili gubitak s osnove učinkovite zaštite novčanih tokova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5. Dobit ili gubitak s osnove učinkovite zaštite neto ulaganja u inozemstvu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50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6. Udio u ostaloj sveobuhvatnoj dobiti/gubitku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sudjelujućim  interesom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209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7. </w:t>
            </w:r>
            <w:proofErr w:type="spellStart"/>
            <w:r>
              <w:rPr>
                <w:rFonts w:hAnsi="Arial" w:ascii="Arial"/>
                <w:sz w:val="18"/>
                <w:szCs w:val="18"/>
              </w:rPr>
              <w:t>Aktuarski</w:t>
            </w:r>
            <w:proofErr w:type="spellEnd"/>
            <w:r>
              <w:rPr>
                <w:rFonts w:hAnsi="Arial" w:ascii="Arial"/>
                <w:sz w:val="18"/>
                <w:szCs w:val="18"/>
              </w:rPr>
              <w:t xml:space="preserve"> dobici/gubici po planovima definiranih primanja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0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8. Ostale nevlasničke promjene kapitala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III. POREZ NA OSTALU SVEOBUHVATNU DOBIT RAZDOBLJA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 xml:space="preserve">IV. NETO OSTALA SVEOBUHVATNA DOBIT ILI GUBITAK </w:t>
            </w:r>
            <w:r>
              <w:rPr>
                <w:rFonts w:hAnsi="Arial" w:ascii="Arial"/>
                <w:sz w:val="18"/>
                <w:szCs w:val="18"/>
              </w:rPr>
              <w:t>(AOP 203-212)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 xml:space="preserve">V. SVEOBUHVATNA DOBIT ILI GUBITAK RAZDOBLJA </w:t>
            </w:r>
            <w:r>
              <w:rPr>
                <w:rFonts w:hAnsi="Arial" w:ascii="Arial"/>
                <w:sz w:val="18"/>
                <w:szCs w:val="18"/>
              </w:rPr>
              <w:t>(AOP 202+213)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300"/>
          <w:jc w:val="center"/>
        </w:trPr>
        <w:tc>
          <w:tcPr>
            <w:tcW w:type="dxa" w:w="1224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DODATAK Izvještaju o  ostaloj sveobuhvatnoj dobiti (popunjava poduzetnik koji sastavlja konsolidirani izvještaj)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VI. SVEOBUHVATNA DOBIT ILI GUBITAK RAZDOBLJA </w:t>
            </w:r>
            <w:r>
              <w:rPr>
                <w:rFonts w:hAnsi="Arial" w:ascii="Arial"/>
                <w:color w:val="000090"/>
                <w:sz w:val="18"/>
                <w:szCs w:val="18"/>
              </w:rPr>
              <w:lastRenderedPageBreak/>
              <w:t>(AOP 216+217)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lastRenderedPageBreak/>
              <w:t>215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1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lastRenderedPageBreak/>
              <w:t>1. Pripisana imateljima kapitala matice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732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ind w:firstLineChars="100" w:firstLine="181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2. Pripisana manjinskom (</w:t>
            </w:r>
            <w:proofErr w:type="spellStart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nekontrolirajućem</w:t>
            </w:r>
            <w:proofErr w:type="spellEnd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) interesu</w:t>
            </w:r>
          </w:p>
        </w:tc>
        <w:tc>
          <w:tcPr>
            <w:tcW w:type="dxa" w:w="72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217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</w:rPr>
      </w:pPr>
      <w:r>
        <w:rPr>
          <w:rFonts w:cs="Times New Roman" w:hAnsi="Calibri" w:ascii="Calibri"/>
        </w:rPr>
        <w:t>Sažetak poslovanja dužnika kroz razdoblje od 2013. do 31.12.2017. godine nalazi se u nastavku (iznosi u kn).</w:t>
      </w:r>
    </w:p>
    <w:p w:rsidRDefault="00BB12A9" w:rsidP="00BB12A9" w:rsidR="00BB12A9">
      <w:pPr>
        <w:spacing w:beforeLines="1" w:before="2"/>
        <w:rPr>
          <w:rFonts w:cs="Times New Roman" w:hAnsi="Calibri" w:ascii="Calibri"/>
        </w:rPr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1951"/>
        <w:gridCol w:w="1285"/>
        <w:gridCol w:w="1618"/>
        <w:gridCol w:w="1618"/>
        <w:gridCol w:w="1619"/>
        <w:gridCol w:w="1619"/>
      </w:tblGrid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Opis   /   Godina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2013.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2014.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2015.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2016.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2017.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Broj zaposlenih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Ukupni prihodi u kn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278.736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237.661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624.925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728.562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667.197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Ukupni rashodi u kn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278.565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362.181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611.653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725.837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664.296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EBIT u kn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69.592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-58.338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74.870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79.016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67.088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Bruto  dobit u kn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171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-124.520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13.272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2.725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2.901</w:t>
            </w:r>
          </w:p>
        </w:tc>
      </w:tr>
      <w:tr w:rsidTr="00BB12A9" w:rsidR="00BB12A9">
        <w:tc>
          <w:tcPr>
            <w:tcW w:type="dxa" w:w="195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Dobit nakon oporezivanja u kn</w:t>
            </w:r>
          </w:p>
        </w:tc>
        <w:tc>
          <w:tcPr>
            <w:tcW w:type="dxa" w:w="128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171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0</w:t>
            </w:r>
          </w:p>
        </w:tc>
        <w:tc>
          <w:tcPr>
            <w:tcW w:type="dxa" w:w="16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13.272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2.725</w:t>
            </w:r>
          </w:p>
        </w:tc>
        <w:tc>
          <w:tcPr>
            <w:tcW w:type="dxa" w:w="16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2.901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 w:val="20"/>
          <w:szCs w:val="20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 w:val="20"/>
          <w:szCs w:val="20"/>
        </w:rPr>
      </w:pPr>
    </w:p>
    <w:tbl>
      <w:tblPr>
        <w:tblW w:type="dxa" w:w="8505"/>
        <w:jc w:val="center"/>
        <w:tblCellSpacing w:type="dxa" w:w="0"/>
        <w:tblBorders>
          <w:top w:space="0" w:sz="6" w:color="00000A" w:val="outset"/>
          <w:left w:space="0" w:sz="6" w:color="00000A" w:val="outset"/>
          <w:bottom w:space="0" w:sz="6" w:color="00000A" w:val="outset"/>
          <w:right w:space="0" w:sz="6" w:color="00000A" w:val="outset"/>
        </w:tblBorders>
        <w:tblCellMar>
          <w:top w:type="dxa" w:w="20"/>
          <w:left w:type="dxa" w:w="20"/>
          <w:bottom w:type="dxa" w:w="20"/>
          <w:right w:type="dxa" w:w="20"/>
        </w:tblCellMar>
        <w:tblLook w:val="04A0" w:noVBand="1" w:noHBand="0" w:lastColumn="0" w:firstColumn="1" w:lastRow="0" w:firstRow="1"/>
      </w:tblPr>
      <w:tblGrid>
        <w:gridCol w:w="3403"/>
        <w:gridCol w:w="3138"/>
        <w:gridCol w:w="986"/>
        <w:gridCol w:w="978"/>
      </w:tblGrid>
      <w:tr w:rsidTr="00BB12A9" w:rsidR="00BB12A9">
        <w:trPr>
          <w:trHeight w:val="400"/>
          <w:tblCellSpacing w:type="dxa" w:w="0"/>
          <w:jc w:val="center"/>
        </w:trPr>
        <w:tc>
          <w:tcPr>
            <w:tcW w:type="dxa" w:w="5460"/>
            <w:tcBorders>
              <w:top w:space="0" w:sz="6" w:color="auto" w:val="outset"/>
              <w:left w:space="0" w:sz="6" w:color="auto" w:val="outset"/>
              <w:bottom w:space="0" w:sz="6" w:color="auto" w:val="outset"/>
              <w:right w:space="0" w:sz="6" w:color="auto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POKAZETELJI EKONOMIČNOSTI</w:t>
            </w:r>
          </w:p>
        </w:tc>
        <w:tc>
          <w:tcPr>
            <w:tcW w:type="dxa" w:w="5800"/>
            <w:tcBorders>
              <w:top w:space="0" w:sz="6" w:color="auto" w:val="outset"/>
              <w:left w:space="0" w:sz="6" w:color="auto" w:val="outset"/>
              <w:bottom w:space="0" w:sz="6" w:color="auto" w:val="outset"/>
              <w:right w:space="0" w:sz="6" w:color="auto" w:val="outset"/>
            </w:tcBorders>
            <w:shd w:themeFill="accent1" w:fill="4F81BD" w:color="auto" w:val="clear"/>
            <w:vAlign w:val="bottom"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</w:p>
        </w:tc>
        <w:tc>
          <w:tcPr>
            <w:tcW w:type="dxa" w:w="1300"/>
            <w:tcBorders>
              <w:top w:space="0" w:sz="6" w:color="auto" w:val="outset"/>
              <w:left w:space="0" w:sz="6" w:color="auto" w:val="outset"/>
              <w:bottom w:space="0" w:sz="6" w:color="auto" w:val="outset"/>
              <w:right w:space="0" w:sz="6" w:color="auto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2016.</w:t>
            </w:r>
          </w:p>
        </w:tc>
        <w:tc>
          <w:tcPr>
            <w:tcW w:type="dxa" w:w="1280"/>
            <w:tcBorders>
              <w:top w:space="0" w:sz="6" w:color="auto" w:val="outset"/>
              <w:left w:space="0" w:sz="6" w:color="auto" w:val="outset"/>
              <w:bottom w:space="0" w:sz="6" w:color="auto" w:val="outset"/>
              <w:right w:space="0" w:sz="6" w:color="auto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2017.</w:t>
            </w:r>
          </w:p>
        </w:tc>
      </w:tr>
      <w:tr w:rsidTr="00BB12A9" w:rsidR="00BB12A9">
        <w:trPr>
          <w:trHeight w:val="420"/>
          <w:tblCellSpacing w:type="dxa" w:w="0"/>
          <w:jc w:val="center"/>
        </w:trPr>
        <w:tc>
          <w:tcPr>
            <w:tcW w:type="dxa" w:w="546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Ekonomičnost ukupnog poslovanja</w:t>
            </w:r>
          </w:p>
        </w:tc>
        <w:tc>
          <w:tcPr>
            <w:tcW w:type="dxa" w:w="58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ukupni prihodi / ukupni rashodi</w:t>
            </w:r>
          </w:p>
        </w:tc>
        <w:tc>
          <w:tcPr>
            <w:tcW w:type="dxa" w:w="13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1,0037</w:t>
            </w:r>
          </w:p>
        </w:tc>
        <w:tc>
          <w:tcPr>
            <w:tcW w:type="dxa" w:w="128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1,0043</w:t>
            </w:r>
          </w:p>
        </w:tc>
      </w:tr>
      <w:tr w:rsidTr="00BB12A9" w:rsidR="00BB12A9">
        <w:trPr>
          <w:trHeight w:val="420"/>
          <w:tblCellSpacing w:type="dxa" w:w="0"/>
          <w:jc w:val="center"/>
        </w:trPr>
        <w:tc>
          <w:tcPr>
            <w:tcW w:type="dxa" w:w="546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Ekonomičnost poslovanja (prodaja)</w:t>
            </w:r>
          </w:p>
        </w:tc>
        <w:tc>
          <w:tcPr>
            <w:tcW w:type="dxa" w:w="58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prihodi od prodaje / rashodi prodaje</w:t>
            </w:r>
          </w:p>
        </w:tc>
        <w:tc>
          <w:tcPr>
            <w:tcW w:type="dxa" w:w="13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1,2369</w:t>
            </w:r>
          </w:p>
        </w:tc>
        <w:tc>
          <w:tcPr>
            <w:tcW w:type="dxa" w:w="128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1,6590</w:t>
            </w:r>
          </w:p>
        </w:tc>
      </w:tr>
      <w:tr w:rsidTr="00BB12A9" w:rsidR="00BB12A9">
        <w:trPr>
          <w:trHeight w:val="400"/>
          <w:tblCellSpacing w:type="dxa" w:w="0"/>
          <w:jc w:val="center"/>
        </w:trPr>
        <w:tc>
          <w:tcPr>
            <w:tcW w:type="dxa" w:w="546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Ekonomičnost financiranja</w:t>
            </w:r>
          </w:p>
        </w:tc>
        <w:tc>
          <w:tcPr>
            <w:tcW w:type="dxa" w:w="58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financijski prihodi / financijski rashodi</w:t>
            </w:r>
          </w:p>
        </w:tc>
        <w:tc>
          <w:tcPr>
            <w:tcW w:type="dxa" w:w="130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0,0906</w:t>
            </w:r>
          </w:p>
        </w:tc>
        <w:tc>
          <w:tcPr>
            <w:tcW w:type="dxa" w:w="1280"/>
            <w:tcBorders>
              <w:top w:space="0" w:sz="6" w:color="00000A" w:val="outset"/>
              <w:left w:space="0" w:sz="6" w:color="00000A" w:val="outset"/>
              <w:bottom w:space="0" w:sz="6" w:color="00000A" w:val="outset"/>
              <w:right w:space="0" w:sz="6" w:color="00000A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  <w:szCs w:val="20"/>
              </w:rPr>
              <w:t>0,1119</w:t>
            </w:r>
          </w:p>
        </w:tc>
      </w:tr>
    </w:tbl>
    <w:p w:rsidRDefault="00BB12A9" w:rsidP="00BB12A9" w:rsidR="00BB12A9">
      <w:pPr>
        <w:spacing w:beforeLines="1" w:before="2"/>
        <w:rPr>
          <w:rFonts w:cs="Times New Roman" w:hAnsi="Calibri" w:ascii="Calibri"/>
          <w:sz w:val="20"/>
          <w:szCs w:val="20"/>
          <w:lang w:val="en-US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Račun dobiti i gubitka pokazuje tendenciju relativno stabilnih ukupnih prihoda i ukupnih rashoda u protekle tri godine. Promatrajući zadnje tri godine možemo </w:t>
      </w:r>
      <w:proofErr w:type="spellStart"/>
      <w:r>
        <w:rPr>
          <w:rFonts w:hAnsi="Calibri" w:ascii="Calibri"/>
        </w:rPr>
        <w:t>primjetiti</w:t>
      </w:r>
      <w:proofErr w:type="spellEnd"/>
      <w:r>
        <w:rPr>
          <w:rFonts w:hAnsi="Calibri" w:ascii="Calibri"/>
        </w:rPr>
        <w:t xml:space="preserve"> kako je dužnik povećao </w:t>
      </w:r>
      <w:r>
        <w:rPr>
          <w:rFonts w:hAnsi="Calibri" w:ascii="Calibri"/>
        </w:rPr>
        <w:lastRenderedPageBreak/>
        <w:t>poslovne prihode za otprilike 2,5 puta od prihoda koje je ostvarivao u 2013. i 2014. godini, a s time su povećani i poslovni rashodi, a sve zbog povećanja obujma proizvodnje. Promatrajući pokazatelje ekonomičnosti možemo zaključiti kako društvo ima pozitivan financijski rezultat unazad zadnje tri godine. Iz pokazatelja ekonomičnosti možemo zaključiti kako su prihodi od prodaje u odnosu na rashode od prodaje u porastu, dok su financijski rashodi zanemarivo malo pokriveni financijskim prihodima.</w:t>
      </w: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  <w:b/>
          <w:bCs/>
          <w:color w:val="000090"/>
        </w:rPr>
      </w:pPr>
      <w:r>
        <w:rPr>
          <w:rFonts w:hAnsi="Calibri" w:ascii="Calibri"/>
        </w:rPr>
        <w:t>Slijedi bilanca na dan 31.05.2018. godine (iznosi u kunama):</w:t>
      </w:r>
    </w:p>
    <w:p w:rsidRDefault="00BB12A9" w:rsidP="00BB12A9" w:rsidR="00BB12A9">
      <w:pPr>
        <w:pStyle w:val="StandardWeb"/>
        <w:spacing w:before="2"/>
        <w:rPr>
          <w:rFonts w:hAnsi="Calibri" w:ascii="Calibri"/>
          <w:b/>
          <w:bCs/>
          <w:color w:val="000090"/>
        </w:rPr>
      </w:pPr>
    </w:p>
    <w:tbl>
      <w:tblPr>
        <w:tblW w:type="dxa" w:w="10206"/>
        <w:jc w:val="center"/>
        <w:tblLook w:val="04A0" w:noVBand="1" w:noHBand="0" w:lastColumn="0" w:firstColumn="1" w:lastRow="0" w:firstRow="1"/>
      </w:tblPr>
      <w:tblGrid>
        <w:gridCol w:w="897"/>
        <w:gridCol w:w="887"/>
        <w:gridCol w:w="879"/>
        <w:gridCol w:w="872"/>
        <w:gridCol w:w="867"/>
        <w:gridCol w:w="863"/>
        <w:gridCol w:w="691"/>
        <w:gridCol w:w="730"/>
        <w:gridCol w:w="1760"/>
        <w:gridCol w:w="1760"/>
      </w:tblGrid>
      <w:tr w:rsidTr="00BB12A9" w:rsidR="00BB12A9">
        <w:trPr>
          <w:trHeight w:val="400"/>
          <w:jc w:val="center"/>
        </w:trPr>
        <w:tc>
          <w:tcPr>
            <w:tcW w:type="dxa" w:w="972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</w:rPr>
              <w:t>BILANCA</w:t>
            </w:r>
          </w:p>
        </w:tc>
        <w:tc>
          <w:tcPr>
            <w:tcW w:type="dxa" w:w="17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br/>
              <w:t>POD-BIL</w:t>
            </w:r>
          </w:p>
        </w:tc>
      </w:tr>
      <w:tr w:rsidTr="00BB12A9" w:rsidR="00BB12A9">
        <w:trPr>
          <w:trHeight w:val="400"/>
          <w:jc w:val="center"/>
        </w:trPr>
        <w:tc>
          <w:tcPr>
            <w:tcW w:type="dxa" w:w="972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20"/>
                <w:szCs w:val="20"/>
              </w:rPr>
              <w:t>stanje na dan 31.05.2018.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20"/>
                <w:szCs w:val="20"/>
                <w:lang w:val="en-US"/>
              </w:rPr>
            </w:pPr>
          </w:p>
        </w:tc>
      </w:tr>
      <w:tr w:rsidTr="00BB12A9" w:rsidR="00BB12A9">
        <w:trPr>
          <w:trHeight w:val="100"/>
          <w:jc w:val="center"/>
        </w:trPr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noWrap/>
            <w:vAlign w:val="center"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</w:p>
        </w:tc>
      </w:tr>
      <w:tr w:rsidTr="00BB12A9" w:rsidR="00BB12A9">
        <w:trPr>
          <w:trHeight w:val="30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 xml:space="preserve">Obveznik: 21320886879; OPG Jan </w:t>
            </w:r>
            <w:proofErr w:type="spellStart"/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Vnouček</w:t>
            </w:r>
            <w:proofErr w:type="spellEnd"/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AOP</w:t>
            </w: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br/>
            </w:r>
            <w:r>
              <w:rPr>
                <w:rFonts w:hAnsi="Arial" w:ascii="Arial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proofErr w:type="spellStart"/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Rbr</w:t>
            </w:r>
            <w:proofErr w:type="spellEnd"/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 xml:space="preserve">. </w:t>
            </w: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br/>
            </w:r>
            <w:r>
              <w:rPr>
                <w:rFonts w:hAnsi="Arial" w:ascii="Arial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dxa" w:w="68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dxa" w:w="68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1.069.324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987.511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I. NEMATERIJALNA IMOVINA (AOP 004 do 009)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Koncesije, patenti, licencije, robne i uslužne marke, softver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3. </w:t>
            </w:r>
            <w:proofErr w:type="spellStart"/>
            <w:r>
              <w:rPr>
                <w:rFonts w:hAnsi="Arial" w:ascii="Arial"/>
                <w:sz w:val="18"/>
                <w:szCs w:val="18"/>
              </w:rPr>
              <w:t>Goodwill</w:t>
            </w:r>
            <w:proofErr w:type="spellEnd"/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4. Predujmovi za nabavu nematerijalne imovine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II. MATERIJALNA IMOVINA (AOP 011 do 019)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1.069.324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987.511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147.000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147.000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205.352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192.092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152.926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107.794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14.333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12.667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154.588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132.832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 xml:space="preserve">    6. Predujmovi za materijalnu imovinu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395.125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395.126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019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III. DUGOTRAJNA FINANCIJSKA IMOVINA (AOP 021 do 030)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4.Ulaganja u udjele (dionice) društava povezanih sudjelujućim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029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IV. POTRAŽIVANJA (AOP 032 do 035)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Ostala potraživanja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C)  KRATKOTRAJNA IMOVINA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515.633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467.764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I. ZALIHE (AOP 039 do 045)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194.672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145.031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039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37.251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32.580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Proizvodnja u tijeku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14.840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157.369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97.559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 xml:space="preserve">    6. Dugotrajna imovina namijenjena prodaji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II. POTRAŽIVANJA (AOP 047 do 052)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173.795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184.744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2. Potraživanja od društava povezanih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049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140.546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147.271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33.249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37.414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142.082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134.082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Ulaganja u udjele (dionice)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059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142.082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134.082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5.084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3.907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D)  PLAĆENI TROŠKOVI BUDUĆEG RAZDOBLJA I OBRAČUNATI</w:t>
            </w: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1.675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1.854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1.586.632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1.457.129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-109.689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-229.570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069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313.798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313.798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lastRenderedPageBreak/>
              <w:t>III. REZERVE IZ DOBITI (AOP 071+072-073+074+075)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Vlastite dionice i udjeli (</w:t>
            </w:r>
            <w:proofErr w:type="spellStart"/>
            <w:r>
              <w:rPr>
                <w:rFonts w:hAnsi="Arial" w:ascii="Arial"/>
                <w:sz w:val="18"/>
                <w:szCs w:val="18"/>
              </w:rPr>
              <w:t>odbitna</w:t>
            </w:r>
            <w:proofErr w:type="spellEnd"/>
            <w:r>
              <w:rPr>
                <w:rFonts w:hAnsi="Arial" w:ascii="Arial"/>
                <w:sz w:val="18"/>
                <w:szCs w:val="18"/>
              </w:rPr>
              <w:t xml:space="preserve"> stavka)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Statutarne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079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-426.388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-423.487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Zadržana dobit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426.388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423.487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-119.881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2.901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119.881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089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Rezerviranja za započete sudske sporove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1.097.487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1.026.250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lastRenderedPageBreak/>
              <w:t xml:space="preserve">     4. Obveze za zajmove, depozite i slično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099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300.000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300.000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797.487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726.250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598.834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660.449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81.774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81.774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17.602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51.314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366.506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389.347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6.011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9.016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11. Obveze  za poreze, doprinose i </w:t>
            </w:r>
            <w:proofErr w:type="spellStart"/>
            <w:r>
              <w:rPr>
                <w:rFonts w:hAnsi="Arial" w:ascii="Arial"/>
                <w:sz w:val="18"/>
                <w:szCs w:val="18"/>
              </w:rPr>
              <w:t>sličana</w:t>
            </w:r>
            <w:proofErr w:type="spellEnd"/>
            <w:r>
              <w:rPr>
                <w:rFonts w:hAnsi="Arial" w:ascii="Arial"/>
                <w:sz w:val="18"/>
                <w:szCs w:val="18"/>
              </w:rPr>
              <w:t xml:space="preserve"> davanja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121.271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121.679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13. Obveze po osnovi dugotrajne imovine namijenjene prodaji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5.670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7.319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E) ODGOĐENO PLAĆANJE TROŠKOVA I PRIHOD BUDUĆEGA</w:t>
            </w: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RAZDOBLJA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 xml:space="preserve">F) UKUPNO – PASIVA </w:t>
            </w:r>
            <w:r>
              <w:rPr>
                <w:rFonts w:hAnsi="Arial" w:ascii="Arial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1.586.632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color w:val="0000D4"/>
                <w:sz w:val="18"/>
                <w:szCs w:val="18"/>
                <w:lang w:val="en-US"/>
              </w:rPr>
            </w:pPr>
            <w:r>
              <w:rPr>
                <w:rFonts w:hAnsi="Arial" w:ascii="Arial"/>
                <w:color w:val="0000D4"/>
                <w:sz w:val="18"/>
                <w:szCs w:val="18"/>
              </w:rPr>
              <w:t>1.457.129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Arial" w:asci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Arial" w:ascii="Arial"/>
                <w:sz w:val="18"/>
                <w:szCs w:val="18"/>
                <w:lang w:val="en-US"/>
              </w:rPr>
            </w:pPr>
            <w:r>
              <w:rPr>
                <w:rFonts w:hAnsi="Arial" w:ascii="Arial"/>
                <w:sz w:val="18"/>
                <w:szCs w:val="18"/>
              </w:rPr>
              <w:t> </w:t>
            </w:r>
          </w:p>
        </w:tc>
      </w:tr>
    </w:tbl>
    <w:p w:rsidRDefault="00BB12A9" w:rsidP="00BB12A9" w:rsidR="00BB12A9">
      <w:pPr>
        <w:pStyle w:val="Naslov2"/>
        <w:rPr>
          <w:rFonts w:cstheme="majorBidi" w:hAnsi="Calibri" w:ascii="Calibri"/>
          <w:bCs/>
          <w:color w:themeColor="accent1" w:val="4F81BD"/>
          <w:sz w:val="24"/>
          <w:szCs w:val="26"/>
          <w:lang w:val="en-US"/>
        </w:rPr>
      </w:pPr>
      <w:bookmarkStart w:name="_Toc381801096" w:id="8"/>
      <w:r>
        <w:rPr>
          <w:rFonts w:hAnsi="Calibri" w:ascii="Calibri"/>
          <w:sz w:val="24"/>
        </w:rPr>
        <w:lastRenderedPageBreak/>
        <w:t>1. OPIS ČINJENICA I OKOLNOSTI IZ KOJIH PROIZLAZI POSTOJANJE NESPOSOBNOSTI ZA PLAĆANJE</w:t>
      </w:r>
      <w:bookmarkEnd w:id="8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t xml:space="preserve">Jan </w:t>
      </w:r>
      <w:proofErr w:type="spellStart"/>
      <w:r>
        <w:rPr>
          <w:rFonts w:cs="Times New Roman" w:hAnsi="Calibri" w:ascii="Calibri"/>
          <w:szCs w:val="20"/>
        </w:rPr>
        <w:t>Vnouček</w:t>
      </w:r>
      <w:proofErr w:type="spellEnd"/>
      <w:r>
        <w:rPr>
          <w:rFonts w:cs="Times New Roman" w:hAnsi="Calibri" w:ascii="Calibri"/>
          <w:szCs w:val="20"/>
        </w:rPr>
        <w:t xml:space="preserve">, nositelj obiteljskog poljoprivrednog gospodarstva kao dužnik pokreće </w:t>
      </w:r>
      <w:proofErr w:type="spellStart"/>
      <w:r>
        <w:rPr>
          <w:rFonts w:cs="Times New Roman" w:hAnsi="Calibri" w:ascii="Calibri"/>
          <w:szCs w:val="20"/>
        </w:rPr>
        <w:t>predstečajni</w:t>
      </w:r>
      <w:proofErr w:type="spellEnd"/>
      <w:r>
        <w:rPr>
          <w:rFonts w:cs="Times New Roman" w:hAnsi="Calibri" w:ascii="Calibri"/>
          <w:szCs w:val="20"/>
        </w:rPr>
        <w:t xml:space="preserve"> postupak prema Stečajnom zakonu (Narodne novine 71/15, 104/17) jer smatra kako postoji </w:t>
      </w:r>
      <w:proofErr w:type="spellStart"/>
      <w:r>
        <w:rPr>
          <w:rFonts w:cs="Times New Roman" w:hAnsi="Calibri" w:ascii="Calibri"/>
          <w:szCs w:val="20"/>
        </w:rPr>
        <w:t>predstečajni</w:t>
      </w:r>
      <w:proofErr w:type="spellEnd"/>
      <w:r>
        <w:rPr>
          <w:rFonts w:cs="Times New Roman" w:hAnsi="Calibri" w:ascii="Calibri"/>
          <w:szCs w:val="20"/>
        </w:rPr>
        <w:t xml:space="preserve"> razlog prijeteće nesposobnosti za plaćanje što dokazuje Očevidnikom o redoslijedu plaćanja. Prijeteća nesposobnost za plaćanje nastupila je zbog blokade računa koja se redovitim poslovanjem ne može pokriti u kratkom roku. Poteškoće u poslovanju su nastupile zbog uzastopnih elementarnih nepogoda u 2016. i 2017. godini koje su uzrokovale 80% štete na proizvodnim površinama obiteljskog poljoprivrednog gospodarstva.</w:t>
      </w:r>
    </w:p>
    <w:p w:rsidRDefault="00BB12A9" w:rsidP="00BB12A9" w:rsidR="00BB12A9">
      <w:pPr>
        <w:pStyle w:val="Naslov2"/>
        <w:rPr>
          <w:rFonts w:cstheme="majorBidi" w:hAnsi="Calibri" w:ascii="Calibri"/>
          <w:sz w:val="24"/>
          <w:szCs w:val="26"/>
        </w:rPr>
      </w:pPr>
      <w:bookmarkStart w:name="_Toc381801097" w:id="9"/>
      <w:r>
        <w:rPr>
          <w:rFonts w:hAnsi="Calibri" w:ascii="Calibri"/>
          <w:sz w:val="24"/>
        </w:rPr>
        <w:t>2. IZRAČUN MANJKA LIKVIDNIH SREDSTAVA NA DAN PRILOŽENIH FINANCIJSKIH IZVJEŠTAJA</w:t>
      </w:r>
      <w:bookmarkEnd w:id="9"/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tbl>
      <w:tblPr>
        <w:tblW w:type="dxa" w:w="8115"/>
        <w:jc w:val="center"/>
        <w:tblCellSpacing w:type="dxa" w:w="0"/>
        <w:tblBorders>
          <w:top w:space="0" w:sz="12" w:color="000001" w:val="outset"/>
          <w:left w:space="0" w:sz="12" w:color="000001" w:val="outset"/>
          <w:bottom w:space="0" w:sz="12" w:color="000001" w:val="outset"/>
          <w:right w:space="0" w:sz="12" w:color="000001" w:val="outset"/>
        </w:tblBorders>
        <w:tblCellMar>
          <w:top w:type="dxa" w:w="20"/>
          <w:left w:type="dxa" w:w="20"/>
          <w:bottom w:type="dxa" w:w="20"/>
          <w:right w:type="dxa" w:w="20"/>
        </w:tblCellMar>
        <w:tblLook w:val="04A0" w:noVBand="1" w:noHBand="0" w:lastColumn="0" w:firstColumn="1" w:lastRow="0" w:firstRow="1"/>
      </w:tblPr>
      <w:tblGrid>
        <w:gridCol w:w="1397"/>
        <w:gridCol w:w="4304"/>
        <w:gridCol w:w="2414"/>
      </w:tblGrid>
      <w:tr w:rsidTr="00BB12A9" w:rsidR="00BB12A9">
        <w:trPr>
          <w:tblCellSpacing w:type="dxa" w:w="0"/>
          <w:jc w:val="center"/>
        </w:trPr>
        <w:tc>
          <w:tcPr>
            <w:tcW w:type="dxa" w:w="1397"/>
            <w:vMerge w:val="restart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Redni broj</w:t>
            </w:r>
          </w:p>
        </w:tc>
        <w:tc>
          <w:tcPr>
            <w:tcW w:type="dxa" w:w="4304"/>
            <w:vMerge w:val="restart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Pozicija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31.05.2018.</w:t>
            </w:r>
          </w:p>
        </w:tc>
      </w:tr>
      <w:tr w:rsidTr="00BB12A9" w:rsidR="00BB12A9">
        <w:trPr>
          <w:tblCellSpacing w:type="dxa" w:w="0"/>
          <w:jc w:val="center"/>
        </w:trPr>
        <w:tc>
          <w:tcPr>
            <w:tcW w:type="auto" w:w="0"/>
            <w:vMerge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center"/>
            <w:hideMark/>
          </w:tcPr>
          <w:p w:rsidRDefault="00BB12A9" w:rsidR="00BB12A9">
            <w:pPr>
              <w:rPr>
                <w:rFonts w:cs="Times New Roman" w:hAnsi="Calibri" w:ascii="Calibri"/>
                <w:szCs w:val="20"/>
                <w:lang w:val="en-US"/>
              </w:rPr>
            </w:pPr>
          </w:p>
        </w:tc>
        <w:tc>
          <w:tcPr>
            <w:tcW w:type="auto" w:w="0"/>
            <w:vMerge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center"/>
            <w:hideMark/>
          </w:tcPr>
          <w:p w:rsidRDefault="00BB12A9" w:rsidR="00BB12A9">
            <w:pPr>
              <w:rPr>
                <w:rFonts w:cs="Times New Roman" w:hAnsi="Calibri" w:ascii="Calibri"/>
                <w:szCs w:val="20"/>
                <w:lang w:val="en-US"/>
              </w:rPr>
            </w:pP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shd w:themeFill="accent1" w:fill="4F81BD" w:color="auto" w:val="clear"/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(iznosi u kn)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1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Zalihe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szCs w:val="20"/>
              </w:rPr>
              <w:t>145.031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2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Potraživanja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184.744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3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Kratkotrajna financijska imovina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134.082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4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Novac u banci i blagajni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3.907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I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UKUPNO LIKVIDNA IMOVINA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467.764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1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Obveze za zajmove, depozite i slično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81.774</w:t>
            </w:r>
          </w:p>
        </w:tc>
      </w:tr>
      <w:tr w:rsidTr="00BB12A9" w:rsidR="00BB12A9">
        <w:trPr>
          <w:trHeight w:val="90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2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Obveze prema bankama i drugim financijskim institucijama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51.314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3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Obveze prema dobavljačima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389.347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4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Obveze prema zaposlenicima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9.016</w:t>
            </w:r>
          </w:p>
        </w:tc>
      </w:tr>
      <w:tr w:rsidTr="00BB12A9" w:rsidR="00BB12A9">
        <w:trPr>
          <w:trHeight w:val="558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5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 xml:space="preserve">Obveze za poreze, doprinose i slična </w:t>
            </w:r>
            <w:proofErr w:type="spellStart"/>
            <w:r>
              <w:rPr>
                <w:rFonts w:cs="Times New Roman" w:hAnsi="Calibri" w:ascii="Calibri"/>
                <w:color w:val="000000"/>
              </w:rPr>
              <w:t>davanj</w:t>
            </w:r>
            <w:proofErr w:type="spellEnd"/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121.679</w:t>
            </w:r>
          </w:p>
        </w:tc>
      </w:tr>
      <w:tr w:rsidTr="00BB12A9" w:rsidR="00BB12A9">
        <w:trPr>
          <w:trHeight w:val="558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color w:val="00000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6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color w:val="00000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Ostale kratkoročne obveze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color w:val="00000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7.319</w:t>
            </w:r>
          </w:p>
        </w:tc>
      </w:tr>
      <w:tr w:rsidTr="00BB12A9" w:rsidR="00BB12A9">
        <w:trPr>
          <w:trHeight w:val="44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II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KRATKOROČNE OBVEZE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660.449</w:t>
            </w:r>
          </w:p>
        </w:tc>
      </w:tr>
      <w:tr w:rsidTr="00BB12A9" w:rsidR="00BB12A9">
        <w:trPr>
          <w:trHeight w:val="400"/>
          <w:tblCellSpacing w:type="dxa" w:w="0"/>
          <w:jc w:val="center"/>
        </w:trPr>
        <w:tc>
          <w:tcPr>
            <w:tcW w:type="dxa" w:w="1397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center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III</w:t>
            </w:r>
          </w:p>
        </w:tc>
        <w:tc>
          <w:tcPr>
            <w:tcW w:type="dxa" w:w="430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MANJAK LIKVIDNIH SREDSTAVA (I-II)</w:t>
            </w:r>
          </w:p>
        </w:tc>
        <w:tc>
          <w:tcPr>
            <w:tcW w:type="dxa" w:w="2414"/>
            <w:tcBorders>
              <w:top w:space="0" w:sz="6" w:color="000001" w:val="outset"/>
              <w:left w:space="0" w:sz="6" w:color="000001" w:val="outset"/>
              <w:bottom w:space="0" w:sz="6" w:color="000001" w:val="outset"/>
              <w:right w:space="0" w:sz="6" w:color="000001" w:val="outset"/>
            </w:tcBorders>
            <w:vAlign w:val="bottom"/>
            <w:hideMark/>
          </w:tcPr>
          <w:p w:rsidRDefault="00BB12A9" w:rsidR="00BB12A9">
            <w:pPr>
              <w:spacing w:beforeLines="1" w:before="2"/>
              <w:jc w:val="right"/>
              <w:rPr>
                <w:rFonts w:cs="Times New Roman" w:hAnsi="Calibri" w:ascii="Calibri"/>
                <w:szCs w:val="20"/>
                <w:lang w:val="en-US"/>
              </w:rPr>
            </w:pPr>
            <w:r>
              <w:rPr>
                <w:rFonts w:cs="Times New Roman" w:hAnsi="Calibri" w:ascii="Calibri"/>
                <w:color w:val="000000"/>
              </w:rPr>
              <w:t>-192.685</w:t>
            </w:r>
          </w:p>
        </w:tc>
      </w:tr>
    </w:tbl>
    <w:p w:rsidRDefault="00BB12A9" w:rsidP="00BB12A9" w:rsidR="00BB12A9">
      <w:pPr>
        <w:spacing w:beforeLines="1" w:before="2"/>
        <w:rPr>
          <w:rFonts w:cs="Times New Roman" w:hAnsi="Calibri" w:ascii="Calibri"/>
          <w:szCs w:val="20"/>
          <w:lang w:val="en-US"/>
        </w:rPr>
      </w:pP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  <w:r>
        <w:rPr>
          <w:rFonts w:cs="Times New Roman" w:hAnsi="Calibri" w:ascii="Calibri"/>
          <w:szCs w:val="20"/>
        </w:rPr>
        <w:lastRenderedPageBreak/>
        <w:t>Dužnik na dan 31.05.2018. godine iskazuje manjak likvidnih sredstava u iznosu od 192.685 kuna, a isti je iskazan kao razlika likvidne imovine i dospjelih obveza. Iznos prikazuje da je dužnik u trenutku sastavljanja financijskih izvještaja nelikvidan.</w:t>
      </w:r>
    </w:p>
    <w:p w:rsidRDefault="00BB12A9" w:rsidP="00BB12A9" w:rsidR="00BB12A9">
      <w:pPr>
        <w:spacing w:beforeLines="1" w:before="2"/>
        <w:rPr>
          <w:rFonts w:cs="Times New Roman" w:hAnsi="Calibri" w:ascii="Calibri"/>
          <w:szCs w:val="20"/>
        </w:rPr>
      </w:pPr>
    </w:p>
    <w:p w:rsidRDefault="00BB12A9" w:rsidP="00BB12A9" w:rsidR="00BB12A9">
      <w:pPr>
        <w:pStyle w:val="Naslov2"/>
        <w:rPr>
          <w:rFonts w:cstheme="majorBidi" w:hAnsi="Calibri" w:ascii="Calibri"/>
          <w:sz w:val="24"/>
          <w:szCs w:val="26"/>
        </w:rPr>
      </w:pPr>
      <w:bookmarkStart w:name="_Toc381801098" w:id="10"/>
      <w:r>
        <w:rPr>
          <w:rFonts w:hAnsi="Calibri" w:ascii="Calibri"/>
          <w:sz w:val="24"/>
        </w:rPr>
        <w:t>3. MJERE FINANCIJSKOG RESTRUKTURIRANJA I IZRAČUN NJIHOVIH UČINAKA NA MANJAK LIKVIDNIH SREDSTAVA</w:t>
      </w:r>
      <w:bookmarkEnd w:id="10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Osnovni cilj restrukturiranja je smanjiti i reprogramirati postojeći dug, stabilizirati poslovanje dužnika te uspostaviti održivi model tekućeg poslovanja, kako bi se provele mjere smanjenja troškova dužnika s ciljem poboljšanja pokazatelja poslovanja do razine koja bi omogućila održivost poslovanja.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Ukupne obveze društva na dan 30.06.2018. po skupinama vjerovnika prikazane su u nastavku (iznosi u kunama):</w:t>
      </w:r>
    </w:p>
    <w:tbl>
      <w:tblPr>
        <w:tblStyle w:val="Reetkatablice"/>
        <w:tblW w:type="auto" w:w="0"/>
        <w:jc w:val="center"/>
        <w:tblLook w:val="00A0" w:noVBand="0" w:noHBand="0" w:lastColumn="0" w:firstColumn="1" w:lastRow="0" w:firstRow="1"/>
      </w:tblPr>
      <w:tblGrid>
        <w:gridCol w:w="817"/>
        <w:gridCol w:w="3441"/>
        <w:gridCol w:w="2129"/>
        <w:gridCol w:w="2129"/>
      </w:tblGrid>
      <w:tr w:rsidTr="00BB12A9" w:rsidR="00BB12A9">
        <w:trPr>
          <w:jc w:val="center"/>
        </w:trPr>
        <w:tc>
          <w:tcPr>
            <w:tcW w:type="dxa" w:w="81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344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OPIS: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UKUPNO OBVEZE: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UDIO:</w:t>
            </w:r>
          </w:p>
        </w:tc>
      </w:tr>
      <w:tr w:rsidTr="00BB12A9" w:rsidR="00BB12A9">
        <w:trPr>
          <w:jc w:val="center"/>
        </w:trPr>
        <w:tc>
          <w:tcPr>
            <w:tcW w:type="dxa" w:w="81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</w:t>
            </w:r>
          </w:p>
        </w:tc>
        <w:tc>
          <w:tcPr>
            <w:tcW w:type="dxa" w:w="344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proofErr w:type="spellStart"/>
            <w:r>
              <w:rPr>
                <w:rFonts w:hAnsi="Calibri" w:ascii="Calibri"/>
              </w:rPr>
              <w:t>Razlučni</w:t>
            </w:r>
            <w:proofErr w:type="spellEnd"/>
            <w:r>
              <w:rPr>
                <w:rFonts w:hAnsi="Calibri" w:ascii="Calibri"/>
              </w:rPr>
              <w:t xml:space="preserve"> vjerovnici s pravom odvojenog namirenja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731.856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44%</w:t>
            </w:r>
          </w:p>
        </w:tc>
      </w:tr>
      <w:tr w:rsidTr="00BB12A9" w:rsidR="00BB12A9">
        <w:trPr>
          <w:jc w:val="center"/>
        </w:trPr>
        <w:tc>
          <w:tcPr>
            <w:tcW w:type="dxa" w:w="81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</w:t>
            </w:r>
          </w:p>
        </w:tc>
        <w:tc>
          <w:tcPr>
            <w:tcW w:type="dxa" w:w="344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Utvrđene tražbine vjerovnika koje nisu nižeg isplatnog reda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904.537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56%</w:t>
            </w:r>
          </w:p>
        </w:tc>
      </w:tr>
      <w:tr w:rsidTr="00BB12A9" w:rsidR="00BB12A9">
        <w:trPr>
          <w:jc w:val="center"/>
        </w:trPr>
        <w:tc>
          <w:tcPr>
            <w:tcW w:type="dxa" w:w="81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</w:p>
        </w:tc>
        <w:tc>
          <w:tcPr>
            <w:tcW w:type="dxa" w:w="344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UKUPNO: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1.636.393</w:t>
            </w:r>
          </w:p>
        </w:tc>
        <w:tc>
          <w:tcPr>
            <w:tcW w:type="dxa" w:w="21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100%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U svrhu restrukturiranja poslovanja dužnika potrebno je </w:t>
      </w:r>
      <w:proofErr w:type="spellStart"/>
      <w:r>
        <w:rPr>
          <w:rFonts w:hAnsi="Calibri" w:ascii="Calibri"/>
        </w:rPr>
        <w:t>poduezti</w:t>
      </w:r>
      <w:proofErr w:type="spellEnd"/>
      <w:r>
        <w:rPr>
          <w:rFonts w:hAnsi="Calibri" w:ascii="Calibri"/>
        </w:rPr>
        <w:t xml:space="preserve"> sljedeće mjere:</w:t>
      </w:r>
    </w:p>
    <w:p w:rsidRDefault="00BB12A9" w:rsidP="00BB12A9" w:rsidR="00BB12A9">
      <w:pPr>
        <w:ind w:left="360"/>
        <w:rPr>
          <w:rFonts w:hAnsi="Calibri" w:ascii="Calibri"/>
        </w:rPr>
      </w:pPr>
    </w:p>
    <w:p w:rsidRDefault="00BB12A9" w:rsidP="00BB12A9" w:rsidR="00BB12A9">
      <w:pPr>
        <w:pStyle w:val="Odlomakpopisa"/>
        <w:numPr>
          <w:ilvl w:val="0"/>
          <w:numId w:val="44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  <w:u w:val="single"/>
        </w:rPr>
        <w:t xml:space="preserve">za </w:t>
      </w:r>
      <w:proofErr w:type="spellStart"/>
      <w:r>
        <w:rPr>
          <w:rFonts w:hAnsi="Calibri" w:ascii="Calibri"/>
          <w:u w:val="single"/>
        </w:rPr>
        <w:t>razlučne</w:t>
      </w:r>
      <w:proofErr w:type="spellEnd"/>
      <w:r>
        <w:rPr>
          <w:rFonts w:hAnsi="Calibri" w:ascii="Calibri"/>
          <w:u w:val="single"/>
        </w:rPr>
        <w:t xml:space="preserve"> vjerovnike s pravom odvojenog namirenja: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proofErr w:type="spellStart"/>
      <w:r>
        <w:rPr>
          <w:rFonts w:hAnsi="Calibri" w:ascii="Calibri"/>
        </w:rPr>
        <w:t>Reprogram</w:t>
      </w:r>
      <w:proofErr w:type="spellEnd"/>
      <w:r>
        <w:rPr>
          <w:rFonts w:hAnsi="Calibri" w:ascii="Calibri"/>
        </w:rPr>
        <w:t xml:space="preserve"> svih </w:t>
      </w:r>
      <w:proofErr w:type="spellStart"/>
      <w:r>
        <w:rPr>
          <w:rFonts w:hAnsi="Calibri" w:ascii="Calibri"/>
        </w:rPr>
        <w:t>dospijelih</w:t>
      </w:r>
      <w:proofErr w:type="spellEnd"/>
      <w:r>
        <w:rPr>
          <w:rFonts w:hAnsi="Calibri" w:ascii="Calibri"/>
        </w:rPr>
        <w:t xml:space="preserve"> obveza po kreditima (glavnica i kamate) uz zadržavanje dosadašnjih instrumenata osiguranja na rok od 10 godina uz godinu dana počeka, a sve po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sudom.</w:t>
      </w:r>
    </w:p>
    <w:p w:rsidRDefault="00BB12A9" w:rsidP="00BB12A9" w:rsidR="00BB12A9">
      <w:pPr>
        <w:rPr>
          <w:rFonts w:hAnsi="Calibri" w:ascii="Calibri"/>
        </w:rPr>
      </w:pPr>
    </w:p>
    <w:tbl>
      <w:tblPr>
        <w:tblStyle w:val="Reetkatablice"/>
        <w:tblW w:type="auto" w:w="0"/>
        <w:jc w:val="center"/>
        <w:tblLook w:val="00A0" w:noVBand="0" w:noHBand="0" w:lastColumn="0" w:firstColumn="1" w:lastRow="0" w:firstRow="1"/>
      </w:tblPr>
      <w:tblGrid>
        <w:gridCol w:w="750"/>
        <w:gridCol w:w="2039"/>
        <w:gridCol w:w="1558"/>
        <w:gridCol w:w="2257"/>
        <w:gridCol w:w="1912"/>
      </w:tblGrid>
      <w:tr w:rsidTr="00BB12A9" w:rsidR="00BB12A9">
        <w:trPr>
          <w:jc w:val="center"/>
        </w:trPr>
        <w:tc>
          <w:tcPr>
            <w:tcW w:type="dxa" w:w="75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203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Opis:</w:t>
            </w:r>
          </w:p>
        </w:tc>
        <w:tc>
          <w:tcPr>
            <w:tcW w:type="dxa" w:w="1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OIB:</w:t>
            </w:r>
          </w:p>
        </w:tc>
        <w:tc>
          <w:tcPr>
            <w:tcW w:type="dxa" w:w="2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Adresa:</w:t>
            </w:r>
          </w:p>
        </w:tc>
        <w:tc>
          <w:tcPr>
            <w:tcW w:type="dxa" w:w="191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Iznos u kn:</w:t>
            </w:r>
          </w:p>
        </w:tc>
      </w:tr>
      <w:tr w:rsidTr="00BB12A9" w:rsidR="00BB12A9">
        <w:trPr>
          <w:jc w:val="center"/>
        </w:trPr>
        <w:tc>
          <w:tcPr>
            <w:tcW w:type="dxa" w:w="75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</w:t>
            </w:r>
          </w:p>
        </w:tc>
        <w:tc>
          <w:tcPr>
            <w:tcW w:type="dxa" w:w="203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Zagrebačka banka d.d.</w:t>
            </w:r>
          </w:p>
        </w:tc>
        <w:tc>
          <w:tcPr>
            <w:tcW w:type="dxa" w:w="1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BB12A9" w:rsidR="00BB12A9">
            <w:pPr>
              <w:pStyle w:val="StandardWeb"/>
              <w:spacing w:before="2"/>
              <w:rPr>
                <w:rFonts w:cs="Times New Roman" w:hAnsi="Calibri" w:ascii="Calibri"/>
              </w:rPr>
            </w:pPr>
            <w:r>
              <w:rPr>
                <w:rFonts w:hAnsi="Calibri" w:ascii="Calibri"/>
                <w:color w:val="000000"/>
              </w:rPr>
              <w:t>92963223473</w:t>
            </w:r>
          </w:p>
          <w:p w:rsidRDefault="00BB12A9" w:rsidR="00BB12A9">
            <w:pPr>
              <w:tabs>
                <w:tab w:pos="1653" w:val="left"/>
              </w:tabs>
              <w:spacing w:after="2" w:before="2"/>
              <w:rPr>
                <w:rFonts w:hAnsi="Calibri" w:ascii="Calibri"/>
                <w:lang w:val="en-US"/>
              </w:rPr>
            </w:pPr>
          </w:p>
        </w:tc>
        <w:tc>
          <w:tcPr>
            <w:tcW w:type="dxa" w:w="2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</w:rPr>
            </w:pPr>
            <w:r>
              <w:rPr>
                <w:rFonts w:hAnsi="Calibri" w:ascii="Calibri"/>
              </w:rPr>
              <w:t xml:space="preserve">Zagreb, </w:t>
            </w:r>
          </w:p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Trg bana J. Jelačića 10</w:t>
            </w:r>
          </w:p>
        </w:tc>
        <w:tc>
          <w:tcPr>
            <w:tcW w:type="dxa" w:w="191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731.856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pStyle w:val="Odlomakpopisa"/>
        <w:numPr>
          <w:ilvl w:val="0"/>
          <w:numId w:val="44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  <w:u w:val="single"/>
        </w:rPr>
      </w:pPr>
      <w:r>
        <w:rPr>
          <w:rFonts w:hAnsi="Calibri" w:ascii="Calibri"/>
          <w:u w:val="single"/>
        </w:rPr>
        <w:t>za vjerovnike s tražbinama koje nisu nižeg isplatnog reda:</w:t>
      </w:r>
    </w:p>
    <w:p w:rsidRDefault="00BB12A9" w:rsidP="00BB12A9" w:rsidR="00BB12A9">
      <w:pPr>
        <w:pStyle w:val="StandardWeb"/>
        <w:spacing w:before="2"/>
        <w:ind w:left="1080"/>
        <w:rPr>
          <w:rFonts w:hAnsi="Calibri" w:ascii="Calibri"/>
        </w:rPr>
      </w:pPr>
      <w:r>
        <w:rPr>
          <w:rFonts w:hAnsi="Calibri" w:ascii="Calibri"/>
        </w:rPr>
        <w:lastRenderedPageBreak/>
        <w:t xml:space="preserve">Tražbine prema vjerovnicima koji nisu nižeg isplatnog reda na dan 30.06.2018. godine iznosi 904.536,73 kn. Za sve vjerovnike, osim za Ministarstvo financija – Poreznu upravu, predviđen je otpis 50% ukupno utvrđenih tražbina, te nakon jedne godine počeka, obročna otplata 50% ukupno utvrđenih tražbina u 48 jednakih mjesečnih rata uz propisanu kamatu od 4,5% godišnje, a sve počevši od dana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sudom. S Ministarstvom financija – Poreznom upravom postignut je prethodni dogovor, pa se predviđa otpis 45% ukupno utvrđenih tražbina, te nakon jedne godine počeka, obročna otplata 55% ukupno utvrđenih tražbina u 48 jednakih mjesečnih rata uz propisanu kamatu od 4,5% godišnje, a sve počevši od dana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sudom.</w:t>
      </w:r>
    </w:p>
    <w:p w:rsidRDefault="00BB12A9" w:rsidP="00BB12A9" w:rsidR="00BB12A9">
      <w:pPr>
        <w:rPr>
          <w:rFonts w:cs="Times New Roman" w:hAnsi="Calibri" w:ascii="Calibri"/>
        </w:rPr>
        <w:sectPr w:rsidR="00BB12A9">
          <w:pgSz w:h="16834" w:w="11904"/>
          <w:pgMar w:gutter="0" w:footer="708" w:header="708" w:left="1134" w:bottom="1134" w:right="1276" w:top="1135"/>
          <w:cols w:space="720"/>
        </w:sectPr>
      </w:pPr>
    </w:p>
    <w:tbl>
      <w:tblPr>
        <w:tblW w:type="dxa" w:w="12982"/>
        <w:jc w:val="center"/>
        <w:tblLook w:val="04A0" w:noVBand="1" w:noHBand="0" w:lastColumn="0" w:firstColumn="1" w:lastRow="0" w:firstRow="1"/>
      </w:tblPr>
      <w:tblGrid>
        <w:gridCol w:w="558"/>
        <w:gridCol w:w="2350"/>
        <w:gridCol w:w="1349"/>
        <w:gridCol w:w="2168"/>
        <w:gridCol w:w="1143"/>
        <w:gridCol w:w="871"/>
        <w:gridCol w:w="1696"/>
        <w:gridCol w:w="1843"/>
        <w:gridCol w:w="1004"/>
      </w:tblGrid>
      <w:tr w:rsidTr="00BB12A9" w:rsidR="00BB12A9">
        <w:trPr>
          <w:trHeight w:val="1020"/>
          <w:jc w:val="center"/>
        </w:trPr>
        <w:tc>
          <w:tcPr>
            <w:tcW w:type="dxa" w:w="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Rbr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1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Autocentar Rajković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8870961602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20b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2.650,21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1.325,11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1.325,11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27,61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Vatroslava Jagića 33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12.896,00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6.448,00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6.448,00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134,33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Euroherc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d.d. Podružnica Bjelovar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Zagrebačka 51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2.800,36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1.400,18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1.400,18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29,17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Darko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Vnouček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, vlasnik građevinskog obrta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05305557315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18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508.700,34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245.350,17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245.350,17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5.298,96</w:t>
            </w:r>
          </w:p>
        </w:tc>
      </w:tr>
      <w:tr w:rsidTr="00BB12A9" w:rsidR="00BB12A9">
        <w:trPr>
          <w:trHeight w:val="76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Hrvatski centar za poljoprivredu, hranu i selo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35506269186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Jandrićeva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42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1.992,65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996,33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996,33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20,76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HEP opskrba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37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517,34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258,67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258,67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5,39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Ireks Aroma d.o.o. 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36709757659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Jastrebarsko, Trešnjevka 24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11.268,53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5.634,27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5.634,27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117,38</w:t>
            </w:r>
          </w:p>
        </w:tc>
      </w:tr>
      <w:tr w:rsidTr="00BB12A9" w:rsidR="00BB12A9">
        <w:trPr>
          <w:trHeight w:val="25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Kapelakom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98109389097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1.401,70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700,85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700,85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14,60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27962400486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9.099,11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4.549,56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4.549,56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94,78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Mariterm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servis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53742514983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Rijeka, Zamet, Dražice 123d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2.656,25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1.328,13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1.328,13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27,67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Ministarstvo financija Porezna uprava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116.065,03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45,00%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52.229,26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63.835,77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1.329,91</w:t>
            </w:r>
          </w:p>
        </w:tc>
      </w:tr>
      <w:tr w:rsidTr="00BB12A9" w:rsidR="00BB12A9">
        <w:trPr>
          <w:trHeight w:val="25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Općina Kapela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39819228656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3.684,84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1.842,42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1.842,42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38,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</w:t>
            </w:r>
            <w:proofErr w:type="spellEnd"/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Pa-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Vin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59920925649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Jastrebarsko, V. </w:t>
            </w: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Holjevca 20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136.280,28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68.140,14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68.140,14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1.419,59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14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Privredna banka Zagreb 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Radnička cesta 50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1.345,70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672,85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672,85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14,02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PBZ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Card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Radnička cesta 44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50.313,16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25.156,58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25.156,58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524,10</w:t>
            </w:r>
          </w:p>
        </w:tc>
      </w:tr>
      <w:tr w:rsidTr="00BB12A9" w:rsidR="00BB12A9">
        <w:trPr>
          <w:trHeight w:val="25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Poljocentar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49929727453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Križevci, Obrtnička 12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594,44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297,22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297,22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6,19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Radio Terezija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09799544348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Bjelovar,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Šet.dr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. I.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Lebovića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28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875,00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437,50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437,50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9,11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Škarda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sanitarna zaštita d.o.o.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48962003176</w:t>
            </w:r>
          </w:p>
        </w:tc>
        <w:tc>
          <w:tcPr>
            <w:tcW w:type="dxa" w:w="21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Čazma, Milana Novačića 73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562,50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281,25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281,25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5,86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Tele 2 d.o.o.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70133616033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269d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478,33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239,17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239,17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4,98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Triglav osiguranje 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29743547603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Koprivnica,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Tarašćice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38.183,83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19.091,92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19.091,92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397,75</w:t>
            </w:r>
          </w:p>
        </w:tc>
      </w:tr>
      <w:tr w:rsidTr="00BB12A9" w:rsidR="00BB12A9">
        <w:trPr>
          <w:trHeight w:val="510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Vodne usluge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43307218011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71,34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35,67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35,67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0,74</w:t>
            </w:r>
          </w:p>
        </w:tc>
      </w:tr>
      <w:tr w:rsidTr="00BB12A9" w:rsidR="00BB12A9">
        <w:trPr>
          <w:trHeight w:val="25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Veritas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revizija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67053879353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Zagorska 13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4.750,00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2.375,00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2.375,00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49,48</w:t>
            </w:r>
          </w:p>
        </w:tc>
      </w:tr>
      <w:tr w:rsidTr="00BB12A9" w:rsidR="00BB12A9">
        <w:trPr>
          <w:trHeight w:val="255"/>
          <w:jc w:val="center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904.536,73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426.287,63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437.894,14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9.122,79</w:t>
            </w:r>
          </w:p>
        </w:tc>
      </w:tr>
    </w:tbl>
    <w:p w:rsidRDefault="00BB12A9" w:rsidP="00BB12A9" w:rsidR="00BB12A9">
      <w:pPr>
        <w:rPr>
          <w:rFonts w:cs="Times New Roman" w:hAnsi="Calibri" w:ascii="Calibri"/>
        </w:rPr>
        <w:sectPr w:rsidR="00BB12A9">
          <w:pgSz w:orient="landscape" w:h="11904" w:w="16834"/>
          <w:pgMar w:gutter="0" w:footer="708" w:header="708" w:left="1135" w:bottom="284" w:right="1440" w:top="1276"/>
          <w:cols w:space="720"/>
        </w:sectPr>
      </w:pPr>
    </w:p>
    <w:p w:rsidRDefault="00BB12A9" w:rsidP="00BB12A9" w:rsidR="00BB12A9">
      <w:pPr>
        <w:rPr>
          <w:rFonts w:hAnsi="Calibri" w:ascii="Calibri"/>
          <w:b/>
          <w:u w:val="single"/>
          <w:lang w:val="en-US"/>
        </w:rPr>
      </w:pPr>
      <w:r>
        <w:rPr>
          <w:rFonts w:hAnsi="Calibri" w:ascii="Calibri"/>
          <w:b/>
          <w:u w:val="single"/>
        </w:rPr>
        <w:lastRenderedPageBreak/>
        <w:t>Dug prema zaposlenicima iznosi 8.996,57 kuna.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Tražbine radnika iskazane su u financijskim izvještajima Društva po osnovi plaća za lipanj 2018. u iznosu od 8.996,57  kn na dan 30.06.2018. godine. Ako </w:t>
      </w:r>
      <w:proofErr w:type="spellStart"/>
      <w:r>
        <w:rPr>
          <w:rFonts w:hAnsi="Calibri" w:ascii="Calibri"/>
        </w:rPr>
        <w:t>predstečajna</w:t>
      </w:r>
      <w:proofErr w:type="spellEnd"/>
      <w:r>
        <w:rPr>
          <w:rFonts w:hAnsi="Calibri" w:ascii="Calibri"/>
        </w:rPr>
        <w:t xml:space="preserve"> nagodba bude sklopljena, dužnik izjavljuje da neće imati učinka na tražbine radnika te će one biti podmirene po prioritetnom postupku.</w:t>
      </w: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S obzirom na navedene mjere ključne promjene nastaju u strukturi pasive tako da se </w:t>
      </w:r>
      <w:proofErr w:type="spellStart"/>
      <w:r>
        <w:rPr>
          <w:rFonts w:hAnsi="Calibri" w:ascii="Calibri"/>
        </w:rPr>
        <w:t>reprogramom</w:t>
      </w:r>
      <w:proofErr w:type="spellEnd"/>
      <w:r>
        <w:rPr>
          <w:rFonts w:hAnsi="Calibri" w:ascii="Calibri"/>
        </w:rPr>
        <w:t xml:space="preserve"> obveza sukladno prijedlogu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 povećava stavka dugoročnih obveza što direktno utječe na likvidnost dužnika. Predloženim počekom otplate obveza i djelomičnim otpisom istih osigurava se likvidnost na kratki rok i omogućuje stabilizacija poslovanja te generiranje pozitivnih novčanih tokova za isplatu obveza prema vjerovnicima.</w:t>
      </w:r>
    </w:p>
    <w:p w:rsidRDefault="00BB12A9" w:rsidP="00BB12A9" w:rsidR="00BB12A9">
      <w:pPr>
        <w:pStyle w:val="Naslov2"/>
        <w:rPr>
          <w:rFonts w:hAnsi="Calibri" w:ascii="Calibri"/>
          <w:sz w:val="26"/>
          <w:szCs w:val="26"/>
        </w:rPr>
      </w:pPr>
      <w:bookmarkStart w:name="_Toc381801099" w:id="11"/>
      <w:r>
        <w:rPr>
          <w:rFonts w:hAnsi="Calibri" w:ascii="Calibri"/>
        </w:rPr>
        <w:t>4. OPIS MJERA OPERATIVNOG RESTRUKTURIRANJA I IZRAČUN NJIHOVIH UČINAKA NA POSLOVANJE</w:t>
      </w:r>
      <w:bookmarkEnd w:id="11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Dužnik je već započeo s nekim operativnim mjerama (smanjene svih operativnih izdataka na minimum) tako da će nakon </w:t>
      </w:r>
      <w:proofErr w:type="spellStart"/>
      <w:r>
        <w:rPr>
          <w:rFonts w:hAnsi="Calibri" w:ascii="Calibri"/>
        </w:rPr>
        <w:t>predstečajnog</w:t>
      </w:r>
      <w:proofErr w:type="spellEnd"/>
      <w:r>
        <w:rPr>
          <w:rFonts w:hAnsi="Calibri" w:ascii="Calibri"/>
        </w:rPr>
        <w:t xml:space="preserve"> postupka nastaviti sa starim mjerama te uvesti u poslovanje neke nove mjere radi smanjenja troškova poslovanja te povećanja prihoda i novčanih primitaka: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smanjenje svih direktnih i indirektnih troškova proizvodnje koje je moguće bez ugrožavanja proizvodnog procesa,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prodaja nelikvidne imovine i viška zaliha repromaterijala,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optimizacija radnih procesa,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povećanje efikasnosti radnih procesa,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povećana pozornost pri upotrebi alata, opreme i strojeva radi izbjegavanja troškova kvarova izazvanih nepažnjom,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pregovori s dobavljačima oko cijena, pronalazak novih povoljnijih dobavljača materijala i opreme,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kvalitetnije upravljanje potraživanjima radi naplate kroz smanjenje roka plaćanja i bonitetnu provjeru kupaca veleprodaje,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 xml:space="preserve">unapređivanje prodaje kroz pojačane </w:t>
      </w:r>
      <w:proofErr w:type="spellStart"/>
      <w:r>
        <w:rPr>
          <w:rFonts w:hAnsi="Calibri" w:ascii="Calibri"/>
        </w:rPr>
        <w:t>marketniške</w:t>
      </w:r>
      <w:proofErr w:type="spellEnd"/>
      <w:r>
        <w:rPr>
          <w:rFonts w:hAnsi="Calibri" w:ascii="Calibri"/>
        </w:rPr>
        <w:t xml:space="preserve"> aktivnosti,</w:t>
      </w:r>
    </w:p>
    <w:p w:rsidRDefault="00BB12A9" w:rsidP="00BB12A9" w:rsidR="00BB12A9">
      <w:pPr>
        <w:pStyle w:val="Odlomakpopisa"/>
        <w:numPr>
          <w:ilvl w:val="0"/>
          <w:numId w:val="45"/>
        </w:numPr>
        <w:tabs>
          <w:tab w:pos="851" w:val="clear"/>
        </w:tabs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kontinuirano tražnje novih kvalitetnih kupaca veleprodaje.</w:t>
      </w:r>
    </w:p>
    <w:p w:rsidRDefault="00BB12A9" w:rsidP="00BB12A9" w:rsidR="00BB12A9">
      <w:pPr>
        <w:pStyle w:val="StandardWeb"/>
        <w:spacing w:lineRule="auto" w:line="360" w:before="2"/>
        <w:rPr>
          <w:rFonts w:hAnsi="Calibri" w:ascii="Calibri"/>
        </w:rPr>
      </w:pPr>
    </w:p>
    <w:p w:rsidRDefault="00BB12A9" w:rsidP="00BB12A9" w:rsidR="00BB12A9">
      <w:pPr>
        <w:pStyle w:val="Naslov2"/>
        <w:rPr>
          <w:rFonts w:hAnsi="Calibri" w:ascii="Calibri"/>
        </w:rPr>
      </w:pPr>
      <w:bookmarkStart w:name="_Toc381801100" w:id="12"/>
      <w:r>
        <w:rPr>
          <w:rFonts w:hAnsi="Calibri" w:ascii="Calibri"/>
        </w:rPr>
        <w:t>5. PLAN POSLOVANJA ZA RAZDOBLJE DO KRAJA 2018. GODINE, 2019. GODINU i 2020. GODINU</w:t>
      </w:r>
      <w:bookmarkEnd w:id="12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Ključne pretpostavke projekcije poslovanja:</w:t>
      </w:r>
    </w:p>
    <w:p w:rsidRDefault="00BB12A9" w:rsidP="00BB12A9" w:rsidR="00BB12A9">
      <w:pPr>
        <w:pStyle w:val="Odlomakpopisa"/>
        <w:numPr>
          <w:ilvl w:val="0"/>
          <w:numId w:val="46"/>
        </w:numPr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lastRenderedPageBreak/>
        <w:t>Projekcija računa dobiti i gubitka utvrđena je za tekuću godinu i naredne 2 godine poslovanja, a podlogu za izračun čine utvrđene kategorije u Planu restrukturiranja ( tržišne okolnosti, utjecaj na prodajnu i troškovnu učinkovitost, utjecaj financijskog restrukturiranja).</w:t>
      </w:r>
    </w:p>
    <w:p w:rsidRDefault="00BB12A9" w:rsidP="00BB12A9" w:rsidR="00BB12A9">
      <w:pPr>
        <w:pStyle w:val="Odlomakpopisa"/>
        <w:numPr>
          <w:ilvl w:val="0"/>
          <w:numId w:val="46"/>
        </w:numPr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 xml:space="preserve">Prihodi i bruto marža – projekcija prihoda unutar prikazanog računa dobiti i gubitka temelji se na predviđenom utjecaju operativnog i financijskog restrukturiranja do kojeg se došlo </w:t>
      </w:r>
      <w:proofErr w:type="spellStart"/>
      <w:r>
        <w:rPr>
          <w:rFonts w:hAnsi="Calibri" w:ascii="Calibri"/>
        </w:rPr>
        <w:t>reprogramom</w:t>
      </w:r>
      <w:proofErr w:type="spellEnd"/>
      <w:r>
        <w:rPr>
          <w:rFonts w:hAnsi="Calibri" w:ascii="Calibri"/>
        </w:rPr>
        <w:t xml:space="preserve"> obveza kroz sklapanje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 te povećanjem prihoda iz obavljanja osnovne djelatnosti.</w:t>
      </w:r>
    </w:p>
    <w:p w:rsidRDefault="00BB12A9" w:rsidP="00BB12A9" w:rsidR="00BB12A9">
      <w:pPr>
        <w:pStyle w:val="Odlomakpopisa"/>
        <w:numPr>
          <w:ilvl w:val="0"/>
          <w:numId w:val="46"/>
        </w:numPr>
        <w:spacing w:after="0" w:beforeLines="1" w:before="2"/>
        <w:contextualSpacing/>
        <w:jc w:val="left"/>
        <w:rPr>
          <w:rFonts w:hAnsi="Calibri" w:ascii="Calibri"/>
        </w:rPr>
      </w:pPr>
      <w:r>
        <w:rPr>
          <w:rFonts w:hAnsi="Calibri" w:ascii="Calibri"/>
        </w:rPr>
        <w:t>Troškovi – projekcija troškova unutar prikazanog računa dobiti i gubitka temelji se na smanjenju operativnih troškova koji će se ostvariti racionalizacijom poslovanja.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U nastavku prikazujemo prosječne mjesečne troškove za nesmetano poslovanje (iznosi u kn):</w:t>
      </w:r>
    </w:p>
    <w:p w:rsidRDefault="00BB12A9" w:rsidP="00BB12A9" w:rsidR="00BB12A9">
      <w:pPr>
        <w:rPr>
          <w:rFonts w:hAnsi="Calibri" w:ascii="Calibri"/>
        </w:rPr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959"/>
        <w:gridCol w:w="5514"/>
        <w:gridCol w:w="1999"/>
      </w:tblGrid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 troška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Iznos u kn: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Bruto plaće zaposlenih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8.700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Troškovi energije, goriva, komunalne i vodne usluge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4.200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Trošak najma poslovnog prostora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700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 xml:space="preserve">Usluge </w:t>
            </w:r>
            <w:proofErr w:type="spellStart"/>
            <w:r>
              <w:rPr>
                <w:rFonts w:hAnsi="Calibri" w:ascii="Calibri"/>
              </w:rPr>
              <w:t>interneta</w:t>
            </w:r>
            <w:proofErr w:type="spellEnd"/>
            <w:r>
              <w:rPr>
                <w:rFonts w:hAnsi="Calibri" w:ascii="Calibri"/>
              </w:rPr>
              <w:t xml:space="preserve"> i mobitela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Repromaterijal za uzgoj grožđa i proizvodnju vina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8.750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5.</w:t>
            </w: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Troškovi kamata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</w:p>
        </w:tc>
        <w:tc>
          <w:tcPr>
            <w:tcW w:type="dxa" w:w="55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UKUPNO:</w:t>
            </w:r>
          </w:p>
        </w:tc>
        <w:tc>
          <w:tcPr>
            <w:tcW w:type="dxa" w:w="19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jc w:val="right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27.650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Poslovni prihodi za buduće razdoblje projiciraju se prema prosječnom prihodu ostvarenom u protekle 3 godine. Ostali prihodi projiciraju se prema prosječnom prihodu ostvarenom u protekle 3 godine, dok je u projekciju prihoda za 2018. godinu uključen i prihod od otpisanih obveza vjerovnika iz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Projekcija prihoda za razdoblje 2018. do 2020. godina u kunama:</w:t>
      </w:r>
    </w:p>
    <w:p w:rsidRDefault="00BB12A9" w:rsidP="00BB12A9" w:rsidR="00BB12A9">
      <w:pPr>
        <w:rPr>
          <w:rFonts w:hAnsi="Calibri" w:ascii="Calibri"/>
        </w:rPr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959"/>
        <w:gridCol w:w="2925"/>
        <w:gridCol w:w="1942"/>
        <w:gridCol w:w="1942"/>
        <w:gridCol w:w="1942"/>
      </w:tblGrid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 prihoda: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2018.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2019.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2020.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Poslovni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lastRenderedPageBreak/>
              <w:t>2.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Ostali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474.000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24.000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UKUPNI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1.144.000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694.000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694.000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Troškovi se projiciraju za buduće razdoblje na temelju prosječnih vrijednosti ostvarenih u poslovanju u protekle 3 godine sa korekcijom smanjenja odnosno povećanja </w:t>
      </w:r>
      <w:proofErr w:type="spellStart"/>
      <w:r>
        <w:rPr>
          <w:rFonts w:hAnsi="Calibri" w:ascii="Calibri"/>
        </w:rPr>
        <w:t>pojednih</w:t>
      </w:r>
      <w:proofErr w:type="spellEnd"/>
      <w:r>
        <w:rPr>
          <w:rFonts w:hAnsi="Calibri" w:ascii="Calibri"/>
        </w:rPr>
        <w:t xml:space="preserve"> stavki s obzirom na provođenje racionalizacije poslovanja i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Projekcija rashoda za razdoblje 2018. do 2020. godina u kunama:</w:t>
      </w:r>
    </w:p>
    <w:p w:rsidRDefault="00BB12A9" w:rsidP="00BB12A9" w:rsidR="00BB12A9">
      <w:pPr>
        <w:rPr>
          <w:rFonts w:hAnsi="Calibri" w:ascii="Calibri"/>
        </w:rPr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959"/>
        <w:gridCol w:w="2925"/>
        <w:gridCol w:w="1942"/>
        <w:gridCol w:w="1942"/>
        <w:gridCol w:w="1942"/>
      </w:tblGrid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 rashoda: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2018.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2019.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2020.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Troškovi osoblja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80.000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104.400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104.400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Materijalni troškovi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320.000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300.000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300.000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Amortizacija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Ostali troškovi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150.000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28.000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28.000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Financijski rashodi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UKUPNI RASHODI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820.000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692.400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692.400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Račun dobiti i gubitka se projicira za buduće razdoblje na temelju prikazane projekcije prihoda i rashoda.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Projekcija računa dobiti i gubitka za razdoblje 2018. do 2020. godina u kunama:</w:t>
      </w:r>
    </w:p>
    <w:p w:rsidRDefault="00BB12A9" w:rsidP="00BB12A9" w:rsidR="00BB12A9">
      <w:pPr>
        <w:rPr>
          <w:rFonts w:hAnsi="Calibri" w:ascii="Calibri"/>
        </w:rPr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959"/>
        <w:gridCol w:w="2925"/>
        <w:gridCol w:w="1942"/>
        <w:gridCol w:w="1942"/>
        <w:gridCol w:w="1942"/>
      </w:tblGrid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 pozicije: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2018.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2019.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2020.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I.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UKUPNI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1.144.000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694.000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694.000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I.1.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Poslovni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670.000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I.2.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Ostali prihodi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474.000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24.000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24.000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II.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UKUPNI RASHODI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820.000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692.400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  <w:b/>
              </w:rPr>
              <w:t>692.400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II.1.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Troškovi osoblja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80.000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104.400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104.400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lastRenderedPageBreak/>
              <w:t>II.2.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Materijalni troškovi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320.000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300.000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300.000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II.3.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Amortizacija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210.000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II.4.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Ostali troškovi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110.000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28.000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28.000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II.5.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Financijski rashodi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60.000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50.000</w:t>
            </w:r>
          </w:p>
        </w:tc>
      </w:tr>
      <w:tr w:rsidTr="00BB12A9" w:rsidR="00BB12A9">
        <w:tc>
          <w:tcPr>
            <w:tcW w:type="dxa" w:w="9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III.</w:t>
            </w:r>
          </w:p>
        </w:tc>
        <w:tc>
          <w:tcPr>
            <w:tcW w:type="dxa" w:w="292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DOBIT PRIJE OPOREZIVANJA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320.000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1.600</w:t>
            </w:r>
          </w:p>
        </w:tc>
        <w:tc>
          <w:tcPr>
            <w:tcW w:type="dxa" w:w="194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rPr>
                <w:rFonts w:hAnsi="Calibri" w:ascii="Calibri"/>
                <w:b/>
                <w:lang w:val="en-US"/>
              </w:rPr>
            </w:pPr>
            <w:r>
              <w:rPr>
                <w:rFonts w:hAnsi="Calibri" w:ascii="Calibri"/>
                <w:b/>
              </w:rPr>
              <w:t>1.600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Projicirani račun dobiti i gubitka iskazuje održivost predloženog poslovnog modela na razini neto dobiti. U 2018. godini uz smanjivanje operativnih troškova i poboljšanje naplate potraživanja očekujemo stabilizaciju poslovanja.</w:t>
      </w:r>
    </w:p>
    <w:p w:rsidRDefault="00BB12A9" w:rsidP="00BB12A9" w:rsidR="00BB12A9">
      <w:pPr>
        <w:pStyle w:val="Naslov2"/>
        <w:rPr>
          <w:rFonts w:hAnsi="Calibri" w:ascii="Calibri"/>
        </w:rPr>
      </w:pPr>
      <w:bookmarkStart w:name="_Toc381801101" w:id="13"/>
      <w:r>
        <w:rPr>
          <w:rFonts w:hAnsi="Calibri" w:ascii="Calibri"/>
        </w:rPr>
        <w:t>6.1. PLANIRANA BILANCA NA ZADNJI DAN RAZDOBLJA ZA KOJE JE SASTAVLJEN PLAN POSLOVANJA</w:t>
      </w:r>
      <w:bookmarkEnd w:id="13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U nastavku donosimo projekciju bilance da 31.12.2020. godine (zadnji dan za koje je sastavljen plan poslovanja):</w:t>
      </w:r>
    </w:p>
    <w:p w:rsidRDefault="00BB12A9" w:rsidP="00BB12A9" w:rsidR="00BB12A9">
      <w:pPr>
        <w:rPr>
          <w:rFonts w:hAnsi="Calibri" w:ascii="Calibri"/>
        </w:rPr>
      </w:pPr>
    </w:p>
    <w:tbl>
      <w:tblPr>
        <w:tblW w:type="dxa" w:w="10490"/>
        <w:jc w:val="center"/>
        <w:tblLook w:val="04A0" w:noVBand="1" w:noHBand="0" w:lastColumn="0" w:firstColumn="1" w:lastRow="0" w:firstRow="1"/>
      </w:tblPr>
      <w:tblGrid>
        <w:gridCol w:w="946"/>
        <w:gridCol w:w="940"/>
        <w:gridCol w:w="936"/>
        <w:gridCol w:w="932"/>
        <w:gridCol w:w="929"/>
        <w:gridCol w:w="927"/>
        <w:gridCol w:w="680"/>
        <w:gridCol w:w="680"/>
        <w:gridCol w:w="1760"/>
        <w:gridCol w:w="1760"/>
      </w:tblGrid>
      <w:tr w:rsidTr="00BB12A9" w:rsidR="00BB12A9">
        <w:trPr>
          <w:trHeight w:val="400"/>
          <w:jc w:val="center"/>
        </w:trPr>
        <w:tc>
          <w:tcPr>
            <w:tcW w:type="dxa" w:w="972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000090"/>
                <w:lang w:val="en-US"/>
              </w:rPr>
            </w:pPr>
            <w:bookmarkStart w:name="RANGE!A2:J133" w:id="14"/>
            <w:r>
              <w:rPr>
                <w:rFonts w:hAnsi="Calibri" w:ascii="Calibri"/>
                <w:b/>
                <w:bCs/>
                <w:color w:val="000090"/>
              </w:rPr>
              <w:t>BILANCA</w:t>
            </w:r>
            <w:bookmarkEnd w:id="14"/>
          </w:p>
        </w:tc>
        <w:tc>
          <w:tcPr>
            <w:tcW w:type="dxa" w:w="17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hAnsi="Calibri" w:ascii="Calibri"/>
                <w:b/>
                <w:bCs/>
                <w:color w:val="000090"/>
                <w:sz w:val="20"/>
                <w:szCs w:val="20"/>
              </w:rPr>
              <w:br/>
              <w:t>POD-BIL</w:t>
            </w:r>
          </w:p>
        </w:tc>
      </w:tr>
      <w:tr w:rsidTr="00BB12A9" w:rsidR="00BB12A9">
        <w:trPr>
          <w:trHeight w:val="400"/>
          <w:jc w:val="center"/>
        </w:trPr>
        <w:tc>
          <w:tcPr>
            <w:tcW w:type="dxa" w:w="972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000090"/>
                <w:sz w:val="20"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color w:val="000090"/>
                <w:sz w:val="20"/>
                <w:szCs w:val="20"/>
              </w:rPr>
              <w:t>stanje na dan 31.12.2020.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000090"/>
                <w:sz w:val="20"/>
                <w:szCs w:val="20"/>
                <w:lang w:val="en-US"/>
              </w:rPr>
            </w:pPr>
          </w:p>
        </w:tc>
      </w:tr>
      <w:tr w:rsidTr="00BB12A9" w:rsidR="00BB12A9">
        <w:trPr>
          <w:trHeight w:val="100"/>
          <w:jc w:val="center"/>
        </w:trPr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000090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BB12A9" w:rsidR="00BB12A9">
            <w:pPr>
              <w:jc w:val="center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noWrap/>
            <w:vAlign w:val="center"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</w:p>
        </w:tc>
      </w:tr>
      <w:tr w:rsidTr="00BB12A9" w:rsidR="00BB12A9">
        <w:trPr>
          <w:trHeight w:val="30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000090"/>
                <w:sz w:val="18"/>
                <w:szCs w:val="18"/>
              </w:rPr>
              <w:t xml:space="preserve">Obveznik: 21320886879; OPG Jan </w:t>
            </w:r>
            <w:proofErr w:type="spellStart"/>
            <w:r>
              <w:rPr>
                <w:rFonts w:hAnsi="Calibri" w:ascii="Calibri"/>
                <w:b/>
                <w:bCs/>
                <w:color w:val="000090"/>
                <w:sz w:val="18"/>
                <w:szCs w:val="18"/>
              </w:rPr>
              <w:t>Vnouček</w:t>
            </w:r>
            <w:proofErr w:type="spellEnd"/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>AOP</w:t>
            </w: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br/>
            </w:r>
            <w:r>
              <w:rPr>
                <w:rFonts w:hAnsi="Calibri" w:ascii="Calibri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type="dxa" w:w="68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6"/>
                <w:szCs w:val="16"/>
                <w:lang w:val="en-US"/>
              </w:rPr>
            </w:pPr>
            <w:proofErr w:type="spellStart"/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>Rbr</w:t>
            </w:r>
            <w:proofErr w:type="spellEnd"/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 xml:space="preserve">. </w:t>
            </w: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br/>
            </w:r>
            <w:r>
              <w:rPr>
                <w:rFonts w:hAnsi="Calibri" w:ascii="Calibri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dxa" w:w="176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hAnsi="Calibri" w:ascii="Calibri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type="dxa" w:w="68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type="dxa" w:w="68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type="dxa" w:w="1760"/>
            <w:tcBorders>
              <w:top w:space="0" w:sz="8" w:color="C0C0C0" w:val="single"/>
              <w:left w:space="0" w:sz="4" w:color="FFFFFF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000090"/>
                <w:sz w:val="18"/>
                <w:szCs w:val="18"/>
                <w:lang w:val="en-US"/>
              </w:rPr>
            </w:pPr>
            <w:bookmarkStart w:name="RANGE!A8" w:id="15"/>
            <w:r>
              <w:rPr>
                <w:rFonts w:hAnsi="Calibri" w:ascii="Calibri"/>
                <w:b/>
                <w:bCs/>
                <w:color w:val="000090"/>
                <w:sz w:val="18"/>
                <w:szCs w:val="18"/>
              </w:rPr>
              <w:t>AKTIVA</w:t>
            </w:r>
            <w:bookmarkEnd w:id="15"/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797.065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677.155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I. NEMATERIJALNA IMOVINA (AOP 004 do 009)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2. Koncesije, patenti, licencije, robne i uslužne marke, softver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3. </w:t>
            </w:r>
            <w:proofErr w:type="spellStart"/>
            <w:r>
              <w:rPr>
                <w:rFonts w:hAnsi="Calibri" w:ascii="Calibri"/>
                <w:sz w:val="18"/>
                <w:szCs w:val="18"/>
              </w:rPr>
              <w:t>Goodwill</w:t>
            </w:r>
            <w:proofErr w:type="spellEnd"/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lastRenderedPageBreak/>
              <w:t xml:space="preserve">    4. Predujmovi za nabavu nematerijalne imovine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II. MATERIJALNA IMOVINA (AOP 011 do 019)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797.065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677.155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147.000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147.000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141.704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109.880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5.500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5.363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102.373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25.150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395.125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395.125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019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III. DUGOTRAJNA FINANCIJSKA IMOVINA (AOP 021 do 030)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4.Ulaganja u udjele (dionice) društava povezanih sudjelujućim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029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IV. POTRAŽIVANJA (AOP 032 do 035)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lastRenderedPageBreak/>
              <w:t xml:space="preserve">     4. Ostala potraživanja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C)  KRATKOTRAJNA IMOVINA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399.985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356.640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I. ZALIHE (AOP 039 do 045)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205.000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175.000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039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35.000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25.000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2. Proizvodnja u tijeku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170.000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150.000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6. Dugotrajna imovina namijenjena prodaji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II. POTRAŽIVANJA (AOP 047 do 052)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149.665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130.000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2. Potraživanja od društava povezanih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049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119.665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100.000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30.000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 Ulaganja u udjele (dionice) društava povezanih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059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lastRenderedPageBreak/>
              <w:t>IV. NOVAC U BANCI I BLAGAJNI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45.320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51.640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>D)  PLAĆENI TROŠKOVI BUDUĆEG RAZDOBLJA I OBRAČUNATI</w:t>
            </w: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1.197.050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1.033.795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11480"/>
            <w:gridSpan w:val="1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000090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179.812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189.412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069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315.000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315.000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III. REZERVE IZ DOBITI (AOP 071+072-073+074+075)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Vlastite dionice i udjeli (</w:t>
            </w:r>
            <w:proofErr w:type="spellStart"/>
            <w:r>
              <w:rPr>
                <w:rFonts w:hAnsi="Calibri" w:ascii="Calibri"/>
                <w:sz w:val="18"/>
                <w:szCs w:val="18"/>
              </w:rPr>
              <w:t>odbitna</w:t>
            </w:r>
            <w:proofErr w:type="spellEnd"/>
            <w:r>
              <w:rPr>
                <w:rFonts w:hAnsi="Calibri" w:ascii="Calibri"/>
                <w:sz w:val="18"/>
                <w:szCs w:val="18"/>
              </w:rPr>
              <w:t xml:space="preserve"> stavka)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 Statutarne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079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-144.788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-135.188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Zadržana dobit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144.788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135.188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9.600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9.600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9.600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9.600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089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lastRenderedPageBreak/>
              <w:t xml:space="preserve">     3. Rezerviranja za započete sudske sporove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762.500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662.500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099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112.500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112.500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650.000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550.000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254.738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181.883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hAnsi="Calibri" w:ascii="Calibri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18.850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12.650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187.453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135.998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3.000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3.000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11. Obveze  za poreze, doprinose i </w:t>
            </w:r>
            <w:proofErr w:type="spellStart"/>
            <w:r>
              <w:rPr>
                <w:rFonts w:hAnsi="Calibri" w:ascii="Calibri"/>
                <w:sz w:val="18"/>
                <w:szCs w:val="18"/>
              </w:rPr>
              <w:t>sličana</w:t>
            </w:r>
            <w:proofErr w:type="spellEnd"/>
            <w:r>
              <w:rPr>
                <w:rFonts w:hAnsi="Calibri" w:ascii="Calibri"/>
                <w:sz w:val="18"/>
                <w:szCs w:val="18"/>
              </w:rPr>
              <w:t xml:space="preserve"> davanja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45.435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30.235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lastRenderedPageBreak/>
              <w:t xml:space="preserve">   13. Obveze po osnovi dugotrajne imovine namijenjene prodaji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4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>E) ODGOĐENO PLAĆANJE TROŠKOVA I PRIHOD BUDUĆEGA</w:t>
            </w: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br/>
              <w:t xml:space="preserve">     RAZDOBLJA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 xml:space="preserve">F) UKUPNO – PASIVA </w:t>
            </w:r>
            <w:r>
              <w:rPr>
                <w:rFonts w:hAnsi="Calibri" w:ascii="Calibri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1.197.050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color w:val="0000D4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color w:val="0000D4"/>
                <w:sz w:val="18"/>
                <w:szCs w:val="18"/>
              </w:rPr>
              <w:t>1.033.795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6600"/>
            <w:gridSpan w:val="6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color w:val="333399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type="dxa" w:w="68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760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right"/>
              <w:rPr>
                <w:rFonts w:hAnsi="Calibri" w:ascii="Calibri"/>
                <w:sz w:val="18"/>
                <w:szCs w:val="18"/>
                <w:lang w:val="en-US"/>
              </w:rPr>
            </w:pPr>
            <w:r>
              <w:rPr>
                <w:rFonts w:hAnsi="Calibri" w:ascii="Calibri"/>
                <w:sz w:val="18"/>
                <w:szCs w:val="18"/>
              </w:rPr>
              <w:t> 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pStyle w:val="Naslov2"/>
        <w:rPr>
          <w:rFonts w:hAnsi="Calibri" w:ascii="Calibri"/>
          <w:sz w:val="24"/>
        </w:rPr>
      </w:pPr>
      <w:bookmarkStart w:name="_Toc381801102" w:id="16"/>
      <w:r>
        <w:rPr>
          <w:rFonts w:hAnsi="Calibri" w:ascii="Calibri"/>
          <w:sz w:val="24"/>
        </w:rPr>
        <w:t>6.2. PLANIRANI NETO NOVČANI TIJEK (DIREKTNA METODA) ZA RAZDOBLJE DO KRAJA 2018. GODINE, 2019. GODINU i 2020. GODINU</w:t>
      </w:r>
      <w:bookmarkEnd w:id="16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U projekciju neto novčanog tijeka za buduće razdoblje uključeni su izdaci otplate duga vjerovnicima prema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i to na pozicijama novčanih izdataka dobavljačima (glavnica duga) i novčani izdaci za kamate.</w:t>
      </w:r>
    </w:p>
    <w:p w:rsidRDefault="00BB12A9" w:rsidP="00BB12A9" w:rsidR="00BB12A9">
      <w:pPr>
        <w:rPr>
          <w:rFonts w:hAnsi="Calibri" w:ascii="Calibri"/>
        </w:rPr>
      </w:pPr>
    </w:p>
    <w:tbl>
      <w:tblPr>
        <w:tblW w:type="dxa" w:w="9000"/>
        <w:jc w:val="center"/>
        <w:tblLook w:val="04A0" w:noVBand="1" w:noHBand="0" w:lastColumn="0" w:firstColumn="1" w:lastRow="0" w:firstRow="1"/>
      </w:tblPr>
      <w:tblGrid>
        <w:gridCol w:w="4500"/>
        <w:gridCol w:w="1500"/>
        <w:gridCol w:w="1500"/>
        <w:gridCol w:w="1500"/>
      </w:tblGrid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1" w:fill="4F81BD" w:color="auto" w:val="clear"/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TOKOVI OD POSLOVNIH AKTIVNOSTI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1" w:fill="4F81BD" w:color="auto" w:val="clear"/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2018.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1" w:fill="4F81BD" w:color="auto" w:val="clear"/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2019.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1" w:fill="4F81BD" w:color="auto" w:val="clear"/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2020.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primici od kupaca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694.000,00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694.000,00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694.000,00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izdaci dobavljačima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-180.000,00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-200.000,00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-292.680,00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izdaci za zaposlene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-60.000,00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-60.000,00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izdaci za osiguranje za naknade šteta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-15.000,00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Ostali novčani primici i izdaci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-85.000,00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-135.000,00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-135.000,00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Novčani izdaci za kamate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-60.000,00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-60.000,00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-60.000,00</w:t>
            </w:r>
          </w:p>
        </w:tc>
      </w:tr>
      <w:tr w:rsidTr="00BB12A9" w:rsidR="00BB12A9">
        <w:trPr>
          <w:trHeight w:val="44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rPr>
                <w:rFonts w:hAnsi="Calibri" w:ascii="Calibri"/>
                <w:szCs w:val="18"/>
                <w:lang w:val="en-US"/>
              </w:rPr>
            </w:pPr>
            <w:r>
              <w:rPr>
                <w:rFonts w:hAnsi="Calibri" w:ascii="Calibri"/>
                <w:szCs w:val="18"/>
              </w:rPr>
              <w:t>Novčani izdaci za otplatu glavnice kredita, pozajmica i drugih posudbi i dužničkih financijskih instrumenata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-205.000,00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-125.000,00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szCs w:val="20"/>
                <w:lang w:val="en-US"/>
              </w:rPr>
            </w:pPr>
            <w:r>
              <w:rPr>
                <w:rFonts w:hAnsi="Calibri" w:ascii="Calibri"/>
                <w:szCs w:val="20"/>
              </w:rPr>
              <w:t>-125.000,00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NETO POVEĆANJE ILI SMANJENJE NOVČANIH TOKOVA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99.000,00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99.000,00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11.320,00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NOVAC NA POČETKU RAZDOBLJA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-192.685,00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-93.685,00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5.315,00</w:t>
            </w:r>
          </w:p>
        </w:tc>
      </w:tr>
      <w:tr w:rsidTr="00BB12A9" w:rsidR="00BB12A9">
        <w:trPr>
          <w:trHeight w:val="280"/>
          <w:jc w:val="center"/>
        </w:trPr>
        <w:tc>
          <w:tcPr>
            <w:tcW w:type="dxa" w:w="4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NOVAC NA KRAJU RAZDOBLJA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-93.685,00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5.315,00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12A9" w:rsidR="00BB12A9">
            <w:pPr>
              <w:jc w:val="center"/>
              <w:rPr>
                <w:rFonts w:hAnsi="Calibri" w:ascii="Calibri"/>
                <w:b/>
                <w:bCs/>
                <w:szCs w:val="20"/>
                <w:lang w:val="en-US"/>
              </w:rPr>
            </w:pPr>
            <w:r>
              <w:rPr>
                <w:rFonts w:hAnsi="Calibri" w:ascii="Calibri"/>
                <w:b/>
                <w:bCs/>
                <w:szCs w:val="20"/>
              </w:rPr>
              <w:t>16.635,00</w:t>
            </w:r>
          </w:p>
        </w:tc>
      </w:tr>
    </w:tbl>
    <w:p w:rsidRDefault="00BB12A9" w:rsidP="00BB12A9" w:rsidR="00BB12A9">
      <w:pPr>
        <w:rPr>
          <w:rFonts w:hAnsi="Calibri" w:ascii="Calibri"/>
          <w:lang w:val="en-US"/>
        </w:rPr>
      </w:pPr>
    </w:p>
    <w:p w:rsidRDefault="00BB12A9" w:rsidP="00BB12A9" w:rsidR="00BB12A9">
      <w:pPr>
        <w:pStyle w:val="Naslov2"/>
        <w:rPr>
          <w:rFonts w:hAnsi="Calibri" w:ascii="Calibri"/>
        </w:rPr>
      </w:pPr>
      <w:bookmarkStart w:name="_Toc381801103" w:id="17"/>
      <w:r>
        <w:rPr>
          <w:rFonts w:hAnsi="Calibri" w:ascii="Calibri"/>
        </w:rPr>
        <w:lastRenderedPageBreak/>
        <w:t xml:space="preserve">7. ANALIZA SVIH TRAŽBINA PREMA VISINI I VRSTI (tražbine radnika i prijašnjih dužnikovih radnika, izlučna prava, </w:t>
      </w:r>
      <w:proofErr w:type="spellStart"/>
      <w:r>
        <w:rPr>
          <w:rFonts w:hAnsi="Calibri" w:ascii="Calibri"/>
        </w:rPr>
        <w:t>razlučna</w:t>
      </w:r>
      <w:proofErr w:type="spellEnd"/>
      <w:r>
        <w:rPr>
          <w:rFonts w:hAnsi="Calibri" w:ascii="Calibri"/>
        </w:rPr>
        <w:t xml:space="preserve"> prava, tražbine za koje se vodi postupak, neosigurane tražbine i druge tražbine)</w:t>
      </w:r>
      <w:bookmarkEnd w:id="17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I) Ova </w:t>
      </w:r>
      <w:proofErr w:type="spellStart"/>
      <w:r>
        <w:rPr>
          <w:rFonts w:hAnsi="Calibri" w:ascii="Calibri"/>
        </w:rPr>
        <w:t>predstečajna</w:t>
      </w:r>
      <w:proofErr w:type="spellEnd"/>
      <w:r>
        <w:rPr>
          <w:rFonts w:hAnsi="Calibri" w:ascii="Calibri"/>
        </w:rPr>
        <w:t xml:space="preserve"> nagodba planira se sklopiti između dužnika Jan </w:t>
      </w:r>
      <w:proofErr w:type="spellStart"/>
      <w:r>
        <w:rPr>
          <w:rFonts w:hAnsi="Calibri" w:ascii="Calibri"/>
        </w:rPr>
        <w:t>Vnouček</w:t>
      </w:r>
      <w:proofErr w:type="spellEnd"/>
      <w:r>
        <w:rPr>
          <w:rFonts w:hAnsi="Calibri" w:ascii="Calibri"/>
        </w:rPr>
        <w:t xml:space="preserve">, nositelj obiteljskog poljoprivrednog gospodarstva (u daljnjem testu: dužnik) i vjerovnika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 (u daljnjem tekstu vjerovnici) sa utvrđenim tražbinama kako slijedi:</w:t>
      </w: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tbl>
      <w:tblPr>
        <w:tblW w:type="dxa" w:w="8860"/>
        <w:tblInd w:type="dxa" w:w="113"/>
        <w:tblLook w:val="04A0" w:noVBand="1" w:noHBand="0" w:lastColumn="0" w:firstColumn="1" w:lastRow="0" w:firstRow="1"/>
      </w:tblPr>
      <w:tblGrid>
        <w:gridCol w:w="550"/>
        <w:gridCol w:w="2620"/>
        <w:gridCol w:w="1332"/>
        <w:gridCol w:w="1880"/>
        <w:gridCol w:w="1300"/>
        <w:gridCol w:w="1300"/>
      </w:tblGrid>
      <w:tr w:rsidTr="00BB12A9" w:rsidR="00BB12A9">
        <w:trPr>
          <w:trHeight w:val="255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Rbr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Struktura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Autocentar Rajković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8870961602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20b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2.650,21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0,29%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Vatroslava Jagića 33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12.896,00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1,43%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Euroherc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d.d. Podružnica Bjelovar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Zagrebačka 51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2.800,36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0,31%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Darko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Vnouček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, vlasnik građevinskog obrta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05305557315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18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508.700,34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56,24%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Hrvatski centar za poljoprivredu, hranu i selo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35506269186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Jandrićeva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42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1.992,65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0,22%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HEP opskrba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37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517,34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0,06%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Ireks Aroma d.o.o.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36709757659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Jastrebarsko, Trešnjevka 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11.268,53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1,25%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Kapelakom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98109389097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1.401,70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0,15%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27962400486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9.099,11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1,01%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Mariterm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servis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53742514983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Rijeka, Zamet, Dražice 123d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2.656,25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0,29%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Ministarstvo financija Porezna uprava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116.065,03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12,83%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Općina Kapela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39819228656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3.684,84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0,41%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Pa-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Vin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59920925649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Jastrebarsko, V. Holjevca 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136.280,28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15,07%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Privredna banka Zagreb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Zagreb, Radnička </w:t>
            </w: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cesta 50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1.345,70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0,15%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15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PBZ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Card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Radnička cesta 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50.313,16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5,56%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Poljocentar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49929727453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Križevci, Obrtnička 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594,44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0,07%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Radio Terezija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09799544348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Bjelovar,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Šet.dr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. I.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Lebovića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875,00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0,10%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Škarda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sanitarna zaštita d.o.o.</w:t>
            </w:r>
          </w:p>
        </w:tc>
        <w:tc>
          <w:tcPr>
            <w:tcW w:type="dxa" w:w="1300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48962003176</w:t>
            </w:r>
          </w:p>
        </w:tc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Čazma, Milana Novačića 73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562,50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0,06%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Tele 2 d.o.o.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70133616033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269d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478,33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0,05%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Triglav osiguranje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29743547603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Koprivnica,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Tarašćice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38.183,83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4,22%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Vodne usluge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43307218011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71,34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0,01%</w:t>
            </w:r>
          </w:p>
        </w:tc>
      </w:tr>
      <w:tr w:rsidTr="00BB12A9" w:rsidR="00BB12A9">
        <w:trPr>
          <w:trHeight w:val="51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Veritas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revizija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67053879353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Zagorska 13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4.750,00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0,53%</w:t>
            </w:r>
          </w:p>
        </w:tc>
      </w:tr>
      <w:tr w:rsidTr="00BB12A9" w:rsidR="00BB12A9">
        <w:trPr>
          <w:trHeight w:val="255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904.536,73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99" w:themeFill="text2" w:fill="548DD4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100,00%</w:t>
            </w:r>
          </w:p>
        </w:tc>
      </w:tr>
    </w:tbl>
    <w:p w:rsidRDefault="00BB12A9" w:rsidP="00BB12A9" w:rsidR="00BB12A9">
      <w:pPr>
        <w:pStyle w:val="StandardWeb"/>
        <w:spacing w:before="2"/>
        <w:rPr>
          <w:rFonts w:cs="Times New Roman" w:hAnsi="Calibri" w:ascii="Calibri"/>
          <w:lang w:val="en-US"/>
        </w:rPr>
      </w:pPr>
    </w:p>
    <w:p w:rsidRDefault="00BB12A9" w:rsidP="00BB12A9" w:rsidR="00BB12A9">
      <w:pPr>
        <w:pStyle w:val="StandardWeb"/>
        <w:spacing w:lineRule="auto" w:line="360"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II) Sklapanjem ove </w:t>
      </w:r>
      <w:proofErr w:type="spellStart"/>
      <w:r>
        <w:rPr>
          <w:rFonts w:hAnsi="Calibri" w:ascii="Calibri"/>
        </w:rPr>
        <w:t>predstečajne</w:t>
      </w:r>
      <w:proofErr w:type="spellEnd"/>
      <w:r>
        <w:rPr>
          <w:rFonts w:hAnsi="Calibri" w:ascii="Calibri"/>
        </w:rPr>
        <w:t xml:space="preserve"> nagodbe, dužnik će se obavezati na ispunjenje prioritetnih tražbina radnika</w:t>
      </w:r>
    </w:p>
    <w:p w:rsidRDefault="00BB12A9" w:rsidP="00BB12A9" w:rsidR="00BB12A9">
      <w:pPr>
        <w:rPr>
          <w:rFonts w:cs="Times New Roman" w:hAnsi="Calibri" w:ascii="Calibri"/>
        </w:rPr>
        <w:sectPr w:rsidR="00BB12A9">
          <w:pgSz w:h="16834" w:w="11904"/>
          <w:pgMar w:gutter="0" w:footer="708" w:header="708" w:left="851" w:bottom="1440" w:right="709" w:top="1135"/>
          <w:cols w:space="720"/>
        </w:sect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lastRenderedPageBreak/>
        <w:t>III) Za vjerovnike iz točke I. ovog nacrta, a sukladno Utvrđenim tražbinama, plana financijskog i operativnog restrukturiranja, otplata utvrđenih iznosa tražbina će se vršiti na slijedeći način kako slijedi:</w:t>
      </w:r>
    </w:p>
    <w:p w:rsidRDefault="00BB12A9" w:rsidP="00BB12A9" w:rsidR="00BB12A9">
      <w:pPr>
        <w:pStyle w:val="StandardWeb"/>
        <w:spacing w:before="2"/>
        <w:rPr>
          <w:rFonts w:hAnsi="Calibri" w:ascii="Calibri"/>
          <w:sz w:val="20"/>
          <w:szCs w:val="20"/>
        </w:rPr>
      </w:pPr>
    </w:p>
    <w:p w:rsidRDefault="00BB12A9" w:rsidP="00BB12A9" w:rsidR="00BB12A9">
      <w:pPr>
        <w:pStyle w:val="StandardWeb"/>
        <w:numPr>
          <w:ilvl w:val="0"/>
          <w:numId w:val="47"/>
        </w:numPr>
        <w:spacing w:afterAutospacing="false" w:after="0" w:beforeAutospacing="false" w:beforeLines="1" w:before="2"/>
        <w:rPr>
          <w:rFonts w:hAnsi="Calibri" w:ascii="Calibri"/>
        </w:rPr>
      </w:pPr>
      <w:r>
        <w:rPr>
          <w:rFonts w:hAnsi="Calibri" w:ascii="Calibri"/>
          <w:u w:val="single"/>
        </w:rPr>
        <w:t xml:space="preserve">za </w:t>
      </w:r>
      <w:proofErr w:type="spellStart"/>
      <w:r>
        <w:rPr>
          <w:rFonts w:hAnsi="Calibri" w:ascii="Calibri"/>
          <w:u w:val="single"/>
        </w:rPr>
        <w:t>razlučne</w:t>
      </w:r>
      <w:proofErr w:type="spellEnd"/>
      <w:r>
        <w:rPr>
          <w:rFonts w:hAnsi="Calibri" w:ascii="Calibri"/>
          <w:u w:val="single"/>
        </w:rPr>
        <w:t xml:space="preserve"> vjerovnike s pravom odvojenog namirenja:</w:t>
      </w:r>
    </w:p>
    <w:p w:rsidRDefault="00BB12A9" w:rsidP="00BB12A9" w:rsidR="00BB12A9">
      <w:pPr>
        <w:pStyle w:val="StandardWeb"/>
        <w:numPr>
          <w:ilvl w:val="0"/>
          <w:numId w:val="48"/>
        </w:numPr>
        <w:spacing w:afterAutospacing="false" w:after="0" w:beforeAutospacing="false" w:beforeLines="1" w:before="2"/>
        <w:rPr>
          <w:rFonts w:hAnsi="Calibri" w:ascii="Calibri"/>
        </w:rPr>
      </w:pPr>
      <w:proofErr w:type="spellStart"/>
      <w:r>
        <w:rPr>
          <w:rFonts w:hAnsi="Calibri" w:ascii="Calibri"/>
        </w:rPr>
        <w:t>Predstečajni</w:t>
      </w:r>
      <w:proofErr w:type="spellEnd"/>
      <w:r>
        <w:rPr>
          <w:rFonts w:hAnsi="Calibri" w:ascii="Calibri"/>
        </w:rPr>
        <w:t xml:space="preserve"> postupak ne utječe na pravo odvojenog namirenja </w:t>
      </w:r>
      <w:proofErr w:type="spellStart"/>
      <w:r>
        <w:rPr>
          <w:rFonts w:hAnsi="Calibri" w:ascii="Calibri"/>
        </w:rPr>
        <w:t>razlučnih</w:t>
      </w:r>
      <w:proofErr w:type="spellEnd"/>
      <w:r>
        <w:rPr>
          <w:rFonts w:hAnsi="Calibri" w:ascii="Calibri"/>
        </w:rPr>
        <w:t xml:space="preserve"> vjerovnika. Danom pravomoćnosti rješenja o sklopljenom </w:t>
      </w:r>
      <w:proofErr w:type="spellStart"/>
      <w:r>
        <w:rPr>
          <w:rFonts w:hAnsi="Calibri" w:ascii="Calibri"/>
        </w:rPr>
        <w:t>predstečajnom</w:t>
      </w:r>
      <w:proofErr w:type="spellEnd"/>
      <w:r>
        <w:rPr>
          <w:rFonts w:hAnsi="Calibri" w:ascii="Calibri"/>
        </w:rPr>
        <w:t xml:space="preserve"> sporazumu pred Trgovačkim sudom u Bjelovaru počinje teći poček od jedne godine, nakon čega dospijeva tražbina koja će se otplatiti sukladno </w:t>
      </w:r>
      <w:proofErr w:type="spellStart"/>
      <w:r>
        <w:rPr>
          <w:rFonts w:hAnsi="Calibri" w:ascii="Calibri"/>
        </w:rPr>
        <w:t>reprogramom</w:t>
      </w:r>
      <w:proofErr w:type="spellEnd"/>
      <w:r>
        <w:rPr>
          <w:rFonts w:hAnsi="Calibri" w:ascii="Calibri"/>
        </w:rPr>
        <w:t xml:space="preserve"> obveza dogovorenim s vjerovnicima. </w:t>
      </w:r>
    </w:p>
    <w:tbl>
      <w:tblPr>
        <w:tblStyle w:val="Reetkatablice"/>
        <w:tblW w:type="auto" w:w="0"/>
        <w:jc w:val="center"/>
        <w:tblLook w:val="00A0" w:noVBand="0" w:noHBand="0" w:lastColumn="0" w:firstColumn="1" w:lastRow="0" w:firstRow="1"/>
      </w:tblPr>
      <w:tblGrid>
        <w:gridCol w:w="750"/>
        <w:gridCol w:w="2039"/>
        <w:gridCol w:w="1558"/>
        <w:gridCol w:w="2257"/>
        <w:gridCol w:w="1912"/>
      </w:tblGrid>
      <w:tr w:rsidTr="00BB12A9" w:rsidR="00BB12A9">
        <w:trPr>
          <w:jc w:val="center"/>
        </w:trPr>
        <w:tc>
          <w:tcPr>
            <w:tcW w:type="dxa" w:w="75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R.br.</w:t>
            </w:r>
          </w:p>
        </w:tc>
        <w:tc>
          <w:tcPr>
            <w:tcW w:type="dxa" w:w="203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Opis:</w:t>
            </w:r>
          </w:p>
        </w:tc>
        <w:tc>
          <w:tcPr>
            <w:tcW w:type="dxa" w:w="1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OIB:</w:t>
            </w:r>
          </w:p>
        </w:tc>
        <w:tc>
          <w:tcPr>
            <w:tcW w:type="dxa" w:w="2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Adresa:</w:t>
            </w:r>
          </w:p>
        </w:tc>
        <w:tc>
          <w:tcPr>
            <w:tcW w:type="dxa" w:w="191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themeFill="accent1" w:fill="4F81BD" w:color="auto" w:val="clear"/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Iznos u kn:</w:t>
            </w:r>
          </w:p>
        </w:tc>
      </w:tr>
      <w:tr w:rsidTr="00BB12A9" w:rsidR="00BB12A9">
        <w:trPr>
          <w:jc w:val="center"/>
        </w:trPr>
        <w:tc>
          <w:tcPr>
            <w:tcW w:type="dxa" w:w="75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1</w:t>
            </w:r>
          </w:p>
        </w:tc>
        <w:tc>
          <w:tcPr>
            <w:tcW w:type="dxa" w:w="203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Zagrebačka banka d.d.</w:t>
            </w:r>
          </w:p>
        </w:tc>
        <w:tc>
          <w:tcPr>
            <w:tcW w:type="dxa" w:w="15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BB12A9" w:rsidR="00BB12A9">
            <w:pPr>
              <w:pStyle w:val="StandardWeb"/>
              <w:spacing w:before="2"/>
              <w:rPr>
                <w:rFonts w:cs="Times New Roman" w:hAnsi="Calibri" w:ascii="Calibri"/>
              </w:rPr>
            </w:pPr>
            <w:r>
              <w:rPr>
                <w:rFonts w:hAnsi="Calibri" w:ascii="Calibri"/>
                <w:color w:val="000000"/>
              </w:rPr>
              <w:t>92963223473</w:t>
            </w:r>
          </w:p>
          <w:p w:rsidRDefault="00BB12A9" w:rsidR="00BB12A9">
            <w:pPr>
              <w:tabs>
                <w:tab w:pos="1653" w:val="left"/>
              </w:tabs>
              <w:spacing w:after="2" w:before="2"/>
              <w:rPr>
                <w:rFonts w:hAnsi="Calibri" w:ascii="Calibri"/>
                <w:lang w:val="en-US"/>
              </w:rPr>
            </w:pPr>
          </w:p>
        </w:tc>
        <w:tc>
          <w:tcPr>
            <w:tcW w:type="dxa" w:w="2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</w:rPr>
            </w:pPr>
            <w:r>
              <w:rPr>
                <w:rFonts w:hAnsi="Calibri" w:ascii="Calibri"/>
              </w:rPr>
              <w:t xml:space="preserve">Zagreb, </w:t>
            </w:r>
          </w:p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>Trg bana J. Jelačića 10</w:t>
            </w:r>
          </w:p>
        </w:tc>
        <w:tc>
          <w:tcPr>
            <w:tcW w:type="dxa" w:w="191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B12A9" w:rsidR="00BB12A9">
            <w:pPr>
              <w:spacing w:after="2" w:before="2"/>
              <w:rPr>
                <w:rFonts w:hAnsi="Calibri" w:ascii="Calibri"/>
                <w:lang w:val="en-US"/>
              </w:rPr>
            </w:pPr>
            <w:r>
              <w:rPr>
                <w:rFonts w:hAnsi="Calibri" w:ascii="Calibri"/>
              </w:rPr>
              <w:t xml:space="preserve">731.856 </w:t>
            </w:r>
          </w:p>
        </w:tc>
      </w:tr>
    </w:tbl>
    <w:p w:rsidRDefault="00BB12A9" w:rsidP="00BB12A9" w:rsidR="00BB12A9">
      <w:pPr>
        <w:pStyle w:val="StandardWeb"/>
        <w:spacing w:lineRule="auto" w:line="360" w:before="2"/>
        <w:rPr>
          <w:rFonts w:cs="Times New Roman" w:hAnsi="Calibri" w:ascii="Calibri"/>
          <w:lang w:val="en-US"/>
        </w:rPr>
      </w:pPr>
    </w:p>
    <w:p w:rsidRDefault="00BB12A9" w:rsidP="00BB12A9" w:rsidR="00BB12A9">
      <w:pPr>
        <w:pStyle w:val="StandardWeb"/>
        <w:numPr>
          <w:ilvl w:val="0"/>
          <w:numId w:val="49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  <w:u w:val="single"/>
        </w:rPr>
        <w:t>Vjerovnici s tražbinama koji nisu nižeg isplatnog reda:</w:t>
      </w:r>
    </w:p>
    <w:p w:rsidRDefault="00BB12A9" w:rsidP="00BB12A9" w:rsidR="00BB12A9">
      <w:pPr>
        <w:pStyle w:val="StandardWeb"/>
        <w:spacing w:before="2"/>
        <w:ind w:left="720"/>
        <w:rPr>
          <w:rFonts w:hAnsi="Calibri" w:ascii="Calibri"/>
        </w:rPr>
      </w:pPr>
      <w:r>
        <w:rPr>
          <w:rFonts w:hAnsi="Calibri" w:ascii="Calibri"/>
        </w:rPr>
        <w:t xml:space="preserve">Tražbine prema vjerovnicima koji nisu nižeg isplatnog reda na dan 30.06.2018. godine iznosi 914.886,12 kn. Za sve vjerovnike, osim za Ministarstvo financija – Poreznu upravu, predviđen je otpis 50% ukupno utvrđenih tražbina, te nakon jedne godine počeka, obročna otplata 50% ukupno utvrđenih tražbina u 48 jednakih mjesečnih rata uz propisanu kamatu od 4,5% godišnje, a sve počevši od dana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sudom. S Ministarstvom financija – Poreznom upravom postignut je prethodni dogovor, pa se predviđa otpis 45% ukupno utvrđenih tražbina, te nakon jedne godine počeka, obročna otplata 55% ukupno utvrđenih tražbina u 48 jednakih mjesečnih rata uz propisanu kamatu od 4,5% godišnje, a sve počevši od dana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sudom.</w:t>
      </w: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</w:p>
    <w:p w:rsidRDefault="00BB12A9" w:rsidP="00BB12A9" w:rsidR="00BB12A9">
      <w:pPr>
        <w:rPr>
          <w:rFonts w:cs="Times New Roman" w:hAnsi="Calibri" w:ascii="Calibri"/>
        </w:rPr>
        <w:sectPr w:rsidR="00BB12A9">
          <w:pgSz w:h="16834" w:w="11904"/>
          <w:pgMar w:gutter="0" w:footer="708" w:header="708" w:left="851" w:bottom="1440" w:right="709" w:top="1135"/>
          <w:cols w:space="720"/>
        </w:sectPr>
      </w:pPr>
    </w:p>
    <w:tbl>
      <w:tblPr>
        <w:tblpPr w:tblpY="-282" w:tblpXSpec="center" w:horzAnchor="margin" w:vertAnchor="text" w:rightFromText="180" w:leftFromText="180"/>
        <w:tblW w:type="dxa" w:w="12982"/>
        <w:tblLook w:val="04A0" w:noVBand="1" w:noHBand="0" w:lastColumn="0" w:firstColumn="1" w:lastRow="0" w:firstRow="1"/>
      </w:tblPr>
      <w:tblGrid>
        <w:gridCol w:w="558"/>
        <w:gridCol w:w="2350"/>
        <w:gridCol w:w="1349"/>
        <w:gridCol w:w="2168"/>
        <w:gridCol w:w="1143"/>
        <w:gridCol w:w="871"/>
        <w:gridCol w:w="1696"/>
        <w:gridCol w:w="1843"/>
        <w:gridCol w:w="1004"/>
      </w:tblGrid>
      <w:tr w:rsidTr="00BB12A9" w:rsidR="00BB12A9">
        <w:trPr>
          <w:trHeight w:val="1020"/>
        </w:trPr>
        <w:tc>
          <w:tcPr>
            <w:tcW w:type="dxa" w:w="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Rbr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1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Autocentar Rajković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8870961602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20b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2.650,21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1.325,11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1.325,11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27,61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Vatroslava Jagića 33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12.896,00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6.448,00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6.448,00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134,33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Euroherc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d.d. Podružnica Bjelovar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Zagrebačka 51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2.800,36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1.400,18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1.400,18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29,17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Darko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Vnouček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, vlasnik građevinskog obrta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05305557315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Križevačka cesta 18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508.700,34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245.350,17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245.350,17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5.298,96</w:t>
            </w:r>
          </w:p>
        </w:tc>
      </w:tr>
      <w:tr w:rsidTr="00BB12A9" w:rsidR="00BB12A9">
        <w:trPr>
          <w:trHeight w:val="76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Hrvatski centar za poljoprivredu, hranu i selo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35506269186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Jandrićeva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42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1.992,65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996,33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996,33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20,76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HEP opskrba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37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517,34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258,67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258,67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5,39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Ireks Aroma d.o.o. 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36709757659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Jastrebarsko, Trešnjevka 24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11.268,53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5.634,27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5.634,27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117,38</w:t>
            </w:r>
          </w:p>
        </w:tc>
      </w:tr>
      <w:tr w:rsidTr="00BB12A9" w:rsidR="00BB12A9">
        <w:trPr>
          <w:trHeight w:val="25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Kapelakom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98109389097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1.401,70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700,85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700,85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14,60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27962400486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9.099,11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4.549,56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4.549,56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94,78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Mariterm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servis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53742514983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Rijeka, Zamet, Dražice 123d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2.656,25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1.328,13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1.328,13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27,67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Ministarstvo financija Porezna uprava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116.065,03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45,00%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52.229,26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63.835,77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1.329,91</w:t>
            </w:r>
          </w:p>
        </w:tc>
      </w:tr>
      <w:tr w:rsidTr="00BB12A9" w:rsidR="00BB12A9">
        <w:trPr>
          <w:trHeight w:val="25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Općina Kapela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39819228656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Kapela, Bilogorska 90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3.684,84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1.842,42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1.842,42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38,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</w:t>
            </w:r>
            <w:proofErr w:type="spellEnd"/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Pa-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Vin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59920925649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Jastrebarsko, V. Holjevca 20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136.280,28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68.140,14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68.140,14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1.419,59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Privredna banka Zagreb </w:t>
            </w: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02535697732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Zagreb, Radnička cesta </w:t>
            </w: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50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1.345,70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672,85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672,85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14,02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lastRenderedPageBreak/>
              <w:t>15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PBZ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Card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Radnička cesta 44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50.313,16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25.156,58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25.156,58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524,10</w:t>
            </w:r>
          </w:p>
        </w:tc>
      </w:tr>
      <w:tr w:rsidTr="00BB12A9" w:rsidR="00BB12A9">
        <w:trPr>
          <w:trHeight w:val="25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Poljocentar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49929727453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Križevci, Obrtnička 12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594,44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297,22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297,22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6,19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Radio Terezija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09799544348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Bjelovar,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Šet.dr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. I.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Lebovića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28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875,00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437,50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437,50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9,11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Škarda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sanitarna zaštita d.o.o.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48962003176</w:t>
            </w:r>
          </w:p>
        </w:tc>
        <w:tc>
          <w:tcPr>
            <w:tcW w:type="dxa" w:w="21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Čazma, Milana Novačića 73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562,50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281,25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281,25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5,86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Tele 2 d.o.o.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70133616033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Zagreb, Ul. grada Vukovara 269d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478,33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239,17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239,17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4,98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Triglav osiguranje d.d.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29743547603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Koprivnica, </w:t>
            </w: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Tarašćice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20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38.183,83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19.091,92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19.091,92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397,75</w:t>
            </w:r>
          </w:p>
        </w:tc>
      </w:tr>
      <w:tr w:rsidTr="00BB12A9" w:rsidR="00BB12A9">
        <w:trPr>
          <w:trHeight w:val="51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Vodne usluge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43307218011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Ferde Livadića 14/a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71,34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35,67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35,67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0,74</w:t>
            </w:r>
          </w:p>
        </w:tc>
      </w:tr>
      <w:tr w:rsidTr="00BB12A9" w:rsidR="00BB12A9">
        <w:trPr>
          <w:trHeight w:val="25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Veritas</w:t>
            </w:r>
            <w:proofErr w:type="spellEnd"/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 xml:space="preserve"> revizija d.o.o.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67053879353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Bjelovar, Zagorska 13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4.750,00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50,00%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2.375,00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2.375,00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49,48</w:t>
            </w:r>
          </w:p>
        </w:tc>
      </w:tr>
      <w:tr w:rsidTr="00BB12A9" w:rsidR="00BB12A9">
        <w:trPr>
          <w:trHeight w:val="255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vAlign w:val="center"/>
            <w:hideMark/>
          </w:tcPr>
          <w:p w:rsidRDefault="00BB12A9" w:rsidR="00BB12A9">
            <w:pPr>
              <w:jc w:val="center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904.536,73</w:t>
            </w:r>
          </w:p>
        </w:tc>
        <w:tc>
          <w:tcPr>
            <w:tcW w:type="dxa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426.287,63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437.894,14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BB12A9" w:rsidR="00BB12A9">
            <w:pPr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9.122,79</w:t>
            </w:r>
          </w:p>
        </w:tc>
      </w:tr>
    </w:tbl>
    <w:p w:rsidRDefault="00BB12A9" w:rsidP="00BB12A9" w:rsidR="00BB12A9">
      <w:pPr>
        <w:pStyle w:val="StandardWeb"/>
        <w:spacing w:before="2"/>
        <w:rPr>
          <w:rFonts w:cs="Times New Roman" w:hAnsi="Calibri" w:ascii="Calibri"/>
          <w:lang w:val="en-US"/>
        </w:rPr>
      </w:pPr>
    </w:p>
    <w:p w:rsidRDefault="00BB12A9" w:rsidP="00BB12A9" w:rsidR="00BB12A9">
      <w:pPr>
        <w:rPr>
          <w:rFonts w:cs="Times New Roman" w:hAnsi="Calibri" w:ascii="Calibri"/>
          <w:sz w:val="20"/>
          <w:szCs w:val="20"/>
        </w:rPr>
        <w:sectPr w:rsidR="00BB12A9">
          <w:pgSz w:orient="landscape" w:h="11904" w:w="16834"/>
          <w:pgMar w:gutter="0" w:footer="708" w:header="708" w:left="1135" w:bottom="142" w:right="1440" w:top="993"/>
          <w:cols w:space="720"/>
        </w:sectPr>
      </w:pPr>
    </w:p>
    <w:p w:rsidRDefault="00BB12A9" w:rsidP="00BB12A9" w:rsidR="00BB12A9">
      <w:pPr>
        <w:rPr>
          <w:rFonts w:hAnsi="Calibri" w:ascii="Calibri"/>
          <w:b/>
          <w:u w:val="single"/>
        </w:rPr>
      </w:pPr>
      <w:r>
        <w:rPr>
          <w:rFonts w:hAnsi="Calibri" w:ascii="Calibri"/>
          <w:b/>
          <w:u w:val="single"/>
        </w:rPr>
        <w:lastRenderedPageBreak/>
        <w:t>Dug prema zaposlenicima iznosi 8.996,57 kuna.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Tražbine radnika iskazane su u financijskim izvještajima Društva po osnovi plaća za lipanj 2018. u iznosu od 8.996,57  kn na dan 30.06.2018. godine. Ako </w:t>
      </w:r>
      <w:proofErr w:type="spellStart"/>
      <w:r>
        <w:rPr>
          <w:rFonts w:hAnsi="Calibri" w:ascii="Calibri"/>
        </w:rPr>
        <w:t>predstečajna</w:t>
      </w:r>
      <w:proofErr w:type="spellEnd"/>
      <w:r>
        <w:rPr>
          <w:rFonts w:hAnsi="Calibri" w:ascii="Calibri"/>
        </w:rPr>
        <w:t xml:space="preserve"> nagodba bude sklopljena, dužnik izjavljuje da neće imati učinka na tražbine radnika te će one biti podmirene po prioritetnom postupku.</w:t>
      </w:r>
    </w:p>
    <w:p w:rsidRDefault="00BB12A9" w:rsidP="00BB12A9" w:rsidR="00BB12A9">
      <w:pPr>
        <w:pStyle w:val="StandardWeb"/>
        <w:spacing w:before="2"/>
        <w:rPr>
          <w:rFonts w:hAnsi="Calibri" w:ascii="Calibri"/>
          <w:sz w:val="20"/>
          <w:szCs w:val="20"/>
        </w:rPr>
      </w:pP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  <w:b/>
          <w:u w:val="single"/>
        </w:rPr>
      </w:pPr>
      <w:r>
        <w:rPr>
          <w:rFonts w:hAnsi="Calibri" w:ascii="Calibri"/>
          <w:b/>
          <w:u w:val="single"/>
        </w:rPr>
        <w:t>Vjerovnici s tražbinama koji nisu nižeg isplatnog reda: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  <w:b/>
          <w:u w:val="single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Autocentar Rajković d.o.o., Križevačka cesta 20b, Bjelovar, OIB 8870961602 otpisuje se 50% ukupno utvrđene tražbine u iznosu od 1.325,11 kn, dok će se 50% utvrđene tražbine u iznosu od 1.325,11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27,61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27,61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  <w:b/>
          <w:u w:val="single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CROATIA OSIGURANJE D.D., Vatroslava Jagića 33, Zagreb, OIB 26187994862 otpisuje se 50% ukupno utvrđene tražbine u iznosu od 6.448,00 kn, dok će se 50% utvrđene tražbine u iznosu od 6.448,00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134,33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134,33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08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EUROHERC OSIGURANJE D.D. PODRUŽNICA BJELOVAR, Zagrebačka 51, Bjelovar, OIB 22694857747 otpisuje se 50% ukupno utvrđene tražbine u iznosu od 1.400,18 kn, dok će se 50% utvrđene tražbine u iznosu od 1.400,18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29,17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>Prva rata u iznosu od 29,17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DARKO VNOUČEK, vlasnik građevinskog obrta, Križevačka cesta 18, Bjelovar, OIB 05305557315 otpisuje se 50% ukupno utvrđene tražbine u iznosu od 254.350,17 kn, dok će se 50% utvrđene tražbine u iznosu od 254.350,17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5.274,05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5.298,96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vjerovniku HRVATSKI CENTAR ZA POLJOPRIVREDU, HRANU I SELO, ZAVOD ZA VINARSTVO, VINOGRADARSTVO I VOĆARSTVO, </w:t>
      </w:r>
      <w:proofErr w:type="spellStart"/>
      <w:r>
        <w:rPr>
          <w:rFonts w:hAnsi="Calibri" w:ascii="Calibri"/>
        </w:rPr>
        <w:t>Jandrićeva</w:t>
      </w:r>
      <w:proofErr w:type="spellEnd"/>
      <w:r>
        <w:rPr>
          <w:rFonts w:hAnsi="Calibri" w:ascii="Calibri"/>
        </w:rPr>
        <w:t xml:space="preserve"> 42, Zagreb, OIB 35506269186 otpisuje se 50% ukupno utvrđene tražbine u iznosu od 996,33 kn, dok će se 50% utvrđene tražbine u iznosu od 996,33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20,76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20,76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HEP OPSKRBA D.O.O., Ulica grada Vukovara 37, Zagreb, OIB 63073332379 otpisuje se 50% ukupno utvrđene tražbine u iznosu od 258,67 kn, dok će se 50% utvrđene tražbine u iznosu od 258,67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5,39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5,39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IREKS AROMA D.O.O., Trešnjevka 24, Jastrebarsko, OIB 36709757659 otpisuje se 50% ukupno utvrđene tražbine u iznosu od 5.634,27 kn, dok će se 50% utvrđene tražbine u iznosu od 5.634,27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117,38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117,38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KAPELAKOM D.O.O., Bilogorska 90, Kapela, OIB 98109389097 otpisuje se 50% ukupno utvrđene tražbine u iznosu od 700,85 kn, dok će se 50% utvrđene tražbine u iznosu od 700,85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14,60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14,60 kn na naplatu dospijeva prvog dana u mjesecu, a nakon isteka vremena počeka.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KOMUNALAC D.O.O., Ferde Livadića 14/a, Bjelovar, OIB 27962400486 otpisuje se 50% ukupno utvrđene tražbine u iznosu od 4.549,56 kn, dok će se 50% utvrđene tražbine u iznosu od 4.549,56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94,78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94,78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MARITERM SERVIS D.O.O., Dražice 123d, Zamet, Rijeka, OIB 53742514983 otpisuje se 50% ukupno utvrđene tražbine u iznosu od 1.328,13 kn, dok će se 50% utvrđene tražbine u iznosu od 1.328,13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27,67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27,67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>vjerovniku MINISTARSTVO FINANCIJA POREZNA UPRAVA, Katančićeva 5, Zagreb, OIB 18683136487 otpisuje se 45% ukupno utvrđene tražbine u iznosu od 52.229,26 kn, dok će se 50% utvrđene tražbine u iznosu od 63.835,77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1.329,91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1.329,91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OPĆINA KAPELA, Bilogorska 90, Kapela, OIB 39819228656 otpisuje se 50% ukupno utvrđene tražbine u iznosu od 3.684,84 kn, dok će se 50% utvrđene tražbine u iznosu od 3.684,84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76,77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76,77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 PA-VIN D.O.O., V. Holjevca 20, Jastrebarsko, OIB 59920925649 otpisuje se 50% ukupno utvrđene tražbine u iznosu od 68.140,14 kn, dok će se 50% utvrđene tražbine u iznosu od 68.140,14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1.419,59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1.419,59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 PRIVREDNA BANKA ZAGREB D.D., Radnička cesta 50, Zagreb, OIB 02535697732 otpisuje se 50% ukupno utvrđene tražbine u iznosu od 672,85 kn, dok će se 50% utvrđene tražbine u iznosu od 672,85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14,02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>Prva rata u iznosu od 14,02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 PBZ CARD D.O.O., Radnička cesta 44, Zagreb OIB 28495895537 otpisuje se 50% ukupno utvrđene tražbine u iznosu od 25.156,58 kn, dok će se 50% utvrđene tražbine u iznosu od 25.156,58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524,10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524,10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 POLJOCENTAR D.O.O., Obrtnička 12, Križevci OIB 49929727453 otpisuje se 50% ukupno utvrđene tražbine u iznosu od 297,22 kn, dok će se 50% utvrđene tražbine u iznosu od 297,22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6,19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6,19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vjerovniku  RADIO TEREZIJA D.O.O., </w:t>
      </w:r>
      <w:proofErr w:type="spellStart"/>
      <w:r>
        <w:rPr>
          <w:rFonts w:hAnsi="Calibri" w:ascii="Calibri"/>
        </w:rPr>
        <w:t>Šet</w:t>
      </w:r>
      <w:proofErr w:type="spellEnd"/>
      <w:r>
        <w:rPr>
          <w:rFonts w:hAnsi="Calibri" w:ascii="Calibri"/>
        </w:rPr>
        <w:t xml:space="preserve">. dr. I. </w:t>
      </w:r>
      <w:proofErr w:type="spellStart"/>
      <w:r>
        <w:rPr>
          <w:rFonts w:hAnsi="Calibri" w:ascii="Calibri"/>
        </w:rPr>
        <w:t>Lebovića</w:t>
      </w:r>
      <w:proofErr w:type="spellEnd"/>
      <w:r>
        <w:rPr>
          <w:rFonts w:hAnsi="Calibri" w:ascii="Calibri"/>
        </w:rPr>
        <w:t xml:space="preserve"> 28, Bjelovar OIB 09799544348 otpisuje se 50% ukupno utvrđene tražbine u iznosu od 437,50 kn, dok će se 50% utvrđene tražbine u iznosu od 437,50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9,11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9,11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ŠKARDA SANITARNA ZAŠTITA d.o.o., Milana Novačića 73, Čazma, OIB 48962003176 otpisuje se 50% ukupno utvrđene tražbine u iznosu od 281,25 kn, dok će se 50% utvrđene tražbine u iznosu od 281,25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5,86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5,86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 w:left="1440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 TELE 2 D.O.O., Ulica grada Vukovara 269d, Zagreb, OIB 70133616033 otpisuje se 50% ukupno utvrđene tražbine u iznosu od 239,17 kn, dok će se 50% utvrđene tražbine u iznosu od 239,17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4,98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4,98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vjerovniku TRIGLAV OSIGURANJE D.D., </w:t>
      </w:r>
      <w:proofErr w:type="spellStart"/>
      <w:r>
        <w:rPr>
          <w:rFonts w:hAnsi="Calibri" w:ascii="Calibri"/>
        </w:rPr>
        <w:t>Tarašice</w:t>
      </w:r>
      <w:proofErr w:type="spellEnd"/>
      <w:r>
        <w:rPr>
          <w:rFonts w:hAnsi="Calibri" w:ascii="Calibri"/>
        </w:rPr>
        <w:t xml:space="preserve"> 20, Koprivnica, OIB 29743547603 otpisuje se 50% ukupno utvrđene tražbine u iznosu od 19.091,92 kn, dok će se 50% utvrđene tražbine u iznosu od 19.091,92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397,75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397,75 kn na naplatu dospijeva prvog dana u mjesecu, a nakon isteka vremena počeka.</w:t>
      </w:r>
    </w:p>
    <w:p w:rsidRDefault="00BB12A9" w:rsidP="00BB12A9" w:rsidR="00BB12A9">
      <w:pPr>
        <w:pStyle w:val="StandardWeb"/>
        <w:spacing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vjerovniku VODNE USLUGE D.O.O., Ferde Livadića 14/a, Bjelovar, OIB 43307218011 otpisuje se 50% ukupno utvrđene tražbine u iznosu od 35,67 kn, dok će se 50% utvrđene tražbine u iznosu od 35,67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0,74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0,74 kn na naplatu dospijeva prvog dana u mjesecu, a nakon isteka vremena počeka.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</w:p>
    <w:p w:rsidRDefault="00BB12A9" w:rsidP="00BB12A9" w:rsidR="00BB12A9">
      <w:pPr>
        <w:pStyle w:val="StandardWeb"/>
        <w:numPr>
          <w:ilvl w:val="0"/>
          <w:numId w:val="50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lastRenderedPageBreak/>
        <w:t>vjerovniku VERITAS REVIZIJA D.O.O., Zagorska 13, Bjelovar, OIB 67053879353 otpisuje se 50% ukupno utvrđene tražbine u iznosu od 2.375,00 kn, dok će se 50% utvrđene tražbine u iznosu od 2.375,00 kn namiriti kako slijedi: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pravomoćnosti Rješenja o sklopljenoj </w:t>
      </w:r>
      <w:proofErr w:type="spellStart"/>
      <w:r>
        <w:rPr>
          <w:rFonts w:hAnsi="Calibri" w:ascii="Calibri"/>
        </w:rPr>
        <w:t>predstečajnoj</w:t>
      </w:r>
      <w:proofErr w:type="spellEnd"/>
      <w:r>
        <w:rPr>
          <w:rFonts w:hAnsi="Calibri" w:ascii="Calibri"/>
        </w:rPr>
        <w:t xml:space="preserve"> nagodbi pred Trgovačkim sudom teče razdoblje od jedne godine počeka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 xml:space="preserve">Nakon isteka razdoblja počeka teče razdoblje otplate pri čemu se tražbina namiruje u 48 (četrdeset osam) </w:t>
      </w:r>
      <w:proofErr w:type="spellStart"/>
      <w:r>
        <w:rPr>
          <w:rFonts w:hAnsi="Calibri" w:ascii="Calibri"/>
        </w:rPr>
        <w:t>jedankih</w:t>
      </w:r>
      <w:proofErr w:type="spellEnd"/>
      <w:r>
        <w:rPr>
          <w:rFonts w:hAnsi="Calibri" w:ascii="Calibri"/>
        </w:rPr>
        <w:t xml:space="preserve"> mjesečnih rata u iznosu od 49,48 kn uz propisanu kamatu od 4,5% godišnje.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  <w:r>
        <w:rPr>
          <w:rFonts w:hAnsi="Calibri" w:ascii="Calibri"/>
        </w:rPr>
        <w:t>Prva rata u iznosu od 49,48 kn na naplatu dospijeva prvog dana u mjesecu, a nakon isteka vremena počeka.</w:t>
      </w:r>
    </w:p>
    <w:p w:rsidRDefault="00BB12A9" w:rsidP="00BB12A9" w:rsidR="00BB12A9">
      <w:pPr>
        <w:pStyle w:val="StandardWeb"/>
        <w:numPr>
          <w:ilvl w:val="0"/>
          <w:numId w:val="51"/>
        </w:numPr>
        <w:spacing w:afterAutospacing="false" w:after="0" w:beforeAutospacing="false" w:beforeLines="1" w:before="2"/>
        <w:ind w:right="-62"/>
        <w:rPr>
          <w:rFonts w:hAnsi="Calibri" w:ascii="Calibri"/>
        </w:rPr>
      </w:pPr>
    </w:p>
    <w:p w:rsidRDefault="00BB12A9" w:rsidP="00BB12A9" w:rsidR="00BB12A9">
      <w:pPr>
        <w:pStyle w:val="Naslov2"/>
        <w:rPr>
          <w:rFonts w:hAnsi="Calibri" w:ascii="Calibri"/>
          <w:sz w:val="26"/>
          <w:szCs w:val="26"/>
        </w:rPr>
      </w:pPr>
      <w:bookmarkStart w:name="_Toc381801104" w:id="18"/>
      <w:r>
        <w:rPr>
          <w:rFonts w:hAnsi="Calibri" w:ascii="Calibri"/>
        </w:rPr>
        <w:t>9. ROK ZA DOBROVOLJNO ISPUNJENJE</w:t>
      </w:r>
      <w:bookmarkEnd w:id="18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Naslov2"/>
        <w:rPr>
          <w:rFonts w:hAnsi="Calibri" w:ascii="Calibri"/>
        </w:rPr>
      </w:pPr>
      <w:bookmarkStart w:name="_Toc381801105" w:id="19"/>
      <w:r>
        <w:rPr>
          <w:rFonts w:hAnsi="Calibri" w:ascii="Calibri"/>
        </w:rPr>
        <w:t>10. PLANIRANI IZNOS TROŠKOVA RESTRUKTURIRANJA</w:t>
      </w:r>
      <w:bookmarkEnd w:id="19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before="2"/>
        <w:rPr>
          <w:rFonts w:hAnsi="Calibri" w:ascii="Calibri"/>
        </w:rPr>
      </w:pPr>
      <w:r>
        <w:rPr>
          <w:rFonts w:hAnsi="Calibri" w:ascii="Calibri"/>
        </w:rPr>
        <w:t xml:space="preserve">Troškove restrukturiranja, uključujući i troškove pravnih i poslovnih savjetnika, troškova postupka, i sl. procjenjujemo na </w:t>
      </w:r>
      <w:proofErr w:type="spellStart"/>
      <w:r>
        <w:rPr>
          <w:rFonts w:hAnsi="Calibri" w:ascii="Calibri"/>
        </w:rPr>
        <w:t>cca</w:t>
      </w:r>
      <w:proofErr w:type="spellEnd"/>
      <w:r>
        <w:rPr>
          <w:rFonts w:hAnsi="Calibri" w:ascii="Calibri"/>
        </w:rPr>
        <w:t xml:space="preserve"> 50.000,00 kn.</w:t>
      </w:r>
    </w:p>
    <w:p w:rsidRDefault="00BB12A9" w:rsidP="00BB12A9" w:rsidR="00BB12A9">
      <w:pPr>
        <w:spacing w:afterAutospacing="true" w:beforeAutospacing="true"/>
        <w:rPr>
          <w:rFonts w:cs="Times New Roman" w:hAnsi="Calibri" w:ascii="Calibri"/>
        </w:rPr>
        <w:sectPr w:rsidR="00BB12A9">
          <w:pgSz w:h="16834" w:w="11904"/>
          <w:pgMar w:gutter="0" w:footer="708" w:header="708" w:left="851" w:bottom="1440" w:right="709" w:top="1135"/>
          <w:cols w:space="720"/>
        </w:sectPr>
      </w:pPr>
    </w:p>
    <w:p w:rsidRDefault="00BB12A9" w:rsidP="00BB12A9" w:rsidR="00BB12A9">
      <w:pPr>
        <w:pStyle w:val="Naslov2"/>
        <w:rPr>
          <w:rFonts w:hAnsi="Calibri" w:ascii="Calibri"/>
        </w:rPr>
      </w:pPr>
      <w:bookmarkStart w:name="_Toc381801106" w:id="20"/>
      <w:r>
        <w:rPr>
          <w:rFonts w:hAnsi="Calibri" w:ascii="Calibri"/>
        </w:rPr>
        <w:lastRenderedPageBreak/>
        <w:t>IZJAVA UPRAVE – NOSITELJA OBITELJSKOG POLJOPRIVREDNOG GOSPODARSTVA</w:t>
      </w:r>
      <w:bookmarkEnd w:id="20"/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Prema našem uvjerenju i u skladu sa svim našim saznanjima i podacima kojima raspolažemo, izjavljujemo da svi podaci iz dokumenta čine cjelovit i istinit prikaz imovine, obveza, gubitka i dobitka, financijskog položaja i poslovanja dužnika Jana </w:t>
      </w:r>
      <w:proofErr w:type="spellStart"/>
      <w:r>
        <w:rPr>
          <w:rFonts w:hAnsi="Calibri" w:ascii="Calibri"/>
        </w:rPr>
        <w:t>Vnouček</w:t>
      </w:r>
      <w:proofErr w:type="spellEnd"/>
      <w:r>
        <w:rPr>
          <w:rFonts w:hAnsi="Calibri" w:ascii="Calibri"/>
        </w:rPr>
        <w:t>, nositelja obiteljskog poljoprivrednog gospodarstva, te da činjenice koje bi mogle utjecati na  potpunost i istinitost ovog dokumenta nisu izostavljene.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Prema našim najboljim spoznajama, ne postoje neobjavljeni sudski sporovi koji su trenutno u postupku ili koji bi eventualno prijetili dužniku, a koji bi značajno utjecali na objavljivanje financijskih izvještaja dužnika, kao niti druge značajne obveze, potencijalni gubici ili dobici, a da nisu iskazani u financijskim izvještajima.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  <w:u w:val="single"/>
        </w:rPr>
      </w:pPr>
      <w:r>
        <w:rPr>
          <w:rFonts w:hAnsi="Calibri" w:ascii="Calibri"/>
          <w:u w:val="single"/>
        </w:rPr>
        <w:tab/>
      </w:r>
      <w:r>
        <w:rPr>
          <w:rFonts w:hAnsi="Calibri" w:ascii="Calibri"/>
          <w:u w:val="single"/>
        </w:rPr>
        <w:tab/>
      </w:r>
      <w:r>
        <w:rPr>
          <w:rFonts w:hAnsi="Calibri" w:ascii="Calibri"/>
          <w:u w:val="single"/>
        </w:rPr>
        <w:tab/>
      </w:r>
      <w:r>
        <w:rPr>
          <w:rFonts w:hAnsi="Calibri" w:ascii="Calibri"/>
          <w:u w:val="single"/>
        </w:rPr>
        <w:tab/>
      </w:r>
      <w:r>
        <w:rPr>
          <w:rFonts w:hAnsi="Calibri" w:ascii="Calibri"/>
          <w:u w:val="single"/>
        </w:rPr>
        <w:tab/>
      </w:r>
      <w:r>
        <w:rPr>
          <w:rFonts w:hAnsi="Calibri" w:ascii="Calibri"/>
          <w:u w:val="single"/>
        </w:rPr>
        <w:tab/>
      </w: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 xml:space="preserve">Jan </w:t>
      </w:r>
      <w:proofErr w:type="spellStart"/>
      <w:r>
        <w:rPr>
          <w:rFonts w:hAnsi="Calibri" w:ascii="Calibri"/>
        </w:rPr>
        <w:t>Vnouček</w:t>
      </w:r>
      <w:proofErr w:type="spellEnd"/>
      <w:r>
        <w:rPr>
          <w:rFonts w:hAnsi="Calibri" w:ascii="Calibri"/>
        </w:rPr>
        <w:t xml:space="preserve">, nositelj </w:t>
      </w: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obiteljskog poljoprivrednog gospodarstva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  <w:r>
        <w:rPr>
          <w:rFonts w:hAnsi="Calibri" w:ascii="Calibri"/>
        </w:rPr>
        <w:t>Bjelovar, 26. 07. 2018.</w:t>
      </w: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StandardWeb"/>
        <w:spacing w:lineRule="auto" w:line="360" w:before="2"/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rPr>
          <w:rFonts w:hAnsi="Calibri" w:ascii="Calibri"/>
        </w:rPr>
      </w:pPr>
    </w:p>
    <w:p w:rsidRDefault="00BB12A9" w:rsidP="00BB12A9" w:rsidR="00BB12A9">
      <w:pPr>
        <w:pStyle w:val="Naslov2"/>
        <w:rPr>
          <w:rFonts w:hAnsi="Calibri" w:ascii="Calibri"/>
          <w:sz w:val="24"/>
        </w:rPr>
      </w:pPr>
    </w:p>
    <w:p w:rsidRDefault="00AE649C" w:rsidP="004F27AE" w:rsidR="00AE649C" w:rsidRPr="00B76F3C">
      <w:pPr>
        <w:pStyle w:val="NormaleSPIS"/>
      </w:pPr>
      <w:bookmarkStart w:name="_GoBack" w:id="21"/>
      <w:bookmarkEnd w:id="21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F55B1E"/>
    <w:multiLevelType w:val="multilevel"/>
    <w:tmpl w:val="A692D16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DE3946"/>
    <w:multiLevelType w:val="hybridMultilevel"/>
    <w:tmpl w:val="620CDC2A"/>
    <w:lvl w:tplc="0409000F" w:ilvl="0">
      <w:start w:val="1"/>
      <w:numFmt w:val="decimal"/>
      <w:lvlText w:val="%1."/>
      <w:lvlJc w:val="left"/>
      <w:pPr>
        <w:ind w:hanging="360" w:left="1080"/>
      </w:pPr>
    </w:lvl>
    <w:lvl w:tplc="04090019" w:ilvl="1">
      <w:start w:val="1"/>
      <w:numFmt w:val="lowerLetter"/>
      <w:lvlText w:val="%2."/>
      <w:lvlJc w:val="left"/>
      <w:pPr>
        <w:ind w:hanging="360" w:left="1800"/>
      </w:pPr>
    </w:lvl>
    <w:lvl w:tplc="0409001B" w:ilvl="2">
      <w:start w:val="1"/>
      <w:numFmt w:val="lowerRoman"/>
      <w:lvlText w:val="%3."/>
      <w:lvlJc w:val="right"/>
      <w:pPr>
        <w:ind w:hanging="180" w:left="2520"/>
      </w:pPr>
    </w:lvl>
    <w:lvl w:tplc="0409000F" w:ilvl="3">
      <w:start w:val="1"/>
      <w:numFmt w:val="decimal"/>
      <w:lvlText w:val="%4."/>
      <w:lvlJc w:val="left"/>
      <w:pPr>
        <w:ind w:hanging="360" w:left="3240"/>
      </w:pPr>
    </w:lvl>
    <w:lvl w:tplc="04090019" w:ilvl="4">
      <w:start w:val="1"/>
      <w:numFmt w:val="lowerLetter"/>
      <w:lvlText w:val="%5."/>
      <w:lvlJc w:val="left"/>
      <w:pPr>
        <w:ind w:hanging="360" w:left="3960"/>
      </w:pPr>
    </w:lvl>
    <w:lvl w:tplc="0409001B" w:ilvl="5">
      <w:start w:val="1"/>
      <w:numFmt w:val="lowerRoman"/>
      <w:lvlText w:val="%6."/>
      <w:lvlJc w:val="right"/>
      <w:pPr>
        <w:ind w:hanging="180" w:left="4680"/>
      </w:pPr>
    </w:lvl>
    <w:lvl w:tplc="0409000F" w:ilvl="6">
      <w:start w:val="1"/>
      <w:numFmt w:val="decimal"/>
      <w:lvlText w:val="%7."/>
      <w:lvlJc w:val="left"/>
      <w:pPr>
        <w:ind w:hanging="360" w:left="5400"/>
      </w:pPr>
    </w:lvl>
    <w:lvl w:tplc="04090019" w:ilvl="7">
      <w:start w:val="1"/>
      <w:numFmt w:val="lowerLetter"/>
      <w:lvlText w:val="%8."/>
      <w:lvlJc w:val="left"/>
      <w:pPr>
        <w:ind w:hanging="360" w:left="6120"/>
      </w:pPr>
    </w:lvl>
    <w:lvl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B376B51"/>
    <w:multiLevelType w:val="multilevel"/>
    <w:tmpl w:val="BAFC03DC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3C6A6FB8"/>
    <w:multiLevelType w:val="hybridMultilevel"/>
    <w:tmpl w:val="30E08D10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F71B1D"/>
    <w:multiLevelType w:val="multilevel"/>
    <w:tmpl w:val="E11A5C8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D7279E"/>
    <w:multiLevelType w:val="hybridMultilevel"/>
    <w:tmpl w:val="97BEBCBE"/>
    <w:lvl w:tplc="0409000F" w:ilvl="0">
      <w:start w:val="1"/>
      <w:numFmt w:val="decimal"/>
      <w:lvlText w:val="%1."/>
      <w:lvlJc w:val="left"/>
      <w:pPr>
        <w:ind w:hanging="360" w:left="1080"/>
      </w:pPr>
    </w:lvl>
    <w:lvl w:tplc="04090019" w:ilvl="1">
      <w:start w:val="1"/>
      <w:numFmt w:val="lowerLetter"/>
      <w:lvlText w:val="%2."/>
      <w:lvlJc w:val="left"/>
      <w:pPr>
        <w:ind w:hanging="360" w:left="1800"/>
      </w:pPr>
    </w:lvl>
    <w:lvl w:tplc="0409001B" w:ilvl="2">
      <w:start w:val="1"/>
      <w:numFmt w:val="lowerRoman"/>
      <w:lvlText w:val="%3."/>
      <w:lvlJc w:val="right"/>
      <w:pPr>
        <w:ind w:hanging="180" w:left="2520"/>
      </w:pPr>
    </w:lvl>
    <w:lvl w:tplc="0409000F" w:ilvl="3">
      <w:start w:val="1"/>
      <w:numFmt w:val="decimal"/>
      <w:lvlText w:val="%4."/>
      <w:lvlJc w:val="left"/>
      <w:pPr>
        <w:ind w:hanging="360" w:left="3240"/>
      </w:pPr>
    </w:lvl>
    <w:lvl w:tplc="04090019" w:ilvl="4">
      <w:start w:val="1"/>
      <w:numFmt w:val="lowerLetter"/>
      <w:lvlText w:val="%5."/>
      <w:lvlJc w:val="left"/>
      <w:pPr>
        <w:ind w:hanging="360" w:left="3960"/>
      </w:pPr>
    </w:lvl>
    <w:lvl w:tplc="0409001B" w:ilvl="5">
      <w:start w:val="1"/>
      <w:numFmt w:val="lowerRoman"/>
      <w:lvlText w:val="%6."/>
      <w:lvlJc w:val="right"/>
      <w:pPr>
        <w:ind w:hanging="180" w:left="4680"/>
      </w:pPr>
    </w:lvl>
    <w:lvl w:tplc="0409000F" w:ilvl="6">
      <w:start w:val="1"/>
      <w:numFmt w:val="decimal"/>
      <w:lvlText w:val="%7."/>
      <w:lvlJc w:val="left"/>
      <w:pPr>
        <w:ind w:hanging="360" w:left="5400"/>
      </w:pPr>
    </w:lvl>
    <w:lvl w:tplc="04090019" w:ilvl="7">
      <w:start w:val="1"/>
      <w:numFmt w:val="lowerLetter"/>
      <w:lvlText w:val="%8."/>
      <w:lvlJc w:val="left"/>
      <w:pPr>
        <w:ind w:hanging="360" w:left="6120"/>
      </w:pPr>
    </w:lvl>
    <w:lvl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D0E5E76"/>
    <w:multiLevelType w:val="hybridMultilevel"/>
    <w:tmpl w:val="DC7E6E30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16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432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48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9">
    <w:nsid w:val="7EAF58E6"/>
    <w:multiLevelType w:val="multilevel"/>
    <w:tmpl w:val="358ED2AE"/>
    <w:numStyleLink w:val="NumListA0"/>
  </w:abstractNum>
  <w:abstractNum w:abstractNumId="50">
    <w:nsid w:val="7F8733DF"/>
    <w:multiLevelType w:val="hybridMultilevel"/>
    <w:tmpl w:val="7666A8C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7"/>
  </w:num>
  <w:num w:numId="6">
    <w:abstractNumId w:val="20"/>
  </w:num>
  <w:num w:numId="7">
    <w:abstractNumId w:val="22"/>
  </w:num>
  <w:num w:numId="8">
    <w:abstractNumId w:val="32"/>
  </w:num>
  <w:num w:numId="9">
    <w:abstractNumId w:val="16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1"/>
  </w:num>
  <w:num w:numId="19">
    <w:abstractNumId w:val="17"/>
  </w:num>
  <w:num w:numId="20">
    <w:abstractNumId w:val="23"/>
  </w:num>
  <w:num w:numId="21">
    <w:abstractNumId w:val="24"/>
  </w:num>
  <w:num w:numId="22">
    <w:abstractNumId w:val="36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0"/>
  </w:num>
  <w:num w:numId="33">
    <w:abstractNumId w:val="31"/>
  </w:num>
  <w:num w:numId="34">
    <w:abstractNumId w:val="27"/>
  </w:num>
  <w:num w:numId="35">
    <w:abstractNumId w:val="11"/>
  </w:num>
  <w:num w:numId="36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0"/>
  </w:num>
  <w:num w:numId="39">
    <w:abstractNumId w:val="9"/>
  </w:num>
  <w:num w:numId="40">
    <w:abstractNumId w:val="43"/>
  </w:num>
  <w:num w:numId="41">
    <w:abstractNumId w:val="49"/>
  </w:num>
  <w:num w:numId="42">
    <w:abstractNumId w:val="12"/>
  </w:num>
  <w:num w:numId="43">
    <w:abstractNumId w:val="45"/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2A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font5" w:type="paragraph">
    <w:name w:val="font5"/>
    <w:basedOn w:val="Normal"/>
    <w:uiPriority w:val="99"/>
    <w:rsid w:val="00BB12A9"/>
    <w:pPr>
      <w:spacing w:after="0" w:beforeLines="1"/>
    </w:pPr>
    <w:rPr>
      <w:rFonts w:hAnsi="Verdana" w:ascii="Verdana"/>
      <w:sz w:val="16"/>
      <w:szCs w:val="16"/>
      <w:lang w:val="en-US"/>
    </w:rPr>
  </w:style>
  <w:style w:customStyle="true" w:styleId="xl24" w:type="paragraph">
    <w:name w:val="xl24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25" w:type="paragraph">
    <w:name w:val="xl25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26" w:type="paragraph">
    <w:name w:val="xl26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  <w:jc w:val="center"/>
    </w:pPr>
    <w:rPr>
      <w:rFonts w:hAnsi="Calibri" w:ascii="Calibri"/>
      <w:sz w:val="20"/>
      <w:szCs w:val="20"/>
      <w:lang w:val="en-US"/>
    </w:rPr>
  </w:style>
  <w:style w:customStyle="true" w:styleId="xl27" w:type="paragraph">
    <w:name w:val="xl27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28" w:type="paragraph">
    <w:name w:val="xl28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29" w:type="paragraph">
    <w:name w:val="xl29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30" w:type="paragraph">
    <w:name w:val="xl30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31" w:type="paragraph">
    <w:name w:val="xl31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  <w:jc w:val="center"/>
    </w:pPr>
    <w:rPr>
      <w:rFonts w:hAnsi="Calibri" w:ascii="Calibri"/>
      <w:sz w:val="20"/>
      <w:szCs w:val="20"/>
      <w:lang w:val="en-US"/>
    </w:rPr>
  </w:style>
  <w:style w:customStyle="true" w:styleId="xl32" w:type="paragraph">
    <w:name w:val="xl32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33" w:type="paragraph">
    <w:name w:val="xl33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xl34" w:type="paragraph">
    <w:name w:val="xl34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</w:pPr>
    <w:rPr>
      <w:rFonts w:hAnsi="Calibri" w:ascii="Calibri"/>
      <w:sz w:val="20"/>
      <w:szCs w:val="20"/>
      <w:lang w:val="en-US"/>
    </w:rPr>
  </w:style>
  <w:style w:customStyle="true" w:styleId="font6" w:type="paragraph">
    <w:name w:val="font6"/>
    <w:basedOn w:val="Normal"/>
    <w:uiPriority w:val="99"/>
    <w:rsid w:val="00BB12A9"/>
    <w:pPr>
      <w:spacing w:after="0" w:beforeLines="1"/>
    </w:pPr>
    <w:rPr>
      <w:rFonts w:hAnsi="Arial" w:ascii="Arial"/>
      <w:sz w:val="18"/>
      <w:szCs w:val="18"/>
      <w:lang w:val="en-US"/>
    </w:rPr>
  </w:style>
  <w:style w:customStyle="true" w:styleId="font7" w:type="paragraph">
    <w:name w:val="font7"/>
    <w:basedOn w:val="Normal"/>
    <w:uiPriority w:val="99"/>
    <w:rsid w:val="00BB12A9"/>
    <w:pPr>
      <w:spacing w:after="0" w:beforeLines="1"/>
    </w:pPr>
    <w:rPr>
      <w:rFonts w:hAnsi="Arial" w:ascii="Arial"/>
      <w:b/>
      <w:bCs/>
      <w:color w:val="FFFFFF"/>
      <w:sz w:val="14"/>
      <w:szCs w:val="14"/>
      <w:lang w:val="en-US"/>
    </w:rPr>
  </w:style>
  <w:style w:customStyle="true" w:styleId="font8" w:type="paragraph">
    <w:name w:val="font8"/>
    <w:basedOn w:val="Normal"/>
    <w:uiPriority w:val="99"/>
    <w:rsid w:val="00BB12A9"/>
    <w:pPr>
      <w:spacing w:after="0" w:beforeLines="1"/>
    </w:pPr>
    <w:rPr>
      <w:rFonts w:hAnsi="Arial" w:ascii="Arial"/>
      <w:color w:val="333399"/>
      <w:sz w:val="18"/>
      <w:szCs w:val="18"/>
      <w:lang w:val="en-US"/>
    </w:rPr>
  </w:style>
  <w:style w:customStyle="true" w:styleId="xl65" w:type="paragraph">
    <w:name w:val="xl65"/>
    <w:basedOn w:val="Normal"/>
    <w:uiPriority w:val="99"/>
    <w:rsid w:val="00BB12A9"/>
    <w:pPr>
      <w:spacing w:after="0" w:beforeLines="1"/>
    </w:pPr>
    <w:rPr>
      <w:rFonts w:hAnsi="Arial" w:ascii="Arial"/>
      <w:sz w:val="18"/>
      <w:szCs w:val="18"/>
      <w:lang w:val="en-US"/>
    </w:rPr>
  </w:style>
  <w:style w:customStyle="true" w:styleId="xl66" w:type="paragraph">
    <w:name w:val="xl66"/>
    <w:basedOn w:val="Normal"/>
    <w:uiPriority w:val="99"/>
    <w:rsid w:val="00BB12A9"/>
    <w:pPr>
      <w:spacing w:after="0" w:beforeLines="1"/>
    </w:pPr>
    <w:rPr>
      <w:rFonts w:hAnsi="Arial" w:ascii="Arial"/>
      <w:sz w:val="18"/>
      <w:szCs w:val="18"/>
      <w:lang w:val="en-US"/>
    </w:rPr>
  </w:style>
  <w:style w:customStyle="true" w:styleId="xl67" w:type="paragraph">
    <w:name w:val="xl67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  <w:jc w:val="center"/>
    </w:pPr>
    <w:rPr>
      <w:rFonts w:hAnsi="Arial" w:ascii="Arial"/>
      <w:b/>
      <w:bCs/>
      <w:sz w:val="18"/>
      <w:szCs w:val="18"/>
      <w:lang w:val="en-US"/>
    </w:rPr>
  </w:style>
  <w:style w:customStyle="true" w:styleId="xl68" w:type="paragraph">
    <w:name w:val="xl68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</w:pPr>
    <w:rPr>
      <w:rFonts w:hAnsi="Arial" w:ascii="Arial"/>
      <w:b/>
      <w:bCs/>
      <w:sz w:val="18"/>
      <w:szCs w:val="18"/>
      <w:lang w:val="en-US"/>
    </w:rPr>
  </w:style>
  <w:style w:customStyle="true" w:styleId="xl69" w:type="paragraph">
    <w:name w:val="xl69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  <w:jc w:val="center"/>
    </w:pPr>
    <w:rPr>
      <w:rFonts w:hAnsi="Arial" w:ascii="Arial"/>
      <w:b/>
      <w:bCs/>
      <w:sz w:val="18"/>
      <w:szCs w:val="18"/>
      <w:lang w:val="en-US"/>
    </w:rPr>
  </w:style>
  <w:style w:customStyle="true" w:styleId="xl70" w:type="paragraph">
    <w:name w:val="xl70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Arial" w:ascii="Arial"/>
      <w:b/>
      <w:bCs/>
      <w:sz w:val="18"/>
      <w:szCs w:val="18"/>
      <w:lang w:val="en-US"/>
    </w:rPr>
  </w:style>
  <w:style w:customStyle="true" w:styleId="xl71" w:type="paragraph">
    <w:name w:val="xl71"/>
    <w:basedOn w:val="Normal"/>
    <w:uiPriority w:val="99"/>
    <w:rsid w:val="00BB12A9"/>
    <w:pPr>
      <w:pBdr>
        <w:left w:space="0" w:sz="4" w:color="FFFFFF" w:val="single"/>
        <w:right w:space="0" w:sz="4" w:color="FFFFFF" w:val="single"/>
      </w:pBdr>
      <w:shd w:fill="003366" w:color="auto" w:val="clear"/>
      <w:spacing w:after="0" w:beforeLines="1"/>
      <w:jc w:val="center"/>
    </w:pPr>
    <w:rPr>
      <w:rFonts w:hAnsi="Arial" w:ascii="Arial"/>
      <w:b/>
      <w:bCs/>
      <w:color w:val="FCF305"/>
      <w:sz w:val="16"/>
      <w:szCs w:val="16"/>
      <w:lang w:val="en-US"/>
    </w:rPr>
  </w:style>
  <w:style w:customStyle="true" w:styleId="xl72" w:type="paragraph">
    <w:name w:val="xl72"/>
    <w:basedOn w:val="Normal"/>
    <w:uiPriority w:val="99"/>
    <w:rsid w:val="00BB12A9"/>
    <w:pPr>
      <w:pBdr>
        <w:left w:space="0" w:sz="4" w:color="FFFFFF" w:val="single"/>
      </w:pBdr>
      <w:shd w:fill="003366" w:color="auto" w:val="clear"/>
      <w:spacing w:after="0" w:beforeLines="1"/>
      <w:jc w:val="center"/>
    </w:pPr>
    <w:rPr>
      <w:rFonts w:hAnsi="Arial" w:ascii="Arial"/>
      <w:b/>
      <w:bCs/>
      <w:color w:val="FCF305"/>
      <w:sz w:val="16"/>
      <w:szCs w:val="16"/>
      <w:lang w:val="en-US"/>
    </w:rPr>
  </w:style>
  <w:style w:customStyle="true" w:styleId="xl73" w:type="paragraph">
    <w:name w:val="xl73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  <w:jc w:val="right"/>
    </w:pPr>
    <w:rPr>
      <w:rFonts w:hAnsi="Arial" w:ascii="Arial"/>
      <w:color w:val="0000D4"/>
      <w:sz w:val="18"/>
      <w:szCs w:val="18"/>
      <w:lang w:val="en-US"/>
    </w:rPr>
  </w:style>
  <w:style w:customStyle="true" w:styleId="xl74" w:type="paragraph">
    <w:name w:val="xl74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  <w:jc w:val="right"/>
    </w:pPr>
    <w:rPr>
      <w:rFonts w:hAnsi="Arial" w:ascii="Arial"/>
      <w:sz w:val="18"/>
      <w:szCs w:val="18"/>
      <w:lang w:val="en-US"/>
    </w:rPr>
  </w:style>
  <w:style w:customStyle="true" w:styleId="xl75" w:type="paragraph">
    <w:name w:val="xl75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  <w:jc w:val="right"/>
    </w:pPr>
    <w:rPr>
      <w:rFonts w:hAnsi="Arial" w:ascii="Arial"/>
      <w:sz w:val="18"/>
      <w:szCs w:val="18"/>
      <w:lang w:val="en-US"/>
    </w:rPr>
  </w:style>
  <w:style w:customStyle="true" w:styleId="xl76" w:type="paragraph">
    <w:name w:val="xl76"/>
    <w:basedOn w:val="Normal"/>
    <w:uiPriority w:val="99"/>
    <w:rsid w:val="00BB12A9"/>
    <w:pPr>
      <w:spacing w:after="0" w:beforeLines="1"/>
    </w:pPr>
    <w:rPr>
      <w:rFonts w:hAnsi="Arial" w:ascii="Arial"/>
      <w:sz w:val="18"/>
      <w:szCs w:val="18"/>
      <w:lang w:val="en-US"/>
    </w:rPr>
  </w:style>
  <w:style w:customStyle="true" w:styleId="xl77" w:type="paragraph">
    <w:name w:val="xl77"/>
    <w:basedOn w:val="Normal"/>
    <w:uiPriority w:val="99"/>
    <w:rsid w:val="00BB12A9"/>
    <w:pPr>
      <w:spacing w:after="0" w:beforeLines="1"/>
    </w:pPr>
    <w:rPr>
      <w:rFonts w:hAnsi="Arial" w:ascii="Arial"/>
      <w:sz w:val="18"/>
      <w:szCs w:val="18"/>
      <w:lang w:val="en-US"/>
    </w:rPr>
  </w:style>
  <w:style w:customStyle="true" w:styleId="xl78" w:type="paragraph">
    <w:name w:val="xl78"/>
    <w:basedOn w:val="Normal"/>
    <w:uiPriority w:val="99"/>
    <w:rsid w:val="00BB12A9"/>
    <w:pPr>
      <w:pBdr>
        <w:bottom w:space="0" w:sz="4" w:color="auto" w:val="single"/>
      </w:pBdr>
      <w:spacing w:after="0" w:beforeLines="1"/>
      <w:jc w:val="center"/>
    </w:pPr>
    <w:rPr>
      <w:rFonts w:hAnsi="Arial" w:ascii="Arial"/>
      <w:sz w:val="18"/>
      <w:szCs w:val="18"/>
      <w:lang w:val="en-US"/>
    </w:rPr>
  </w:style>
  <w:style w:customStyle="true" w:styleId="xl79" w:type="paragraph">
    <w:name w:val="xl79"/>
    <w:basedOn w:val="Normal"/>
    <w:uiPriority w:val="99"/>
    <w:rsid w:val="00BB12A9"/>
    <w:pPr>
      <w:pBdr>
        <w:top w:space="0" w:sz="4" w:color="auto" w:val="single"/>
        <w:left w:space="0" w:sz="4" w:color="FFFFFF" w:val="single"/>
        <w:bottom w:space="0" w:sz="8" w:color="C0C0C0" w:val="single"/>
        <w:right w:space="0" w:sz="4" w:color="FFFFFF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6"/>
      <w:szCs w:val="16"/>
      <w:lang w:val="en-US"/>
    </w:rPr>
  </w:style>
  <w:style w:customStyle="true" w:styleId="xl80" w:type="paragraph">
    <w:name w:val="xl80"/>
    <w:basedOn w:val="Normal"/>
    <w:uiPriority w:val="99"/>
    <w:rsid w:val="00BB12A9"/>
    <w:pPr>
      <w:pBdr>
        <w:top w:space="0" w:sz="4" w:color="auto" w:val="single"/>
        <w:left w:space="0" w:sz="4" w:color="FFFFFF" w:val="single"/>
        <w:bottom w:space="0" w:sz="8" w:color="C0C0C0" w:val="single"/>
        <w:right w:space="0" w:sz="4" w:color="auto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6"/>
      <w:szCs w:val="16"/>
      <w:lang w:val="en-US"/>
    </w:rPr>
  </w:style>
  <w:style w:customStyle="true" w:styleId="xl81" w:type="paragraph">
    <w:name w:val="xl81"/>
    <w:basedOn w:val="Normal"/>
    <w:uiPriority w:val="99"/>
    <w:rsid w:val="00BB12A9"/>
    <w:pPr>
      <w:pBdr>
        <w:top w:space="0" w:sz="8" w:color="C0C0C0" w:val="single"/>
        <w:left w:space="0" w:sz="4" w:color="FFFFFF" w:val="single"/>
        <w:bottom w:space="0" w:sz="4" w:color="auto" w:val="single"/>
        <w:right w:space="0" w:sz="4" w:color="FFFFFF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8"/>
      <w:szCs w:val="18"/>
      <w:lang w:val="en-US"/>
    </w:rPr>
  </w:style>
  <w:style w:customStyle="true" w:styleId="xl82" w:type="paragraph">
    <w:name w:val="xl82"/>
    <w:basedOn w:val="Normal"/>
    <w:uiPriority w:val="99"/>
    <w:rsid w:val="00BB12A9"/>
    <w:pPr>
      <w:pBdr>
        <w:top w:space="0" w:sz="8" w:color="C0C0C0" w:val="single"/>
        <w:left w:space="0" w:sz="4" w:color="FFFFFF" w:val="single"/>
        <w:bottom w:space="0" w:sz="4" w:color="auto" w:val="single"/>
        <w:right w:space="0" w:sz="4" w:color="FFFFFF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8"/>
      <w:szCs w:val="18"/>
      <w:lang w:val="en-US"/>
    </w:rPr>
  </w:style>
  <w:style w:customStyle="true" w:styleId="xl83" w:type="paragraph">
    <w:name w:val="xl83"/>
    <w:basedOn w:val="Normal"/>
    <w:uiPriority w:val="99"/>
    <w:rsid w:val="00BB12A9"/>
    <w:pPr>
      <w:pBdr>
        <w:top w:space="0" w:sz="8" w:color="C0C0C0" w:val="single"/>
        <w:left w:space="0" w:sz="4" w:color="FFFFFF" w:val="single"/>
        <w:bottom w:space="0" w:sz="4" w:color="auto" w:val="single"/>
        <w:right w:space="0" w:sz="4" w:color="auto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8"/>
      <w:szCs w:val="18"/>
      <w:lang w:val="en-US"/>
    </w:rPr>
  </w:style>
  <w:style w:customStyle="true" w:styleId="xl84" w:type="paragraph">
    <w:name w:val="xl84"/>
    <w:basedOn w:val="Normal"/>
    <w:uiPriority w:val="99"/>
    <w:rsid w:val="00BB12A9"/>
    <w:pPr>
      <w:shd w:fill="003366" w:color="auto" w:val="clear"/>
      <w:spacing w:after="0" w:beforeLines="1"/>
      <w:jc w:val="center"/>
    </w:pPr>
    <w:rPr>
      <w:rFonts w:hAnsi="Arial" w:ascii="Arial"/>
      <w:b/>
      <w:bCs/>
      <w:color w:val="FFFFFF"/>
      <w:sz w:val="16"/>
      <w:szCs w:val="16"/>
      <w:lang w:val="en-US"/>
    </w:rPr>
  </w:style>
  <w:style w:customStyle="true" w:styleId="xl85" w:type="paragraph">
    <w:name w:val="xl85"/>
    <w:basedOn w:val="Normal"/>
    <w:uiPriority w:val="99"/>
    <w:rsid w:val="00BB12A9"/>
    <w:pPr>
      <w:pBdr>
        <w:bottom w:space="0" w:sz="4" w:color="auto" w:val="single"/>
      </w:pBdr>
      <w:spacing w:after="0" w:beforeLines="1"/>
      <w:jc w:val="center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86" w:type="paragraph">
    <w:name w:val="xl86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</w:pPr>
    <w:rPr>
      <w:rFonts w:hAnsi="Arial" w:ascii="Arial"/>
      <w:sz w:val="18"/>
      <w:szCs w:val="18"/>
      <w:lang w:val="en-US"/>
    </w:rPr>
  </w:style>
  <w:style w:customStyle="true" w:styleId="xl87" w:type="paragraph">
    <w:name w:val="xl87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</w:pPr>
    <w:rPr>
      <w:rFonts w:hAnsi="Arial" w:ascii="Arial"/>
      <w:color w:val="0000D4"/>
      <w:sz w:val="18"/>
      <w:szCs w:val="18"/>
      <w:lang w:val="en-US"/>
    </w:rPr>
  </w:style>
  <w:style w:customStyle="true" w:styleId="xl88" w:type="paragraph">
    <w:name w:val="xl88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</w:pPr>
    <w:rPr>
      <w:rFonts w:hAnsi="Arial" w:ascii="Arial"/>
      <w:b/>
      <w:bCs/>
      <w:color w:val="333399"/>
      <w:sz w:val="18"/>
      <w:szCs w:val="18"/>
      <w:lang w:val="en-US"/>
    </w:rPr>
  </w:style>
  <w:style w:customStyle="true" w:styleId="xl89" w:type="paragraph">
    <w:name w:val="xl89"/>
    <w:basedOn w:val="Normal"/>
    <w:uiPriority w:val="99"/>
    <w:rsid w:val="00BB12A9"/>
    <w:pPr>
      <w:pBdr>
        <w:top w:space="0" w:sz="4" w:color="C0C0C0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</w:pPr>
    <w:rPr>
      <w:rFonts w:hAnsi="Arial" w:ascii="Arial"/>
      <w:b/>
      <w:bCs/>
      <w:color w:val="333399"/>
      <w:sz w:val="18"/>
      <w:szCs w:val="18"/>
      <w:lang w:val="en-US"/>
    </w:rPr>
  </w:style>
  <w:style w:customStyle="true" w:styleId="xl90" w:type="paragraph">
    <w:name w:val="xl90"/>
    <w:basedOn w:val="Normal"/>
    <w:uiPriority w:val="99"/>
    <w:rsid w:val="00BB12A9"/>
    <w:pPr>
      <w:pBdr>
        <w:top w:space="0" w:sz="8" w:color="auto" w:val="single"/>
        <w:left w:space="0" w:sz="8" w:color="auto" w:val="single"/>
        <w:right w:space="0" w:sz="8" w:color="auto" w:val="single"/>
      </w:pBdr>
      <w:shd w:fill="auto" w:color="CCCCFF" w:val="pct25"/>
      <w:spacing w:after="0" w:beforeLines="1"/>
      <w:jc w:val="center"/>
    </w:pPr>
    <w:rPr>
      <w:rFonts w:hAnsi="Arial" w:ascii="Arial"/>
      <w:b/>
      <w:bCs/>
      <w:color w:val="000090"/>
      <w:sz w:val="20"/>
      <w:szCs w:val="20"/>
      <w:lang w:val="en-US"/>
    </w:rPr>
  </w:style>
  <w:style w:customStyle="true" w:styleId="xl91" w:type="paragraph">
    <w:name w:val="xl91"/>
    <w:basedOn w:val="Normal"/>
    <w:uiPriority w:val="99"/>
    <w:rsid w:val="00BB12A9"/>
    <w:pPr>
      <w:pBdr>
        <w:left w:space="0" w:sz="8" w:color="auto" w:val="single"/>
        <w:bottom w:space="0" w:sz="8" w:color="auto" w:val="single"/>
        <w:right w:space="0" w:sz="8" w:color="auto" w:val="single"/>
      </w:pBdr>
      <w:shd w:fill="auto" w:color="CCCCFF" w:val="pct25"/>
      <w:spacing w:after="0" w:beforeLines="1"/>
      <w:jc w:val="center"/>
    </w:pPr>
    <w:rPr>
      <w:rFonts w:hAnsi="Arial" w:ascii="Arial"/>
      <w:b/>
      <w:bCs/>
      <w:sz w:val="20"/>
      <w:szCs w:val="20"/>
      <w:lang w:val="en-US"/>
    </w:rPr>
  </w:style>
  <w:style w:customStyle="true" w:styleId="xl92" w:type="paragraph">
    <w:name w:val="xl92"/>
    <w:basedOn w:val="Normal"/>
    <w:uiPriority w:val="99"/>
    <w:rsid w:val="00BB12A9"/>
    <w:pPr>
      <w:spacing w:after="0" w:beforeLines="1"/>
      <w:jc w:val="center"/>
    </w:pPr>
    <w:rPr>
      <w:rFonts w:hAnsi="Arial" w:ascii="Arial"/>
      <w:b/>
      <w:bCs/>
      <w:color w:val="000090"/>
      <w:lang w:val="en-US"/>
    </w:rPr>
  </w:style>
  <w:style w:customStyle="true" w:styleId="xl93" w:type="paragraph">
    <w:name w:val="xl93"/>
    <w:basedOn w:val="Normal"/>
    <w:uiPriority w:val="99"/>
    <w:rsid w:val="00BB12A9"/>
    <w:pPr>
      <w:spacing w:after="0" w:beforeLines="1"/>
      <w:jc w:val="center"/>
    </w:pPr>
    <w:rPr>
      <w:rFonts w:hAnsi="Arial" w:ascii="Arial"/>
      <w:lang w:val="en-US"/>
    </w:rPr>
  </w:style>
  <w:style w:customStyle="true" w:styleId="xl94" w:type="paragraph">
    <w:name w:val="xl94"/>
    <w:basedOn w:val="Normal"/>
    <w:uiPriority w:val="99"/>
    <w:rsid w:val="00BB12A9"/>
    <w:pPr>
      <w:pBdr>
        <w:right w:space="0" w:sz="8" w:color="auto" w:val="single"/>
      </w:pBdr>
      <w:spacing w:after="0" w:beforeLines="1"/>
      <w:jc w:val="center"/>
    </w:pPr>
    <w:rPr>
      <w:rFonts w:hAnsi="Arial" w:ascii="Arial"/>
      <w:lang w:val="en-US"/>
    </w:rPr>
  </w:style>
  <w:style w:customStyle="true" w:styleId="xl95" w:type="paragraph">
    <w:name w:val="xl95"/>
    <w:basedOn w:val="Normal"/>
    <w:uiPriority w:val="99"/>
    <w:rsid w:val="00BB12A9"/>
    <w:pPr>
      <w:spacing w:after="0" w:beforeLines="1"/>
      <w:jc w:val="center"/>
    </w:pPr>
    <w:rPr>
      <w:rFonts w:hAnsi="Arial" w:ascii="Arial"/>
      <w:b/>
      <w:bCs/>
      <w:color w:val="000090"/>
      <w:sz w:val="20"/>
      <w:szCs w:val="20"/>
      <w:lang w:val="en-US"/>
    </w:rPr>
  </w:style>
  <w:style w:customStyle="true" w:styleId="xl96" w:type="paragraph">
    <w:name w:val="xl96"/>
    <w:basedOn w:val="Normal"/>
    <w:uiPriority w:val="99"/>
    <w:rsid w:val="00BB12A9"/>
    <w:pPr>
      <w:spacing w:after="0" w:beforeLines="1"/>
      <w:jc w:val="center"/>
    </w:pPr>
    <w:rPr>
      <w:rFonts w:hAnsi="Times" w:ascii="Times"/>
      <w:sz w:val="20"/>
      <w:szCs w:val="20"/>
      <w:lang w:val="en-US"/>
    </w:rPr>
  </w:style>
  <w:style w:customStyle="true" w:styleId="xl97" w:type="paragraph">
    <w:name w:val="xl97"/>
    <w:basedOn w:val="Normal"/>
    <w:uiPriority w:val="99"/>
    <w:rsid w:val="00BB12A9"/>
    <w:pPr>
      <w:pBdr>
        <w:right w:space="0" w:sz="8" w:color="auto" w:val="single"/>
      </w:pBdr>
      <w:spacing w:after="0" w:beforeLines="1"/>
      <w:jc w:val="center"/>
    </w:pPr>
    <w:rPr>
      <w:rFonts w:hAnsi="Times" w:ascii="Times"/>
      <w:sz w:val="20"/>
      <w:szCs w:val="20"/>
      <w:lang w:val="en-US"/>
    </w:rPr>
  </w:style>
  <w:style w:customStyle="true" w:styleId="xl98" w:type="paragraph">
    <w:name w:val="xl98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</w:pBdr>
      <w:shd w:fill="auto" w:color="C0C0C0" w:val="pct25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99" w:type="paragraph">
    <w:name w:val="xl99"/>
    <w:basedOn w:val="Normal"/>
    <w:uiPriority w:val="99"/>
    <w:rsid w:val="00BB12A9"/>
    <w:pPr>
      <w:pBdr>
        <w:top w:space="0" w:sz="4" w:color="auto" w:val="single"/>
        <w:bottom w:space="0" w:sz="4" w:color="auto" w:val="single"/>
      </w:pBdr>
      <w:shd w:fill="auto" w:color="C0C0C0" w:val="pct25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00" w:type="paragraph">
    <w:name w:val="xl100"/>
    <w:basedOn w:val="Normal"/>
    <w:uiPriority w:val="99"/>
    <w:rsid w:val="00BB12A9"/>
    <w:pPr>
      <w:pBdr>
        <w:top w:space="0" w:sz="4" w:color="auto" w:val="single"/>
        <w:bottom w:space="0" w:sz="4" w:color="auto" w:val="single"/>
        <w:right w:space="0" w:sz="4" w:color="auto" w:val="single"/>
      </w:pBdr>
      <w:shd w:fill="auto" w:color="C0C0C0" w:val="pct25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01" w:type="paragraph">
    <w:name w:val="xl101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8" w:color="C0C0C0" w:val="single"/>
        <w:right w:space="0" w:sz="4" w:color="FFFFFF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6"/>
      <w:szCs w:val="16"/>
      <w:lang w:val="en-US"/>
    </w:rPr>
  </w:style>
  <w:style w:customStyle="true" w:styleId="xl102" w:type="paragraph">
    <w:name w:val="xl102"/>
    <w:basedOn w:val="Normal"/>
    <w:uiPriority w:val="99"/>
    <w:rsid w:val="00BB12A9"/>
    <w:pPr>
      <w:pBdr>
        <w:top w:space="0" w:sz="8" w:color="C0C0C0" w:val="single"/>
        <w:left w:space="0" w:sz="4" w:color="auto" w:val="single"/>
        <w:bottom w:space="0" w:sz="4" w:color="auto" w:val="single"/>
        <w:right w:space="0" w:sz="4" w:color="FFFFFF" w:val="single"/>
      </w:pBdr>
      <w:shd w:fill="969696" w:color="auto" w:val="clear"/>
      <w:spacing w:after="0" w:beforeLines="1"/>
      <w:jc w:val="center"/>
    </w:pPr>
    <w:rPr>
      <w:rFonts w:hAnsi="Arial" w:ascii="Arial"/>
      <w:b/>
      <w:bCs/>
      <w:color w:val="FFFFFF"/>
      <w:sz w:val="18"/>
      <w:szCs w:val="18"/>
      <w:lang w:val="en-US"/>
    </w:rPr>
  </w:style>
  <w:style w:customStyle="true" w:styleId="xl103" w:type="paragraph">
    <w:name w:val="xl103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C0C0C0" w:val="single"/>
        <w:right w:space="0" w:sz="4" w:color="auto" w:val="single"/>
      </w:pBdr>
      <w:shd w:fill="C0C0C0" w:color="auto" w:val="clear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04" w:type="paragraph">
    <w:name w:val="xl104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C0C0C0" w:val="single"/>
        <w:right w:space="0" w:sz="4" w:color="auto" w:val="single"/>
      </w:pBdr>
      <w:shd w:fill="C0C0C0" w:color="auto" w:val="clear"/>
      <w:spacing w:after="0" w:beforeLines="1"/>
    </w:pPr>
    <w:rPr>
      <w:rFonts w:hAnsi="Arial" w:ascii="Arial"/>
      <w:color w:val="000090"/>
      <w:sz w:val="18"/>
      <w:szCs w:val="18"/>
      <w:lang w:val="en-US"/>
    </w:rPr>
  </w:style>
  <w:style w:customStyle="true" w:styleId="xl105" w:type="paragraph">
    <w:name w:val="xl105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C0C0C0" w:val="single"/>
        <w:right w:space="0" w:sz="4" w:color="auto" w:val="single"/>
      </w:pBdr>
      <w:shd w:fill="C0C0C0" w:color="auto" w:val="clear"/>
      <w:spacing w:after="0" w:beforeLines="1"/>
    </w:pPr>
    <w:rPr>
      <w:rFonts w:hAnsi="Arial" w:ascii="Arial"/>
      <w:color w:val="000090"/>
      <w:sz w:val="18"/>
      <w:szCs w:val="18"/>
      <w:lang w:val="en-US"/>
    </w:rPr>
  </w:style>
  <w:style w:customStyle="true" w:styleId="xl35" w:type="paragraph">
    <w:name w:val="xl35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="0" w:beforeLines="1"/>
      <w:jc w:val="center"/>
    </w:pPr>
    <w:rPr>
      <w:rFonts w:hAnsi="Calibri" w:ascii="Calibri"/>
      <w:sz w:val="20"/>
      <w:szCs w:val="20"/>
      <w:lang w:val="en-US"/>
    </w:rPr>
  </w:style>
  <w:style w:customStyle="true" w:styleId="xl106" w:type="paragraph">
    <w:name w:val="xl106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C0C0C0" w:val="single"/>
        <w:right w:space="0" w:sz="4" w:color="auto" w:val="single"/>
      </w:pBdr>
      <w:shd w:fill="C0C0C0" w:color="auto" w:val="clear"/>
      <w:spacing w:after="0" w:beforeLines="1"/>
    </w:pPr>
    <w:rPr>
      <w:rFonts w:hAnsi="Arial" w:ascii="Arial"/>
      <w:b/>
      <w:bCs/>
      <w:sz w:val="18"/>
      <w:szCs w:val="18"/>
      <w:lang w:val="en-US"/>
    </w:rPr>
  </w:style>
  <w:style w:customStyle="true" w:styleId="xl107" w:type="paragraph">
    <w:name w:val="xl107"/>
    <w:basedOn w:val="Normal"/>
    <w:uiPriority w:val="99"/>
    <w:rsid w:val="00BB12A9"/>
    <w:pPr>
      <w:spacing w:after="0" w:beforeLines="1"/>
      <w:jc w:val="center"/>
    </w:pPr>
    <w:rPr>
      <w:rFonts w:hAnsi="Arial" w:ascii="Arial"/>
      <w:color w:val="000090"/>
      <w:lang w:val="en-US"/>
    </w:rPr>
  </w:style>
  <w:style w:customStyle="true" w:styleId="xl108" w:type="paragraph">
    <w:name w:val="xl108"/>
    <w:basedOn w:val="Normal"/>
    <w:uiPriority w:val="99"/>
    <w:rsid w:val="00BB12A9"/>
    <w:pPr>
      <w:pBdr>
        <w:right w:space="0" w:sz="8" w:color="auto" w:val="single"/>
      </w:pBdr>
      <w:spacing w:after="0" w:beforeLines="1"/>
      <w:jc w:val="center"/>
    </w:pPr>
    <w:rPr>
      <w:rFonts w:hAnsi="Arial" w:ascii="Arial"/>
      <w:color w:val="000090"/>
      <w:lang w:val="en-US"/>
    </w:rPr>
  </w:style>
  <w:style w:customStyle="true" w:styleId="xl109" w:type="paragraph">
    <w:name w:val="xl109"/>
    <w:basedOn w:val="Normal"/>
    <w:uiPriority w:val="99"/>
    <w:rsid w:val="00BB12A9"/>
    <w:pPr>
      <w:spacing w:after="0" w:beforeLines="1"/>
      <w:jc w:val="center"/>
    </w:pPr>
    <w:rPr>
      <w:rFonts w:hAnsi="Arial" w:ascii="Arial"/>
      <w:color w:val="000090"/>
      <w:sz w:val="20"/>
      <w:szCs w:val="20"/>
      <w:lang w:val="en-US"/>
    </w:rPr>
  </w:style>
  <w:style w:customStyle="true" w:styleId="xl110" w:type="paragraph">
    <w:name w:val="xl110"/>
    <w:basedOn w:val="Normal"/>
    <w:uiPriority w:val="99"/>
    <w:rsid w:val="00BB12A9"/>
    <w:pPr>
      <w:pBdr>
        <w:right w:space="0" w:sz="8" w:color="auto" w:val="single"/>
      </w:pBdr>
      <w:spacing w:after="0" w:beforeLines="1"/>
      <w:jc w:val="center"/>
    </w:pPr>
    <w:rPr>
      <w:rFonts w:hAnsi="Arial" w:ascii="Arial"/>
      <w:color w:val="000090"/>
      <w:sz w:val="20"/>
      <w:szCs w:val="20"/>
      <w:lang w:val="en-US"/>
    </w:rPr>
  </w:style>
  <w:style w:customStyle="true" w:styleId="xl111" w:type="paragraph">
    <w:name w:val="xl111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C0C0C0" w:val="single"/>
        <w:right w:space="0" w:sz="4" w:color="auto" w:val="single"/>
      </w:pBdr>
      <w:spacing w:after="0" w:beforeLines="1"/>
    </w:pPr>
    <w:rPr>
      <w:rFonts w:hAnsi="Arial" w:ascii="Arial"/>
      <w:b/>
      <w:bCs/>
      <w:color w:val="333399"/>
      <w:sz w:val="18"/>
      <w:szCs w:val="18"/>
      <w:lang w:val="en-US"/>
    </w:rPr>
  </w:style>
  <w:style w:customStyle="true" w:styleId="xl112" w:type="paragraph">
    <w:name w:val="xl112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</w:pBdr>
      <w:shd w:fill="auto" w:color="C0C0C0" w:val="pct12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13" w:type="paragraph">
    <w:name w:val="xl113"/>
    <w:basedOn w:val="Normal"/>
    <w:uiPriority w:val="99"/>
    <w:rsid w:val="00BB12A9"/>
    <w:pPr>
      <w:pBdr>
        <w:top w:space="0" w:sz="4" w:color="auto" w:val="single"/>
        <w:bottom w:space="0" w:sz="4" w:color="auto" w:val="single"/>
      </w:pBdr>
      <w:shd w:fill="auto" w:color="C0C0C0" w:val="pct12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14" w:type="paragraph">
    <w:name w:val="xl114"/>
    <w:basedOn w:val="Normal"/>
    <w:uiPriority w:val="99"/>
    <w:rsid w:val="00BB12A9"/>
    <w:pPr>
      <w:pBdr>
        <w:top w:space="0" w:sz="4" w:color="auto" w:val="single"/>
        <w:bottom w:space="0" w:sz="4" w:color="auto" w:val="single"/>
        <w:right w:space="0" w:sz="4" w:color="auto" w:val="single"/>
      </w:pBdr>
      <w:shd w:fill="auto" w:color="C0C0C0" w:val="pct12"/>
      <w:spacing w:after="0" w:beforeLines="1"/>
    </w:pPr>
    <w:rPr>
      <w:rFonts w:hAnsi="Arial" w:ascii="Arial"/>
      <w:b/>
      <w:bCs/>
      <w:color w:val="000090"/>
      <w:sz w:val="18"/>
      <w:szCs w:val="18"/>
      <w:lang w:val="en-US"/>
    </w:rPr>
  </w:style>
  <w:style w:customStyle="true" w:styleId="xl115" w:type="paragraph">
    <w:name w:val="xl115"/>
    <w:basedOn w:val="Normal"/>
    <w:uiPriority w:val="99"/>
    <w:rsid w:val="00BB12A9"/>
    <w:pPr>
      <w:pBdr>
        <w:top w:space="0" w:sz="4" w:color="C0C0C0" w:val="single"/>
        <w:left w:space="8" w:sz="4" w:color="auto" w:val="single"/>
        <w:bottom w:space="0" w:sz="4" w:color="auto" w:val="single"/>
        <w:right w:space="0" w:sz="4" w:color="auto" w:val="single"/>
      </w:pBdr>
      <w:spacing w:after="0" w:beforeLines="1"/>
      <w:ind w:firstLineChars="100" w:firstLine="100"/>
    </w:pPr>
    <w:rPr>
      <w:rFonts w:hAnsi="Arial" w:ascii="Arial"/>
      <w:sz w:val="18"/>
      <w:szCs w:val="18"/>
      <w:lang w:val="en-US"/>
    </w:rPr>
  </w:style>
  <w:style w:customStyle="true" w:styleId="xl36" w:type="paragraph">
    <w:name w:val="xl36"/>
    <w:basedOn w:val="Normal"/>
    <w:uiPriority w:val="99"/>
    <w:rsid w:val="00BB12A9"/>
    <w:pPr>
      <w:spacing w:after="0" w:beforeLines="1"/>
      <w:jc w:val="center"/>
    </w:pPr>
    <w:rPr>
      <w:rFonts w:hAnsi="Calibri" w:ascii="Calibri"/>
      <w:sz w:val="20"/>
      <w:szCs w:val="20"/>
      <w:lang w:val="en-US"/>
    </w:rPr>
  </w:style>
  <w:style w:customStyle="true" w:styleId="xl37" w:type="paragraph">
    <w:name w:val="xl37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  <w:jc w:val="center"/>
    </w:pPr>
    <w:rPr>
      <w:rFonts w:hAnsi="Calibri" w:ascii="Calibri"/>
      <w:sz w:val="20"/>
      <w:szCs w:val="20"/>
      <w:lang w:val="en-US"/>
    </w:rPr>
  </w:style>
  <w:style w:customStyle="true" w:styleId="xl38" w:type="paragraph">
    <w:name w:val="xl38"/>
    <w:basedOn w:val="Normal"/>
    <w:uiPriority w:val="99"/>
    <w:rsid w:val="00BB12A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33CCCC" w:color="auto" w:val="clear"/>
      <w:spacing w:after="0" w:beforeLines="1"/>
      <w:jc w:val="center"/>
    </w:pPr>
    <w:rPr>
      <w:rFonts w:hAnsi="Calibri" w:ascii="Calibri"/>
      <w:sz w:val="20"/>
      <w:szCs w:val="20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font5" w:type="paragraph">
    <w:name w:val="font5"/>
    <w:basedOn w:val="Normal"/>
    <w:uiPriority w:val="99"/>
    <w:rsid w:val="00BB12A9"/>
    <w:pPr>
      <w:spacing w:after="0" w:beforeLines="1"/>
    </w:pPr>
    <w:rPr>
      <w:rFonts w:ascii="Verdana" w:hAnsi="Verdana"/>
      <w:sz w:val="16"/>
      <w:szCs w:val="16"/>
      <w:lang w:val="en-US"/>
    </w:rPr>
  </w:style>
  <w:style w:customStyle="1" w:styleId="xl24" w:type="paragraph">
    <w:name w:val="xl24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25" w:type="paragraph">
    <w:name w:val="xl25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26" w:type="paragraph">
    <w:name w:val="xl26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  <w:jc w:val="center"/>
    </w:pPr>
    <w:rPr>
      <w:rFonts w:ascii="Calibri" w:hAnsi="Calibri"/>
      <w:sz w:val="20"/>
      <w:szCs w:val="20"/>
      <w:lang w:val="en-US"/>
    </w:rPr>
  </w:style>
  <w:style w:customStyle="1" w:styleId="xl27" w:type="paragraph">
    <w:name w:val="xl27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28" w:type="paragraph">
    <w:name w:val="xl28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29" w:type="paragraph">
    <w:name w:val="xl29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30" w:type="paragraph">
    <w:name w:val="xl30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31" w:type="paragraph">
    <w:name w:val="xl31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  <w:jc w:val="center"/>
    </w:pPr>
    <w:rPr>
      <w:rFonts w:ascii="Calibri" w:hAnsi="Calibri"/>
      <w:sz w:val="20"/>
      <w:szCs w:val="20"/>
      <w:lang w:val="en-US"/>
    </w:rPr>
  </w:style>
  <w:style w:customStyle="1" w:styleId="xl32" w:type="paragraph">
    <w:name w:val="xl32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33" w:type="paragraph">
    <w:name w:val="xl33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</w:pPr>
    <w:rPr>
      <w:rFonts w:ascii="Calibri" w:hAnsi="Calibri"/>
      <w:sz w:val="20"/>
      <w:szCs w:val="20"/>
      <w:lang w:val="en-US"/>
    </w:rPr>
  </w:style>
  <w:style w:customStyle="1" w:styleId="xl34" w:type="paragraph">
    <w:name w:val="xl34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</w:pPr>
    <w:rPr>
      <w:rFonts w:ascii="Calibri" w:hAnsi="Calibri"/>
      <w:sz w:val="20"/>
      <w:szCs w:val="20"/>
      <w:lang w:val="en-US"/>
    </w:rPr>
  </w:style>
  <w:style w:customStyle="1" w:styleId="font6" w:type="paragraph">
    <w:name w:val="font6"/>
    <w:basedOn w:val="Normal"/>
    <w:uiPriority w:val="99"/>
    <w:rsid w:val="00BB12A9"/>
    <w:pPr>
      <w:spacing w:after="0" w:beforeLines="1"/>
    </w:pPr>
    <w:rPr>
      <w:rFonts w:ascii="Arial" w:hAnsi="Arial"/>
      <w:sz w:val="18"/>
      <w:szCs w:val="18"/>
      <w:lang w:val="en-US"/>
    </w:rPr>
  </w:style>
  <w:style w:customStyle="1" w:styleId="font7" w:type="paragraph">
    <w:name w:val="font7"/>
    <w:basedOn w:val="Normal"/>
    <w:uiPriority w:val="99"/>
    <w:rsid w:val="00BB12A9"/>
    <w:pPr>
      <w:spacing w:after="0" w:beforeLines="1"/>
    </w:pPr>
    <w:rPr>
      <w:rFonts w:ascii="Arial" w:hAnsi="Arial"/>
      <w:b/>
      <w:bCs/>
      <w:color w:val="FFFFFF"/>
      <w:sz w:val="14"/>
      <w:szCs w:val="14"/>
      <w:lang w:val="en-US"/>
    </w:rPr>
  </w:style>
  <w:style w:customStyle="1" w:styleId="font8" w:type="paragraph">
    <w:name w:val="font8"/>
    <w:basedOn w:val="Normal"/>
    <w:uiPriority w:val="99"/>
    <w:rsid w:val="00BB12A9"/>
    <w:pPr>
      <w:spacing w:after="0" w:beforeLines="1"/>
    </w:pPr>
    <w:rPr>
      <w:rFonts w:ascii="Arial" w:hAnsi="Arial"/>
      <w:color w:val="333399"/>
      <w:sz w:val="18"/>
      <w:szCs w:val="18"/>
      <w:lang w:val="en-US"/>
    </w:rPr>
  </w:style>
  <w:style w:customStyle="1" w:styleId="xl65" w:type="paragraph">
    <w:name w:val="xl65"/>
    <w:basedOn w:val="Normal"/>
    <w:uiPriority w:val="99"/>
    <w:rsid w:val="00BB12A9"/>
    <w:pPr>
      <w:spacing w:after="0" w:beforeLines="1"/>
    </w:pPr>
    <w:rPr>
      <w:rFonts w:ascii="Arial" w:hAnsi="Arial"/>
      <w:sz w:val="18"/>
      <w:szCs w:val="18"/>
      <w:lang w:val="en-US"/>
    </w:rPr>
  </w:style>
  <w:style w:customStyle="1" w:styleId="xl66" w:type="paragraph">
    <w:name w:val="xl66"/>
    <w:basedOn w:val="Normal"/>
    <w:uiPriority w:val="99"/>
    <w:rsid w:val="00BB12A9"/>
    <w:pPr>
      <w:spacing w:after="0" w:beforeLines="1"/>
    </w:pPr>
    <w:rPr>
      <w:rFonts w:ascii="Arial" w:hAnsi="Arial"/>
      <w:sz w:val="18"/>
      <w:szCs w:val="18"/>
      <w:lang w:val="en-US"/>
    </w:rPr>
  </w:style>
  <w:style w:customStyle="1" w:styleId="xl67" w:type="paragraph">
    <w:name w:val="xl67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  <w:jc w:val="center"/>
    </w:pPr>
    <w:rPr>
      <w:rFonts w:ascii="Arial" w:hAnsi="Arial"/>
      <w:b/>
      <w:bCs/>
      <w:sz w:val="18"/>
      <w:szCs w:val="18"/>
      <w:lang w:val="en-US"/>
    </w:rPr>
  </w:style>
  <w:style w:customStyle="1" w:styleId="xl68" w:type="paragraph">
    <w:name w:val="xl68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</w:pPr>
    <w:rPr>
      <w:rFonts w:ascii="Arial" w:hAnsi="Arial"/>
      <w:b/>
      <w:bCs/>
      <w:sz w:val="18"/>
      <w:szCs w:val="18"/>
      <w:lang w:val="en-US"/>
    </w:rPr>
  </w:style>
  <w:style w:customStyle="1" w:styleId="xl69" w:type="paragraph">
    <w:name w:val="xl69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  <w:jc w:val="center"/>
    </w:pPr>
    <w:rPr>
      <w:rFonts w:ascii="Arial" w:hAnsi="Arial"/>
      <w:b/>
      <w:bCs/>
      <w:sz w:val="18"/>
      <w:szCs w:val="18"/>
      <w:lang w:val="en-US"/>
    </w:rPr>
  </w:style>
  <w:style w:customStyle="1" w:styleId="xl70" w:type="paragraph">
    <w:name w:val="xl70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Arial" w:hAnsi="Arial"/>
      <w:b/>
      <w:bCs/>
      <w:sz w:val="18"/>
      <w:szCs w:val="18"/>
      <w:lang w:val="en-US"/>
    </w:rPr>
  </w:style>
  <w:style w:customStyle="1" w:styleId="xl71" w:type="paragraph">
    <w:name w:val="xl71"/>
    <w:basedOn w:val="Normal"/>
    <w:uiPriority w:val="99"/>
    <w:rsid w:val="00BB12A9"/>
    <w:pPr>
      <w:pBdr>
        <w:left w:color="FFFFFF" w:space="0" w:sz="4" w:val="single"/>
        <w:right w:color="FFFFFF" w:space="0" w:sz="4" w:val="single"/>
      </w:pBdr>
      <w:shd w:color="auto" w:fill="003366" w:val="clear"/>
      <w:spacing w:after="0" w:beforeLines="1"/>
      <w:jc w:val="center"/>
    </w:pPr>
    <w:rPr>
      <w:rFonts w:ascii="Arial" w:hAnsi="Arial"/>
      <w:b/>
      <w:bCs/>
      <w:color w:val="FCF305"/>
      <w:sz w:val="16"/>
      <w:szCs w:val="16"/>
      <w:lang w:val="en-US"/>
    </w:rPr>
  </w:style>
  <w:style w:customStyle="1" w:styleId="xl72" w:type="paragraph">
    <w:name w:val="xl72"/>
    <w:basedOn w:val="Normal"/>
    <w:uiPriority w:val="99"/>
    <w:rsid w:val="00BB12A9"/>
    <w:pPr>
      <w:pBdr>
        <w:left w:color="FFFFFF" w:space="0" w:sz="4" w:val="single"/>
      </w:pBdr>
      <w:shd w:color="auto" w:fill="003366" w:val="clear"/>
      <w:spacing w:after="0" w:beforeLines="1"/>
      <w:jc w:val="center"/>
    </w:pPr>
    <w:rPr>
      <w:rFonts w:ascii="Arial" w:hAnsi="Arial"/>
      <w:b/>
      <w:bCs/>
      <w:color w:val="FCF305"/>
      <w:sz w:val="16"/>
      <w:szCs w:val="16"/>
      <w:lang w:val="en-US"/>
    </w:rPr>
  </w:style>
  <w:style w:customStyle="1" w:styleId="xl73" w:type="paragraph">
    <w:name w:val="xl73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  <w:jc w:val="right"/>
    </w:pPr>
    <w:rPr>
      <w:rFonts w:ascii="Arial" w:hAnsi="Arial"/>
      <w:color w:val="0000D4"/>
      <w:sz w:val="18"/>
      <w:szCs w:val="18"/>
      <w:lang w:val="en-US"/>
    </w:rPr>
  </w:style>
  <w:style w:customStyle="1" w:styleId="xl74" w:type="paragraph">
    <w:name w:val="xl74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  <w:jc w:val="right"/>
    </w:pPr>
    <w:rPr>
      <w:rFonts w:ascii="Arial" w:hAnsi="Arial"/>
      <w:sz w:val="18"/>
      <w:szCs w:val="18"/>
      <w:lang w:val="en-US"/>
    </w:rPr>
  </w:style>
  <w:style w:customStyle="1" w:styleId="xl75" w:type="paragraph">
    <w:name w:val="xl75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  <w:jc w:val="right"/>
    </w:pPr>
    <w:rPr>
      <w:rFonts w:ascii="Arial" w:hAnsi="Arial"/>
      <w:sz w:val="18"/>
      <w:szCs w:val="18"/>
      <w:lang w:val="en-US"/>
    </w:rPr>
  </w:style>
  <w:style w:customStyle="1" w:styleId="xl76" w:type="paragraph">
    <w:name w:val="xl76"/>
    <w:basedOn w:val="Normal"/>
    <w:uiPriority w:val="99"/>
    <w:rsid w:val="00BB12A9"/>
    <w:pPr>
      <w:spacing w:after="0" w:beforeLines="1"/>
    </w:pPr>
    <w:rPr>
      <w:rFonts w:ascii="Arial" w:hAnsi="Arial"/>
      <w:sz w:val="18"/>
      <w:szCs w:val="18"/>
      <w:lang w:val="en-US"/>
    </w:rPr>
  </w:style>
  <w:style w:customStyle="1" w:styleId="xl77" w:type="paragraph">
    <w:name w:val="xl77"/>
    <w:basedOn w:val="Normal"/>
    <w:uiPriority w:val="99"/>
    <w:rsid w:val="00BB12A9"/>
    <w:pPr>
      <w:spacing w:after="0" w:beforeLines="1"/>
    </w:pPr>
    <w:rPr>
      <w:rFonts w:ascii="Arial" w:hAnsi="Arial"/>
      <w:sz w:val="18"/>
      <w:szCs w:val="18"/>
      <w:lang w:val="en-US"/>
    </w:rPr>
  </w:style>
  <w:style w:customStyle="1" w:styleId="xl78" w:type="paragraph">
    <w:name w:val="xl78"/>
    <w:basedOn w:val="Normal"/>
    <w:uiPriority w:val="99"/>
    <w:rsid w:val="00BB12A9"/>
    <w:pPr>
      <w:pBdr>
        <w:bottom w:color="auto" w:space="0" w:sz="4" w:val="single"/>
      </w:pBdr>
      <w:spacing w:after="0" w:beforeLines="1"/>
      <w:jc w:val="center"/>
    </w:pPr>
    <w:rPr>
      <w:rFonts w:ascii="Arial" w:hAnsi="Arial"/>
      <w:sz w:val="18"/>
      <w:szCs w:val="18"/>
      <w:lang w:val="en-US"/>
    </w:rPr>
  </w:style>
  <w:style w:customStyle="1" w:styleId="xl79" w:type="paragraph">
    <w:name w:val="xl79"/>
    <w:basedOn w:val="Normal"/>
    <w:uiPriority w:val="99"/>
    <w:rsid w:val="00BB12A9"/>
    <w:pPr>
      <w:pBdr>
        <w:top w:color="auto" w:space="0" w:sz="4" w:val="single"/>
        <w:left w:color="FFFFFF" w:space="0" w:sz="4" w:val="single"/>
        <w:bottom w:color="C0C0C0" w:space="0" w:sz="8" w:val="single"/>
        <w:right w:color="FFFFFF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6"/>
      <w:szCs w:val="16"/>
      <w:lang w:val="en-US"/>
    </w:rPr>
  </w:style>
  <w:style w:customStyle="1" w:styleId="xl80" w:type="paragraph">
    <w:name w:val="xl80"/>
    <w:basedOn w:val="Normal"/>
    <w:uiPriority w:val="99"/>
    <w:rsid w:val="00BB12A9"/>
    <w:pPr>
      <w:pBdr>
        <w:top w:color="auto" w:space="0" w:sz="4" w:val="single"/>
        <w:left w:color="FFFFFF" w:space="0" w:sz="4" w:val="single"/>
        <w:bottom w:color="C0C0C0" w:space="0" w:sz="8" w:val="single"/>
        <w:right w:color="auto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6"/>
      <w:szCs w:val="16"/>
      <w:lang w:val="en-US"/>
    </w:rPr>
  </w:style>
  <w:style w:customStyle="1" w:styleId="xl81" w:type="paragraph">
    <w:name w:val="xl81"/>
    <w:basedOn w:val="Normal"/>
    <w:uiPriority w:val="99"/>
    <w:rsid w:val="00BB12A9"/>
    <w:pPr>
      <w:pBdr>
        <w:top w:color="C0C0C0" w:space="0" w:sz="8" w:val="single"/>
        <w:left w:color="FFFFFF" w:space="0" w:sz="4" w:val="single"/>
        <w:bottom w:color="auto" w:space="0" w:sz="4" w:val="single"/>
        <w:right w:color="FFFFFF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8"/>
      <w:szCs w:val="18"/>
      <w:lang w:val="en-US"/>
    </w:rPr>
  </w:style>
  <w:style w:customStyle="1" w:styleId="xl82" w:type="paragraph">
    <w:name w:val="xl82"/>
    <w:basedOn w:val="Normal"/>
    <w:uiPriority w:val="99"/>
    <w:rsid w:val="00BB12A9"/>
    <w:pPr>
      <w:pBdr>
        <w:top w:color="C0C0C0" w:space="0" w:sz="8" w:val="single"/>
        <w:left w:color="FFFFFF" w:space="0" w:sz="4" w:val="single"/>
        <w:bottom w:color="auto" w:space="0" w:sz="4" w:val="single"/>
        <w:right w:color="FFFFFF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8"/>
      <w:szCs w:val="18"/>
      <w:lang w:val="en-US"/>
    </w:rPr>
  </w:style>
  <w:style w:customStyle="1" w:styleId="xl83" w:type="paragraph">
    <w:name w:val="xl83"/>
    <w:basedOn w:val="Normal"/>
    <w:uiPriority w:val="99"/>
    <w:rsid w:val="00BB12A9"/>
    <w:pPr>
      <w:pBdr>
        <w:top w:color="C0C0C0" w:space="0" w:sz="8" w:val="single"/>
        <w:left w:color="FFFFFF" w:space="0" w:sz="4" w:val="single"/>
        <w:bottom w:color="auto" w:space="0" w:sz="4" w:val="single"/>
        <w:right w:color="auto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8"/>
      <w:szCs w:val="18"/>
      <w:lang w:val="en-US"/>
    </w:rPr>
  </w:style>
  <w:style w:customStyle="1" w:styleId="xl84" w:type="paragraph">
    <w:name w:val="xl84"/>
    <w:basedOn w:val="Normal"/>
    <w:uiPriority w:val="99"/>
    <w:rsid w:val="00BB12A9"/>
    <w:pPr>
      <w:shd w:color="auto" w:fill="003366" w:val="clear"/>
      <w:spacing w:after="0" w:beforeLines="1"/>
      <w:jc w:val="center"/>
    </w:pPr>
    <w:rPr>
      <w:rFonts w:ascii="Arial" w:hAnsi="Arial"/>
      <w:b/>
      <w:bCs/>
      <w:color w:val="FFFFFF"/>
      <w:sz w:val="16"/>
      <w:szCs w:val="16"/>
      <w:lang w:val="en-US"/>
    </w:rPr>
  </w:style>
  <w:style w:customStyle="1" w:styleId="xl85" w:type="paragraph">
    <w:name w:val="xl85"/>
    <w:basedOn w:val="Normal"/>
    <w:uiPriority w:val="99"/>
    <w:rsid w:val="00BB12A9"/>
    <w:pPr>
      <w:pBdr>
        <w:bottom w:color="auto" w:space="0" w:sz="4" w:val="single"/>
      </w:pBdr>
      <w:spacing w:after="0" w:beforeLines="1"/>
      <w:jc w:val="center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86" w:type="paragraph">
    <w:name w:val="xl86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</w:pPr>
    <w:rPr>
      <w:rFonts w:ascii="Arial" w:hAnsi="Arial"/>
      <w:sz w:val="18"/>
      <w:szCs w:val="18"/>
      <w:lang w:val="en-US"/>
    </w:rPr>
  </w:style>
  <w:style w:customStyle="1" w:styleId="xl87" w:type="paragraph">
    <w:name w:val="xl87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</w:pPr>
    <w:rPr>
      <w:rFonts w:ascii="Arial" w:hAnsi="Arial"/>
      <w:color w:val="0000D4"/>
      <w:sz w:val="18"/>
      <w:szCs w:val="18"/>
      <w:lang w:val="en-US"/>
    </w:rPr>
  </w:style>
  <w:style w:customStyle="1" w:styleId="xl88" w:type="paragraph">
    <w:name w:val="xl88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</w:pPr>
    <w:rPr>
      <w:rFonts w:ascii="Arial" w:hAnsi="Arial"/>
      <w:b/>
      <w:bCs/>
      <w:color w:val="333399"/>
      <w:sz w:val="18"/>
      <w:szCs w:val="18"/>
      <w:lang w:val="en-US"/>
    </w:rPr>
  </w:style>
  <w:style w:customStyle="1" w:styleId="xl89" w:type="paragraph">
    <w:name w:val="xl89"/>
    <w:basedOn w:val="Normal"/>
    <w:uiPriority w:val="99"/>
    <w:rsid w:val="00BB12A9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</w:pPr>
    <w:rPr>
      <w:rFonts w:ascii="Arial" w:hAnsi="Arial"/>
      <w:b/>
      <w:bCs/>
      <w:color w:val="333399"/>
      <w:sz w:val="18"/>
      <w:szCs w:val="18"/>
      <w:lang w:val="en-US"/>
    </w:rPr>
  </w:style>
  <w:style w:customStyle="1" w:styleId="xl90" w:type="paragraph">
    <w:name w:val="xl90"/>
    <w:basedOn w:val="Normal"/>
    <w:uiPriority w:val="99"/>
    <w:rsid w:val="00BB12A9"/>
    <w:pPr>
      <w:pBdr>
        <w:top w:color="auto" w:space="0" w:sz="8" w:val="single"/>
        <w:left w:color="auto" w:space="0" w:sz="8" w:val="single"/>
        <w:right w:color="auto" w:space="0" w:sz="8" w:val="single"/>
      </w:pBdr>
      <w:shd w:color="CCCCFF" w:fill="auto" w:val="pct25"/>
      <w:spacing w:after="0" w:beforeLines="1"/>
      <w:jc w:val="center"/>
    </w:pPr>
    <w:rPr>
      <w:rFonts w:ascii="Arial" w:hAnsi="Arial"/>
      <w:b/>
      <w:bCs/>
      <w:color w:val="000090"/>
      <w:sz w:val="20"/>
      <w:szCs w:val="20"/>
      <w:lang w:val="en-US"/>
    </w:rPr>
  </w:style>
  <w:style w:customStyle="1" w:styleId="xl91" w:type="paragraph">
    <w:name w:val="xl91"/>
    <w:basedOn w:val="Normal"/>
    <w:uiPriority w:val="99"/>
    <w:rsid w:val="00BB12A9"/>
    <w:pPr>
      <w:pBdr>
        <w:left w:color="auto" w:space="0" w:sz="8" w:val="single"/>
        <w:bottom w:color="auto" w:space="0" w:sz="8" w:val="single"/>
        <w:right w:color="auto" w:space="0" w:sz="8" w:val="single"/>
      </w:pBdr>
      <w:shd w:color="CCCCFF" w:fill="auto" w:val="pct25"/>
      <w:spacing w:after="0" w:beforeLines="1"/>
      <w:jc w:val="center"/>
    </w:pPr>
    <w:rPr>
      <w:rFonts w:ascii="Arial" w:hAnsi="Arial"/>
      <w:b/>
      <w:bCs/>
      <w:sz w:val="20"/>
      <w:szCs w:val="20"/>
      <w:lang w:val="en-US"/>
    </w:rPr>
  </w:style>
  <w:style w:customStyle="1" w:styleId="xl92" w:type="paragraph">
    <w:name w:val="xl92"/>
    <w:basedOn w:val="Normal"/>
    <w:uiPriority w:val="99"/>
    <w:rsid w:val="00BB12A9"/>
    <w:pPr>
      <w:spacing w:after="0" w:beforeLines="1"/>
      <w:jc w:val="center"/>
    </w:pPr>
    <w:rPr>
      <w:rFonts w:ascii="Arial" w:hAnsi="Arial"/>
      <w:b/>
      <w:bCs/>
      <w:color w:val="000090"/>
      <w:lang w:val="en-US"/>
    </w:rPr>
  </w:style>
  <w:style w:customStyle="1" w:styleId="xl93" w:type="paragraph">
    <w:name w:val="xl93"/>
    <w:basedOn w:val="Normal"/>
    <w:uiPriority w:val="99"/>
    <w:rsid w:val="00BB12A9"/>
    <w:pPr>
      <w:spacing w:after="0" w:beforeLines="1"/>
      <w:jc w:val="center"/>
    </w:pPr>
    <w:rPr>
      <w:rFonts w:ascii="Arial" w:hAnsi="Arial"/>
      <w:lang w:val="en-US"/>
    </w:rPr>
  </w:style>
  <w:style w:customStyle="1" w:styleId="xl94" w:type="paragraph">
    <w:name w:val="xl94"/>
    <w:basedOn w:val="Normal"/>
    <w:uiPriority w:val="99"/>
    <w:rsid w:val="00BB12A9"/>
    <w:pPr>
      <w:pBdr>
        <w:right w:color="auto" w:space="0" w:sz="8" w:val="single"/>
      </w:pBdr>
      <w:spacing w:after="0" w:beforeLines="1"/>
      <w:jc w:val="center"/>
    </w:pPr>
    <w:rPr>
      <w:rFonts w:ascii="Arial" w:hAnsi="Arial"/>
      <w:lang w:val="en-US"/>
    </w:rPr>
  </w:style>
  <w:style w:customStyle="1" w:styleId="xl95" w:type="paragraph">
    <w:name w:val="xl95"/>
    <w:basedOn w:val="Normal"/>
    <w:uiPriority w:val="99"/>
    <w:rsid w:val="00BB12A9"/>
    <w:pPr>
      <w:spacing w:after="0" w:beforeLines="1"/>
      <w:jc w:val="center"/>
    </w:pPr>
    <w:rPr>
      <w:rFonts w:ascii="Arial" w:hAnsi="Arial"/>
      <w:b/>
      <w:bCs/>
      <w:color w:val="000090"/>
      <w:sz w:val="20"/>
      <w:szCs w:val="20"/>
      <w:lang w:val="en-US"/>
    </w:rPr>
  </w:style>
  <w:style w:customStyle="1" w:styleId="xl96" w:type="paragraph">
    <w:name w:val="xl96"/>
    <w:basedOn w:val="Normal"/>
    <w:uiPriority w:val="99"/>
    <w:rsid w:val="00BB12A9"/>
    <w:pPr>
      <w:spacing w:after="0" w:beforeLines="1"/>
      <w:jc w:val="center"/>
    </w:pPr>
    <w:rPr>
      <w:rFonts w:ascii="Times" w:hAnsi="Times"/>
      <w:sz w:val="20"/>
      <w:szCs w:val="20"/>
      <w:lang w:val="en-US"/>
    </w:rPr>
  </w:style>
  <w:style w:customStyle="1" w:styleId="xl97" w:type="paragraph">
    <w:name w:val="xl97"/>
    <w:basedOn w:val="Normal"/>
    <w:uiPriority w:val="99"/>
    <w:rsid w:val="00BB12A9"/>
    <w:pPr>
      <w:pBdr>
        <w:right w:color="auto" w:space="0" w:sz="8" w:val="single"/>
      </w:pBdr>
      <w:spacing w:after="0" w:beforeLines="1"/>
      <w:jc w:val="center"/>
    </w:pPr>
    <w:rPr>
      <w:rFonts w:ascii="Times" w:hAnsi="Times"/>
      <w:sz w:val="20"/>
      <w:szCs w:val="20"/>
      <w:lang w:val="en-US"/>
    </w:rPr>
  </w:style>
  <w:style w:customStyle="1" w:styleId="xl98" w:type="paragraph">
    <w:name w:val="xl98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auto" w:val="pct25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99" w:type="paragraph">
    <w:name w:val="xl99"/>
    <w:basedOn w:val="Normal"/>
    <w:uiPriority w:val="99"/>
    <w:rsid w:val="00BB12A9"/>
    <w:pPr>
      <w:pBdr>
        <w:top w:color="auto" w:space="0" w:sz="4" w:val="single"/>
        <w:bottom w:color="auto" w:space="0" w:sz="4" w:val="single"/>
      </w:pBdr>
      <w:shd w:color="C0C0C0" w:fill="auto" w:val="pct25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00" w:type="paragraph">
    <w:name w:val="xl100"/>
    <w:basedOn w:val="Normal"/>
    <w:uiPriority w:val="99"/>
    <w:rsid w:val="00BB12A9"/>
    <w:pPr>
      <w:pBdr>
        <w:top w:color="auto" w:space="0" w:sz="4" w:val="single"/>
        <w:bottom w:color="auto" w:space="0" w:sz="4" w:val="single"/>
        <w:right w:color="auto" w:space="0" w:sz="4" w:val="single"/>
      </w:pBdr>
      <w:shd w:color="C0C0C0" w:fill="auto" w:val="pct25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01" w:type="paragraph">
    <w:name w:val="xl101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8" w:val="single"/>
        <w:right w:color="FFFFFF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6"/>
      <w:szCs w:val="16"/>
      <w:lang w:val="en-US"/>
    </w:rPr>
  </w:style>
  <w:style w:customStyle="1" w:styleId="xl102" w:type="paragraph">
    <w:name w:val="xl102"/>
    <w:basedOn w:val="Normal"/>
    <w:uiPriority w:val="99"/>
    <w:rsid w:val="00BB12A9"/>
    <w:pPr>
      <w:pBdr>
        <w:top w:color="C0C0C0" w:space="0" w:sz="8" w:val="single"/>
        <w:left w:color="auto" w:space="0" w:sz="4" w:val="single"/>
        <w:bottom w:color="auto" w:space="0" w:sz="4" w:val="single"/>
        <w:right w:color="FFFFFF" w:space="0" w:sz="4" w:val="single"/>
      </w:pBdr>
      <w:shd w:color="auto" w:fill="969696" w:val="clear"/>
      <w:spacing w:after="0" w:beforeLines="1"/>
      <w:jc w:val="center"/>
    </w:pPr>
    <w:rPr>
      <w:rFonts w:ascii="Arial" w:hAnsi="Arial"/>
      <w:b/>
      <w:bCs/>
      <w:color w:val="FFFFFF"/>
      <w:sz w:val="18"/>
      <w:szCs w:val="18"/>
      <w:lang w:val="en-US"/>
    </w:rPr>
  </w:style>
  <w:style w:customStyle="1" w:styleId="xl103" w:type="paragraph">
    <w:name w:val="xl103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hd w:color="auto" w:fill="C0C0C0" w:val="clear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04" w:type="paragraph">
    <w:name w:val="xl104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hd w:color="auto" w:fill="C0C0C0" w:val="clear"/>
      <w:spacing w:after="0" w:beforeLines="1"/>
    </w:pPr>
    <w:rPr>
      <w:rFonts w:ascii="Arial" w:hAnsi="Arial"/>
      <w:color w:val="000090"/>
      <w:sz w:val="18"/>
      <w:szCs w:val="18"/>
      <w:lang w:val="en-US"/>
    </w:rPr>
  </w:style>
  <w:style w:customStyle="1" w:styleId="xl105" w:type="paragraph">
    <w:name w:val="xl105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hd w:color="auto" w:fill="C0C0C0" w:val="clear"/>
      <w:spacing w:after="0" w:beforeLines="1"/>
    </w:pPr>
    <w:rPr>
      <w:rFonts w:ascii="Arial" w:hAnsi="Arial"/>
      <w:color w:val="000090"/>
      <w:sz w:val="18"/>
      <w:szCs w:val="18"/>
      <w:lang w:val="en-US"/>
    </w:rPr>
  </w:style>
  <w:style w:customStyle="1" w:styleId="xl35" w:type="paragraph">
    <w:name w:val="xl35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0" w:beforeLines="1"/>
      <w:jc w:val="center"/>
    </w:pPr>
    <w:rPr>
      <w:rFonts w:ascii="Calibri" w:hAnsi="Calibri"/>
      <w:sz w:val="20"/>
      <w:szCs w:val="20"/>
      <w:lang w:val="en-US"/>
    </w:rPr>
  </w:style>
  <w:style w:customStyle="1" w:styleId="xl106" w:type="paragraph">
    <w:name w:val="xl106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hd w:color="auto" w:fill="C0C0C0" w:val="clear"/>
      <w:spacing w:after="0" w:beforeLines="1"/>
    </w:pPr>
    <w:rPr>
      <w:rFonts w:ascii="Arial" w:hAnsi="Arial"/>
      <w:b/>
      <w:bCs/>
      <w:sz w:val="18"/>
      <w:szCs w:val="18"/>
      <w:lang w:val="en-US"/>
    </w:rPr>
  </w:style>
  <w:style w:customStyle="1" w:styleId="xl107" w:type="paragraph">
    <w:name w:val="xl107"/>
    <w:basedOn w:val="Normal"/>
    <w:uiPriority w:val="99"/>
    <w:rsid w:val="00BB12A9"/>
    <w:pPr>
      <w:spacing w:after="0" w:beforeLines="1"/>
      <w:jc w:val="center"/>
    </w:pPr>
    <w:rPr>
      <w:rFonts w:ascii="Arial" w:hAnsi="Arial"/>
      <w:color w:val="000090"/>
      <w:lang w:val="en-US"/>
    </w:rPr>
  </w:style>
  <w:style w:customStyle="1" w:styleId="xl108" w:type="paragraph">
    <w:name w:val="xl108"/>
    <w:basedOn w:val="Normal"/>
    <w:uiPriority w:val="99"/>
    <w:rsid w:val="00BB12A9"/>
    <w:pPr>
      <w:pBdr>
        <w:right w:color="auto" w:space="0" w:sz="8" w:val="single"/>
      </w:pBdr>
      <w:spacing w:after="0" w:beforeLines="1"/>
      <w:jc w:val="center"/>
    </w:pPr>
    <w:rPr>
      <w:rFonts w:ascii="Arial" w:hAnsi="Arial"/>
      <w:color w:val="000090"/>
      <w:lang w:val="en-US"/>
    </w:rPr>
  </w:style>
  <w:style w:customStyle="1" w:styleId="xl109" w:type="paragraph">
    <w:name w:val="xl109"/>
    <w:basedOn w:val="Normal"/>
    <w:uiPriority w:val="99"/>
    <w:rsid w:val="00BB12A9"/>
    <w:pPr>
      <w:spacing w:after="0" w:beforeLines="1"/>
      <w:jc w:val="center"/>
    </w:pPr>
    <w:rPr>
      <w:rFonts w:ascii="Arial" w:hAnsi="Arial"/>
      <w:color w:val="000090"/>
      <w:sz w:val="20"/>
      <w:szCs w:val="20"/>
      <w:lang w:val="en-US"/>
    </w:rPr>
  </w:style>
  <w:style w:customStyle="1" w:styleId="xl110" w:type="paragraph">
    <w:name w:val="xl110"/>
    <w:basedOn w:val="Normal"/>
    <w:uiPriority w:val="99"/>
    <w:rsid w:val="00BB12A9"/>
    <w:pPr>
      <w:pBdr>
        <w:right w:color="auto" w:space="0" w:sz="8" w:val="single"/>
      </w:pBdr>
      <w:spacing w:after="0" w:beforeLines="1"/>
      <w:jc w:val="center"/>
    </w:pPr>
    <w:rPr>
      <w:rFonts w:ascii="Arial" w:hAnsi="Arial"/>
      <w:color w:val="000090"/>
      <w:sz w:val="20"/>
      <w:szCs w:val="20"/>
      <w:lang w:val="en-US"/>
    </w:rPr>
  </w:style>
  <w:style w:customStyle="1" w:styleId="xl111" w:type="paragraph">
    <w:name w:val="xl111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0" w:beforeLines="1"/>
    </w:pPr>
    <w:rPr>
      <w:rFonts w:ascii="Arial" w:hAnsi="Arial"/>
      <w:b/>
      <w:bCs/>
      <w:color w:val="333399"/>
      <w:sz w:val="18"/>
      <w:szCs w:val="18"/>
      <w:lang w:val="en-US"/>
    </w:rPr>
  </w:style>
  <w:style w:customStyle="1" w:styleId="xl112" w:type="paragraph">
    <w:name w:val="xl112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auto" w:val="pct12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13" w:type="paragraph">
    <w:name w:val="xl113"/>
    <w:basedOn w:val="Normal"/>
    <w:uiPriority w:val="99"/>
    <w:rsid w:val="00BB12A9"/>
    <w:pPr>
      <w:pBdr>
        <w:top w:color="auto" w:space="0" w:sz="4" w:val="single"/>
        <w:bottom w:color="auto" w:space="0" w:sz="4" w:val="single"/>
      </w:pBdr>
      <w:shd w:color="C0C0C0" w:fill="auto" w:val="pct12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14" w:type="paragraph">
    <w:name w:val="xl114"/>
    <w:basedOn w:val="Normal"/>
    <w:uiPriority w:val="99"/>
    <w:rsid w:val="00BB12A9"/>
    <w:pPr>
      <w:pBdr>
        <w:top w:color="auto" w:space="0" w:sz="4" w:val="single"/>
        <w:bottom w:color="auto" w:space="0" w:sz="4" w:val="single"/>
        <w:right w:color="auto" w:space="0" w:sz="4" w:val="single"/>
      </w:pBdr>
      <w:shd w:color="C0C0C0" w:fill="auto" w:val="pct12"/>
      <w:spacing w:after="0" w:beforeLines="1"/>
    </w:pPr>
    <w:rPr>
      <w:rFonts w:ascii="Arial" w:hAnsi="Arial"/>
      <w:b/>
      <w:bCs/>
      <w:color w:val="000090"/>
      <w:sz w:val="18"/>
      <w:szCs w:val="18"/>
      <w:lang w:val="en-US"/>
    </w:rPr>
  </w:style>
  <w:style w:customStyle="1" w:styleId="xl115" w:type="paragraph">
    <w:name w:val="xl115"/>
    <w:basedOn w:val="Normal"/>
    <w:uiPriority w:val="99"/>
    <w:rsid w:val="00BB12A9"/>
    <w:pPr>
      <w:pBdr>
        <w:top w:color="C0C0C0" w:space="0" w:sz="4" w:val="single"/>
        <w:left w:color="auto" w:space="8" w:sz="4" w:val="single"/>
        <w:bottom w:color="auto" w:space="0" w:sz="4" w:val="single"/>
        <w:right w:color="auto" w:space="0" w:sz="4" w:val="single"/>
      </w:pBdr>
      <w:spacing w:after="0" w:beforeLines="1"/>
      <w:ind w:firstLine="100" w:firstLineChars="100"/>
    </w:pPr>
    <w:rPr>
      <w:rFonts w:ascii="Arial" w:hAnsi="Arial"/>
      <w:sz w:val="18"/>
      <w:szCs w:val="18"/>
      <w:lang w:val="en-US"/>
    </w:rPr>
  </w:style>
  <w:style w:customStyle="1" w:styleId="xl36" w:type="paragraph">
    <w:name w:val="xl36"/>
    <w:basedOn w:val="Normal"/>
    <w:uiPriority w:val="99"/>
    <w:rsid w:val="00BB12A9"/>
    <w:pPr>
      <w:spacing w:after="0" w:beforeLines="1"/>
      <w:jc w:val="center"/>
    </w:pPr>
    <w:rPr>
      <w:rFonts w:ascii="Calibri" w:hAnsi="Calibri"/>
      <w:sz w:val="20"/>
      <w:szCs w:val="20"/>
      <w:lang w:val="en-US"/>
    </w:rPr>
  </w:style>
  <w:style w:customStyle="1" w:styleId="xl37" w:type="paragraph">
    <w:name w:val="xl37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  <w:jc w:val="center"/>
    </w:pPr>
    <w:rPr>
      <w:rFonts w:ascii="Calibri" w:hAnsi="Calibri"/>
      <w:sz w:val="20"/>
      <w:szCs w:val="20"/>
      <w:lang w:val="en-US"/>
    </w:rPr>
  </w:style>
  <w:style w:customStyle="1" w:styleId="xl38" w:type="paragraph">
    <w:name w:val="xl38"/>
    <w:basedOn w:val="Normal"/>
    <w:uiPriority w:val="99"/>
    <w:rsid w:val="00BB12A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33CCCC" w:val="clear"/>
      <w:spacing w:after="0" w:beforeLines="1"/>
      <w:jc w:val="center"/>
    </w:pPr>
    <w:rPr>
      <w:rFonts w:ascii="Calibri" w:hAnsi="Calibr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1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St-729/2018-6</izvorni_sadrzaj>
    <derivirana_varijabla naziv="DomainObject.Oznaka_1">St-729/2018-6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St-729/2018-6</izvorni_sadrzaj>
    <derivirana_varijabla naziv="DomainObject.PoslovniBrojDokumenta_1">St-729/2018-6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19761-8B95-4643-9EF2-9935EF1B8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41</properties:Pages>
  <properties:Words>8676</properties:Words>
  <properties:Characters>50776</properties:Characters>
  <properties:Lines>3484</properties:Lines>
  <properties:Paragraphs>2071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2018-09-21T09:35:00Z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41</vt:i4>
  </prop:property>
  <prop:property name="Naslov" pid="5" fmtid="{D5CDD505-2E9C-101B-9397-08002B2CF9AE}">
    <vt:lpwstr>St-729/2018-6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