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ceff" w14:paraId="c3eceff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Sp- 11</w:t>
      </w:r>
      <w:r w:rsidR="0018763C">
        <w:rPr>
          <w:rFonts w:cs="Times New Roman" w:eastAsia="Times New Roman"/>
          <w:lang w:eastAsia="hr-HR"/>
        </w:rPr>
        <w:t>/16</w:t>
      </w:r>
      <w:r w:rsidR="00312E35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Župić Đurđević iz Međurače 84, OIB: 17564821678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>siječnja 2017. godine u 12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Elektrometal, Bjelovar, Ferde Rusana 21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Krunoslav Markovinović,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Kapelakom, Kapela, Bilogorska 90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>Anita Župić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Župić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D15A11">
        <w:rPr>
          <w:rFonts w:cs="Times New Roman" w:eastAsia="Calibri"/>
        </w:rPr>
        <w:t xml:space="preserve"> i poziv na broj 4-8-11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E35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Kostrena</izvorni_sadrzaj>
    <derivirana_varijabla naziv="DomainObject.UcesnikSudskeRadnje.Adresa.Naselje_1">Kostrena</derivirana_varijabla>
  </DomainObject.UcesnikSudskeRadnje.Adresa.Naselje>
  <DomainObject.UcesnikSudskeRadnje.Adresa.PostBroj>
    <izvorni_sadrzaj>51000</izvorni_sadrzaj>
    <derivirana_varijabla naziv="DomainObject.UcesnikSudskeRadnje.Adresa.PostBroj_1">51000</derivirana_varijabla>
  </DomainObject.UcesnikSudskeRadnje.Adresa.PostBroj>
  <DomainObject.UcesnikSudskeRadnje.Adresa.UlicaIKBR>
    <izvorni_sadrzaj>Rožmanići 67</izvorni_sadrzaj>
    <derivirana_varijabla naziv="DomainObject.UcesnikSudskeRadnje.Adresa.UlicaIKBR_1">Rožmanići 67</derivirana_varijabla>
  </DomainObject.UcesnikSudskeRadnje.Adresa.UlicaIKBR>
  <DomainObject.UcesnikSudskeRadnje.Naziv>
    <izvorni_sadrzaj>Baraban d.o.o.</izvorni_sadrzaj>
    <derivirana_varijabla naziv="DomainObject.UcesnikSudskeRadnje.Naziv_1">Baraban d.o.o.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Baraban d.o.o., Rožmanići 67,51000 Kostrena</izvorni_sadrzaj>
    <derivirana_varijabla naziv="DomainObject.UcesnikSudskeRadnje.NazivFormated_1">Baraban d.o.o., Rožmanići 67,51000 Kostrena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1F097-E209-4DA6-B6A8-A850244ED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2016-11-29T12:58:00Z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Baraban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