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edad" w14:paraId="cfaedad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59186D" w:rsidP="00563A19" w:rsidR="0059186D">
      <w:pPr>
        <w:spacing w:after="0"/>
        <w:jc w:val="both"/>
      </w:pPr>
    </w:p>
    <w:p w:rsidRDefault="005663E1" w:rsidP="005663E1" w:rsidR="0059186D" w:rsidRPr="005663E1">
      <w:pPr>
        <w:spacing w:after="0"/>
        <w:jc w:val="center"/>
        <w:rPr>
          <w:b/>
        </w:rPr>
      </w:pPr>
      <w:r w:rsidRPr="005663E1">
        <w:rPr>
          <w:b/>
        </w:rPr>
        <w:t>U</w:t>
      </w:r>
      <w:r>
        <w:rPr>
          <w:b/>
        </w:rPr>
        <w:t xml:space="preserve">  </w:t>
      </w:r>
      <w:r w:rsidRPr="005663E1">
        <w:rPr>
          <w:b/>
        </w:rPr>
        <w:t xml:space="preserve"> I</w:t>
      </w:r>
      <w:r>
        <w:rPr>
          <w:b/>
        </w:rPr>
        <w:t xml:space="preserve"> </w:t>
      </w:r>
      <w:r w:rsidRPr="005663E1">
        <w:rPr>
          <w:b/>
        </w:rPr>
        <w:t>M</w:t>
      </w:r>
      <w:r>
        <w:rPr>
          <w:b/>
        </w:rPr>
        <w:t xml:space="preserve"> </w:t>
      </w:r>
      <w:r w:rsidRPr="005663E1">
        <w:rPr>
          <w:b/>
        </w:rPr>
        <w:t>E</w:t>
      </w:r>
      <w:r>
        <w:rPr>
          <w:b/>
        </w:rPr>
        <w:t xml:space="preserve">  </w:t>
      </w:r>
      <w:r w:rsidRPr="005663E1">
        <w:rPr>
          <w:b/>
        </w:rPr>
        <w:t xml:space="preserve"> R</w:t>
      </w:r>
      <w:r>
        <w:rPr>
          <w:b/>
        </w:rPr>
        <w:t xml:space="preserve"> </w:t>
      </w:r>
      <w:r w:rsidRPr="005663E1">
        <w:rPr>
          <w:b/>
        </w:rPr>
        <w:t>E</w:t>
      </w:r>
      <w:r>
        <w:rPr>
          <w:b/>
        </w:rPr>
        <w:t xml:space="preserve"> </w:t>
      </w:r>
      <w:r w:rsidRPr="005663E1">
        <w:rPr>
          <w:b/>
        </w:rPr>
        <w:t>P</w:t>
      </w:r>
      <w:r>
        <w:rPr>
          <w:b/>
        </w:rPr>
        <w:t xml:space="preserve"> </w:t>
      </w:r>
      <w:r w:rsidRPr="005663E1">
        <w:rPr>
          <w:b/>
        </w:rPr>
        <w:t>U</w:t>
      </w:r>
      <w:r>
        <w:rPr>
          <w:b/>
        </w:rPr>
        <w:t xml:space="preserve"> </w:t>
      </w:r>
      <w:r w:rsidRPr="005663E1">
        <w:rPr>
          <w:b/>
        </w:rPr>
        <w:t>B</w:t>
      </w:r>
      <w:r>
        <w:rPr>
          <w:b/>
        </w:rPr>
        <w:t xml:space="preserve"> </w:t>
      </w:r>
      <w:r w:rsidRPr="005663E1">
        <w:rPr>
          <w:b/>
        </w:rPr>
        <w:t>L</w:t>
      </w:r>
      <w:r>
        <w:rPr>
          <w:b/>
        </w:rPr>
        <w:t xml:space="preserve"> </w:t>
      </w:r>
      <w:r w:rsidRPr="005663E1">
        <w:rPr>
          <w:b/>
        </w:rPr>
        <w:t>I</w:t>
      </w:r>
      <w:r>
        <w:rPr>
          <w:b/>
        </w:rPr>
        <w:t xml:space="preserve"> </w:t>
      </w:r>
      <w:r w:rsidRPr="005663E1">
        <w:rPr>
          <w:b/>
        </w:rPr>
        <w:t>K</w:t>
      </w:r>
      <w:r>
        <w:rPr>
          <w:b/>
        </w:rPr>
        <w:t xml:space="preserve"> </w:t>
      </w:r>
      <w:r w:rsidRPr="005663E1">
        <w:rPr>
          <w:b/>
        </w:rPr>
        <w:t>E</w:t>
      </w:r>
      <w:r>
        <w:rPr>
          <w:b/>
        </w:rPr>
        <w:t xml:space="preserve">  </w:t>
      </w:r>
      <w:r w:rsidRPr="005663E1">
        <w:rPr>
          <w:b/>
        </w:rPr>
        <w:t xml:space="preserve"> H</w:t>
      </w:r>
      <w:r>
        <w:rPr>
          <w:b/>
        </w:rPr>
        <w:t xml:space="preserve"> </w:t>
      </w:r>
      <w:r w:rsidRPr="005663E1">
        <w:rPr>
          <w:b/>
        </w:rPr>
        <w:t>R</w:t>
      </w:r>
      <w:r>
        <w:rPr>
          <w:b/>
        </w:rPr>
        <w:t xml:space="preserve"> </w:t>
      </w:r>
      <w:r w:rsidRPr="005663E1">
        <w:rPr>
          <w:b/>
        </w:rPr>
        <w:t>V</w:t>
      </w:r>
      <w:r>
        <w:rPr>
          <w:b/>
        </w:rPr>
        <w:t xml:space="preserve"> </w:t>
      </w:r>
      <w:r w:rsidRPr="005663E1">
        <w:rPr>
          <w:b/>
        </w:rPr>
        <w:t>A</w:t>
      </w:r>
      <w:r>
        <w:rPr>
          <w:b/>
        </w:rPr>
        <w:t xml:space="preserve"> </w:t>
      </w:r>
      <w:r w:rsidRPr="005663E1">
        <w:rPr>
          <w:b/>
        </w:rPr>
        <w:t>T</w:t>
      </w:r>
      <w:r>
        <w:rPr>
          <w:b/>
        </w:rPr>
        <w:t xml:space="preserve"> </w:t>
      </w:r>
      <w:r w:rsidRPr="005663E1">
        <w:rPr>
          <w:b/>
        </w:rPr>
        <w:t>S</w:t>
      </w:r>
      <w:r>
        <w:rPr>
          <w:b/>
        </w:rPr>
        <w:t xml:space="preserve"> </w:t>
      </w:r>
      <w:r w:rsidRPr="005663E1">
        <w:rPr>
          <w:b/>
        </w:rPr>
        <w:t>K</w:t>
      </w:r>
      <w:r>
        <w:rPr>
          <w:b/>
        </w:rPr>
        <w:t xml:space="preserve"> </w:t>
      </w:r>
      <w:r w:rsidRPr="005663E1">
        <w:rPr>
          <w:b/>
        </w:rPr>
        <w:t>E</w:t>
      </w:r>
    </w:p>
    <w:p w:rsidRDefault="005663E1" w:rsidP="005663E1" w:rsidR="005663E1" w:rsidRPr="005663E1">
      <w:pPr>
        <w:spacing w:after="0"/>
        <w:jc w:val="center"/>
        <w:rPr>
          <w:b/>
        </w:rPr>
      </w:pPr>
    </w:p>
    <w:p w:rsidRDefault="005663E1" w:rsidP="005663E1" w:rsidR="005663E1" w:rsidRPr="005663E1">
      <w:pPr>
        <w:spacing w:after="0"/>
        <w:jc w:val="center"/>
        <w:rPr>
          <w:b/>
        </w:rPr>
      </w:pPr>
      <w:r w:rsidRPr="005663E1">
        <w:rPr>
          <w:b/>
        </w:rPr>
        <w:t>R</w:t>
      </w:r>
      <w:r>
        <w:rPr>
          <w:b/>
        </w:rPr>
        <w:t xml:space="preserve"> </w:t>
      </w:r>
      <w:r w:rsidRPr="005663E1">
        <w:rPr>
          <w:b/>
        </w:rPr>
        <w:t>J</w:t>
      </w:r>
      <w:r>
        <w:rPr>
          <w:b/>
        </w:rPr>
        <w:t xml:space="preserve"> </w:t>
      </w:r>
      <w:r w:rsidRPr="005663E1">
        <w:rPr>
          <w:b/>
        </w:rPr>
        <w:t>E</w:t>
      </w:r>
      <w:r>
        <w:rPr>
          <w:b/>
        </w:rPr>
        <w:t xml:space="preserve"> </w:t>
      </w:r>
      <w:r w:rsidRPr="005663E1">
        <w:rPr>
          <w:b/>
        </w:rPr>
        <w:t>Š</w:t>
      </w:r>
      <w:r>
        <w:rPr>
          <w:b/>
        </w:rPr>
        <w:t xml:space="preserve"> </w:t>
      </w:r>
      <w:r w:rsidRPr="005663E1">
        <w:rPr>
          <w:b/>
        </w:rPr>
        <w:t>E</w:t>
      </w:r>
      <w:r>
        <w:rPr>
          <w:b/>
        </w:rPr>
        <w:t xml:space="preserve"> </w:t>
      </w:r>
      <w:r w:rsidRPr="005663E1">
        <w:rPr>
          <w:b/>
        </w:rPr>
        <w:t>NJ</w:t>
      </w:r>
      <w:r>
        <w:rPr>
          <w:b/>
        </w:rPr>
        <w:t xml:space="preserve"> </w:t>
      </w:r>
      <w:r w:rsidRPr="005663E1">
        <w:rPr>
          <w:b/>
        </w:rPr>
        <w:t>E</w:t>
      </w:r>
    </w:p>
    <w:p w:rsidRDefault="0059186D" w:rsidP="00563A19" w:rsidR="0059186D">
      <w:pPr>
        <w:spacing w:after="0"/>
        <w:jc w:val="both"/>
      </w:pPr>
    </w:p>
    <w:p w:rsidRDefault="0059186D" w:rsidP="00563A19" w:rsid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  <w:r w:rsidRPr="0059186D">
        <w:t>Visoki trgovački sud Republike Hrvatske, u vijeću sastavljenom od sudaca Dubravke Zubović, predsjednice vijeća, Branke Vučaj, sutkinje izvjestiteljice</w:t>
      </w:r>
      <w:r w:rsidR="005663E1">
        <w:t>,</w:t>
      </w:r>
      <w:r w:rsidRPr="0059186D">
        <w:t xml:space="preserve"> i Nevenke Marković, članice vijeća, u stečajnom postupku nad stečajnim dužnikom MILJAK GRAĐENJE d.o.o. u stečaju, OIB 14134186294, Split, Vukovarska 148, odlučujući o žalbi stečajnog vjerovnika ING-ATEST d.o.o., OIB 21777333810, Split, Hrvatske mornarice 1/a, kojeg zastupa </w:t>
      </w:r>
      <w:r w:rsidR="005663E1">
        <w:t xml:space="preserve">punomoćnik </w:t>
      </w:r>
      <w:r w:rsidRPr="0059186D">
        <w:t>Vinko Radovani, odvjetnik u Splitu, protiv rješenja Trgovačkog suda u Splitu poslovni broj St-1694/15 od 15. ožujka 201</w:t>
      </w:r>
      <w:r w:rsidR="005663E1">
        <w:t xml:space="preserve">7., u sjednici vijeća održanoj </w:t>
      </w:r>
      <w:r w:rsidRPr="0059186D">
        <w:t>11. travnja 2017.</w:t>
      </w:r>
    </w:p>
    <w:p w:rsidRDefault="0059186D" w:rsidP="0059186D" w:rsid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</w:p>
    <w:p w:rsidRDefault="0059186D" w:rsidP="0059186D" w:rsidR="0059186D" w:rsidRPr="0059186D">
      <w:pPr>
        <w:spacing w:after="0"/>
        <w:jc w:val="center"/>
      </w:pPr>
      <w:r w:rsidRPr="0059186D">
        <w:t>r i j e š i o    j e</w:t>
      </w:r>
    </w:p>
    <w:p w:rsidRDefault="0059186D" w:rsidP="0059186D" w:rsid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  <w:r>
        <w:tab/>
      </w:r>
      <w:r w:rsidRPr="0059186D">
        <w:t>Utvrđuje se da je stečajni vjerovnik ING-ATEST d.o.o., OIB 21777333810, Split, Hrvatske mornarice 1/a, odustao od žalbe podnesene protiv rješenja Trgovačkog suda u Splitu poslovni broj St-1694/15 od 15. ožujka 2017.</w:t>
      </w:r>
    </w:p>
    <w:p w:rsidRDefault="0059186D" w:rsidP="0059186D" w:rsidR="0059186D">
      <w:pPr>
        <w:spacing w:after="0"/>
        <w:jc w:val="both"/>
      </w:pPr>
    </w:p>
    <w:p w:rsidRDefault="005663E1" w:rsidP="0059186D" w:rsidR="005663E1" w:rsidRPr="0059186D">
      <w:pPr>
        <w:spacing w:after="0"/>
        <w:jc w:val="both"/>
      </w:pPr>
    </w:p>
    <w:p w:rsidRDefault="0059186D" w:rsidP="0059186D" w:rsidR="0059186D" w:rsidRPr="0059186D">
      <w:pPr>
        <w:spacing w:after="0"/>
        <w:jc w:val="center"/>
      </w:pPr>
      <w:r w:rsidRPr="0059186D">
        <w:t>Obrazloženje</w:t>
      </w:r>
    </w:p>
    <w:p w:rsidRDefault="0059186D" w:rsidP="0059186D" w:rsidR="0059186D">
      <w:pPr>
        <w:spacing w:after="0"/>
        <w:jc w:val="both"/>
      </w:pPr>
    </w:p>
    <w:p w:rsidRDefault="005663E1" w:rsidP="0059186D" w:rsidR="005663E1" w:rsidRP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  <w:r>
        <w:tab/>
      </w:r>
      <w:r w:rsidRPr="0059186D">
        <w:t>Prvostupanjskim je rješenjem osporena prijavljena tražbina stečajnog vjerovnika ING-ATEST d.o.o., Split</w:t>
      </w:r>
      <w:r w:rsidR="005663E1">
        <w:t>,</w:t>
      </w:r>
      <w:r w:rsidRPr="0059186D">
        <w:t xml:space="preserve"> u iznosu od 5.119,22 kn, kao tražbina drugog višeg isplatnog reda te je stečajni vjerovnik upućena u roku od osam dana pokrenuti parnicu radi utvrđenja osporene tražbine.  </w:t>
      </w:r>
    </w:p>
    <w:p w:rsidRDefault="0059186D" w:rsidP="0059186D" w:rsidR="0059186D" w:rsidRP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  <w:r w:rsidRPr="0059186D">
        <w:tab/>
        <w:t>Protiv navedenog rješenja u dijelu kojim je odlučeno o njegovoj prijavi tražbine, žalbu je 23. ožujka 2017. podnio navedeni stečajni vjerovnik.</w:t>
      </w:r>
    </w:p>
    <w:p w:rsidRDefault="0059186D" w:rsidP="0059186D" w:rsidR="0059186D" w:rsidRP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  <w:r>
        <w:tab/>
      </w:r>
      <w:r w:rsidRPr="0059186D">
        <w:t xml:space="preserve">Podneskom od 4. travnja 2017. žalitelj je odustao od žalbe protiv navedenog rješenja. </w:t>
      </w:r>
    </w:p>
    <w:p w:rsidRDefault="0059186D" w:rsidP="0059186D" w:rsidR="0059186D" w:rsidRP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  <w:r>
        <w:tab/>
      </w:r>
      <w:r w:rsidRPr="0059186D">
        <w:t>Prema odredbi članka 349. stavak 2. i stavak 3. Zakona o parničnom postupku</w:t>
      </w:r>
      <w:r w:rsidR="00294F95">
        <w:t xml:space="preserve"> („Narodne novine“ broj 148/11-</w:t>
      </w:r>
      <w:r w:rsidRPr="0059186D">
        <w:t xml:space="preserve">pročišćeni tekst i 25/13), stranka može do donošenja odluke drugostupanjskog suda odustati od već podnesene žalbe i odustanak se ne može opozvati. </w:t>
      </w:r>
    </w:p>
    <w:p w:rsidRDefault="0059186D" w:rsidP="0059186D" w:rsidR="0059186D" w:rsidRP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  <w:r>
        <w:lastRenderedPageBreak/>
        <w:tab/>
      </w:r>
      <w:r w:rsidRPr="0059186D">
        <w:t>Kako je stečajni vjerovnik u konkretnom slučaju odustao od žalbe protiv navedenog rješenja, a prije nego što je ovaj sud o žalbi odlučivao,</w:t>
      </w:r>
      <w:r w:rsidR="005663E1">
        <w:t xml:space="preserve"> tako je taj odustanak utvrđen </w:t>
      </w:r>
      <w:r w:rsidRPr="0059186D">
        <w:t>predmetnim rješenjem.</w:t>
      </w:r>
    </w:p>
    <w:p w:rsidRDefault="0059186D" w:rsidP="0059186D" w:rsidR="0059186D" w:rsidRPr="0059186D">
      <w:pPr>
        <w:spacing w:after="0"/>
        <w:jc w:val="both"/>
      </w:pPr>
    </w:p>
    <w:p w:rsidRDefault="0059186D" w:rsidP="0059186D" w:rsidR="0059186D" w:rsidRPr="0059186D">
      <w:pPr>
        <w:spacing w:after="0"/>
        <w:jc w:val="both"/>
      </w:pPr>
      <w:r w:rsidRPr="0059186D">
        <w:tab/>
        <w:t>Slijedom navedenog, na temelju odredaba članka 349. stavak 2. Zakona o parničnom postupku u vezi s odredbom članka 6. Stečajnog zakona  („Narodne novine” broj 71/15), riješeno je kao u izreci.</w:t>
      </w:r>
    </w:p>
    <w:p w:rsidRDefault="0059186D" w:rsidP="00563A19" w:rsidR="0059186D">
      <w:pPr>
        <w:spacing w:after="0"/>
        <w:jc w:val="both"/>
      </w:pPr>
    </w:p>
    <w:p w:rsidRDefault="005663E1" w:rsidP="005663E1" w:rsidR="00B230A5">
      <w:pPr>
        <w:spacing w:after="0"/>
        <w:jc w:val="center"/>
      </w:pPr>
      <w:r>
        <w:t xml:space="preserve">U Zagrebu </w:t>
      </w:r>
      <w:r w:rsidRPr="0059186D">
        <w:t>11. travnja 2017.</w:t>
      </w:r>
    </w:p>
    <w:p w:rsidRDefault="00294F95" w:rsidP="005663E1" w:rsidR="00294F95">
      <w:pPr>
        <w:spacing w:after="0"/>
        <w:jc w:val="center"/>
      </w:pPr>
    </w:p>
    <w:p w:rsidRDefault="00294F95" w:rsidP="00563A19" w:rsidR="00411E48">
      <w:pPr>
        <w:spacing w:after="0"/>
        <w:jc w:val="both"/>
      </w:pPr>
      <w:r>
        <w:tab/>
      </w:r>
      <w:r>
        <w:tab/>
      </w:r>
      <w:r>
        <w:tab/>
      </w:r>
      <w:r>
        <w:tab/>
      </w:r>
      <w:r w:rsidR="00411E48">
        <w:tab/>
      </w:r>
      <w:r w:rsidR="00411E48">
        <w:tab/>
      </w:r>
      <w:r w:rsidR="00411E48">
        <w:tab/>
      </w:r>
      <w:r w:rsidR="00411E48">
        <w:tab/>
        <w:t>PREDSJEDNICA VIJEĆA</w:t>
      </w:r>
    </w:p>
    <w:p w:rsidRDefault="00411E48" w:rsidP="00563A19" w:rsidR="00411E48">
      <w:pPr>
        <w:spacing w:after="0"/>
        <w:jc w:val="both"/>
      </w:pPr>
      <w:r>
        <w:tab/>
      </w:r>
      <w:r>
        <w:tab/>
      </w:r>
      <w:r w:rsidR="00294F95">
        <w:tab/>
      </w:r>
      <w:r w:rsidR="00294F95">
        <w:tab/>
      </w:r>
      <w:r>
        <w:tab/>
      </w:r>
      <w:r>
        <w:tab/>
      </w:r>
      <w:r>
        <w:tab/>
      </w:r>
      <w:r>
        <w:tab/>
        <w:t>DUBRAVKA ZUBOVIĆ</w:t>
      </w:r>
      <w:r w:rsidR="00294F95">
        <w:t>, v.r.</w:t>
      </w:r>
    </w:p>
    <w:p w:rsidRDefault="00294F95" w:rsidP="00563A19" w:rsidR="00294F95">
      <w:pPr>
        <w:spacing w:after="0"/>
        <w:jc w:val="both"/>
      </w:pPr>
    </w:p>
    <w:p w:rsidRDefault="00294F95" w:rsidP="00563A19" w:rsidR="00294F9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294F95" w:rsidP="00563A19" w:rsidR="00294F9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294F95" w:rsidP="00563A19" w:rsidR="00294F95">
      <w:pPr>
        <w:spacing w:after="0"/>
        <w:jc w:val="both"/>
      </w:pPr>
    </w:p>
    <w:p w:rsidRDefault="00294F95" w:rsidP="00563A19" w:rsidR="00294F9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BRANKICA CURMAN</w:t>
      </w: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411E48" w:rsidP="00563A19" w:rsidR="00411E48">
      <w:pPr>
        <w:spacing w:after="0"/>
        <w:jc w:val="both"/>
      </w:pPr>
    </w:p>
    <w:p w:rsidRDefault="00411E48" w:rsidP="00563A19" w:rsidR="00411E48">
      <w:pPr>
        <w:spacing w:after="0"/>
        <w:jc w:val="both"/>
      </w:pPr>
    </w:p>
    <w:sectPr w:rsidSect="00294F95" w:rsidR="00411E48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80" w:first="279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3C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A33CF" w:rsidRPr="006A33CF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6A33CF" w:rsidRPr="006A33CF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9C2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4F9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1E48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3B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63E1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186D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3CF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1E7A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19FE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0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  <derivirana_varijabla naziv="Padez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  <derivirana_varijabla naziv="DrugaOsoba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  <derivirana_varijabla naziv="OstaliSudionici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F051B-364D-4FB9-81ED-6BAF143F9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336</properties:Words>
  <properties:Characters>1843</properties:Characters>
  <properties:Lines>67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2017-04-26T08:44:00Z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2017-04-19T08:12:00Z</cp:lastPrinted>
  <dcterms:modified xmlns:xsi="http://www.w3.org/2001/XMLSchema-instance" xsi:type="dcterms:W3CDTF">2017-04-26T08:46:00Z</dcterms:modified>
  <cp:revision>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