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d138" w14:paraId="e68d1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64E4E" w:rsidP="00AA2F80" w:rsidR="00AA2F80" w:rsidRPr="00AA2F80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A2F80" w:rsidRPr="00AA2F80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A2F80">
        <w:rPr>
          <w:rFonts w:cs="Times New Roman" w:eastAsia="Times New Roman"/>
          <w:b/>
          <w:lang w:eastAsia="hr-HR" w:val="en-AU"/>
        </w:rPr>
        <w:t>TRGOVA</w:t>
      </w:r>
      <w:r w:rsidRPr="00AA2F80">
        <w:rPr>
          <w:rFonts w:cs="Times New Roman" w:eastAsia="Times New Roman"/>
          <w:b/>
          <w:lang w:eastAsia="hr-HR"/>
        </w:rPr>
        <w:t>Č</w:t>
      </w:r>
      <w:r w:rsidRPr="00AA2F80">
        <w:rPr>
          <w:rFonts w:cs="Times New Roman" w:eastAsia="Times New Roman"/>
          <w:b/>
          <w:lang w:eastAsia="hr-HR" w:val="en-AU"/>
        </w:rPr>
        <w:t xml:space="preserve">KI SUD U SPLITU </w:t>
      </w:r>
      <w:r w:rsidRPr="00AA2F80">
        <w:rPr>
          <w:rFonts w:cs="Times New Roman" w:eastAsia="Times New Roman"/>
          <w:lang w:eastAsia="hr-HR"/>
        </w:rPr>
        <w:t xml:space="preserve">            </w:t>
      </w:r>
      <w:r w:rsidRPr="00AA2F80">
        <w:rPr>
          <w:rFonts w:cs="Times New Roman" w:eastAsia="Times New Roman"/>
          <w:lang w:eastAsia="hr-HR"/>
        </w:rPr>
        <w:tab/>
      </w:r>
      <w:r w:rsidRPr="00AA2F80">
        <w:rPr>
          <w:rFonts w:cs="Times New Roman" w:eastAsia="Times New Roman"/>
          <w:lang w:eastAsia="hr-HR"/>
        </w:rPr>
        <w:tab/>
      </w:r>
      <w:r w:rsidRPr="00AA2F80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AA2F8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A2F80">
        <w:rPr>
          <w:rFonts w:cs="Times New Roman" w:eastAsia="Times New Roman"/>
          <w:b/>
          <w:lang w:eastAsia="hr-HR"/>
        </w:rPr>
        <w:t>: 14. St-337/2011.</w:t>
      </w:r>
    </w:p>
    <w:p w:rsidRDefault="00AA2F80" w:rsidP="00AA2F80" w:rsidR="00AA2F80" w:rsidRPr="00AA2F8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A2F80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AA2F8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A2F80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A2F80" w:rsidP="00AA2F80" w:rsidR="00AA2F80" w:rsidRPr="00AA2F8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A2F80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AA2F80" w:rsidP="00AA2F80" w:rsidR="00AA2F80" w:rsidRPr="00AA2F8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A2F80" w:rsidP="00AA2F80" w:rsidR="00AA2F80" w:rsidRPr="00AA2F8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A2F80" w:rsidP="00AA2F80" w:rsidR="00AA2F80" w:rsidRPr="00AA2F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A2F80">
        <w:rPr>
          <w:rFonts w:cs="Times New Roman" w:eastAsia="Times New Roman"/>
          <w:b/>
          <w:lang w:eastAsia="hr-HR"/>
        </w:rPr>
        <w:t>R E P U B L I K A    H R V A T S K A</w:t>
      </w:r>
    </w:p>
    <w:p w:rsidRDefault="00AA2F80" w:rsidP="00AA2F80" w:rsidR="00AA2F80" w:rsidRPr="00AA2F8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A2F80" w:rsidP="00AA2F80" w:rsidR="00AA2F80" w:rsidRPr="00AA2F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A2F80">
        <w:rPr>
          <w:rFonts w:cs="Times New Roman" w:eastAsia="Times New Roman"/>
          <w:b/>
          <w:lang w:eastAsia="hr-HR"/>
        </w:rPr>
        <w:t>R J E Š E N J E</w:t>
      </w:r>
    </w:p>
    <w:p w:rsidRDefault="00AA2F80" w:rsidP="00AA2F80" w:rsidR="00AA2F80" w:rsidRPr="00AA2F80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A2F80" w:rsidP="00AA2F80" w:rsidR="00AA2F80" w:rsidRPr="00AA2F80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EURO PROPERTY PROSPECTS - NEKRETNINE, d.o.o., u stečaju, Split (Grad Split), Hrvatske mornarice 1/H, upisan u sudski registar ovog Suda pod MBS: 060203657., OIB: 45095319801. (Dužnik, stečajni Dužnik), kojeg zastupa stečajni upravitelj Dean </w:t>
      </w:r>
      <w:proofErr w:type="spellStart"/>
      <w:r w:rsidRPr="00AA2F80">
        <w:rPr>
          <w:rFonts w:cs="Times New Roman" w:eastAsia="Times New Roman"/>
          <w:lang w:eastAsia="hr-HR"/>
        </w:rPr>
        <w:t>Prelević</w:t>
      </w:r>
      <w:proofErr w:type="spellEnd"/>
      <w:r w:rsidRPr="00AA2F80">
        <w:rPr>
          <w:rFonts w:cs="Times New Roman" w:eastAsia="Times New Roman"/>
          <w:lang w:eastAsia="hr-HR"/>
        </w:rPr>
        <w:t>, iz Splita, dana 06. rujna 2016. godine, izvan-raspravno,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>r i j e š i o   j e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A2F80">
        <w:rPr>
          <w:rFonts w:cs="Times New Roman" w:eastAsia="Times New Roman"/>
          <w:lang w:eastAsia="hr-HR"/>
        </w:rPr>
        <w:t xml:space="preserve">          </w:t>
      </w:r>
      <w:r w:rsidRPr="00AA2F80">
        <w:rPr>
          <w:rFonts w:cs="Times New Roman" w:eastAsia="Times New Roman"/>
          <w:b/>
          <w:lang w:eastAsia="hr-HR"/>
        </w:rPr>
        <w:t>Žalba</w:t>
      </w:r>
      <w:r w:rsidRPr="00AA2F80">
        <w:rPr>
          <w:rFonts w:cs="Times New Roman" w:eastAsia="Times New Roman"/>
          <w:lang w:eastAsia="hr-HR"/>
        </w:rPr>
        <w:t xml:space="preserve"> Ponuditelja-Kupca: MARŽIĆ NEKRETNINE, d.o.o., Zagreb, </w:t>
      </w:r>
      <w:proofErr w:type="spellStart"/>
      <w:r w:rsidRPr="00AA2F80">
        <w:rPr>
          <w:rFonts w:cs="Times New Roman" w:eastAsia="Times New Roman"/>
          <w:lang w:eastAsia="hr-HR"/>
        </w:rPr>
        <w:t>Lašćinska</w:t>
      </w:r>
      <w:proofErr w:type="spellEnd"/>
      <w:r w:rsidRPr="00AA2F80">
        <w:rPr>
          <w:rFonts w:cs="Times New Roman" w:eastAsia="Times New Roman"/>
          <w:lang w:eastAsia="hr-HR"/>
        </w:rPr>
        <w:t xml:space="preserve"> cesta 92, OIB: 35738445035, izjavljena protiv rješenja o dosudi ovog Suda od 04. travnja 2016. godine, broj: 14. St-337/2011, </w:t>
      </w:r>
      <w:r w:rsidRPr="00AA2F80">
        <w:rPr>
          <w:rFonts w:cs="Times New Roman" w:eastAsia="Times New Roman"/>
          <w:b/>
          <w:lang w:eastAsia="hr-HR"/>
        </w:rPr>
        <w:t>odbacuje se kao nedopuštena.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AA2F80">
        <w:rPr>
          <w:rFonts w:cs="Times New Roman" w:eastAsia="Arial Unicode MS"/>
          <w:bCs/>
          <w:szCs w:val="20"/>
        </w:rPr>
        <w:t>Obrazloženje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A2F80">
        <w:rPr>
          <w:rFonts w:cs="Times New Roman" w:eastAsia="Calibri" w:hAnsi="Calibri" w:ascii="Calibri"/>
          <w:lang w:val="en-US"/>
        </w:rPr>
        <w:t xml:space="preserve">           </w:t>
      </w:r>
      <w:proofErr w:type="spellStart"/>
      <w:r w:rsidRPr="00AA2F80">
        <w:rPr>
          <w:rFonts w:cs="Times New Roman" w:eastAsia="Calibri" w:hAnsi="Calibri" w:ascii="Calibri"/>
          <w:lang w:val="en-US"/>
        </w:rPr>
        <w:t>Rješenjem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AA2F80">
        <w:rPr>
          <w:rFonts w:cs="Times New Roman" w:eastAsia="Calibri" w:hAnsi="Calibri" w:ascii="Calibri"/>
          <w:lang w:val="en-US"/>
        </w:rPr>
        <w:t>dosudi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ovog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Suda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od 04. </w:t>
      </w:r>
      <w:proofErr w:type="spellStart"/>
      <w:r w:rsidRPr="00AA2F80">
        <w:rPr>
          <w:rFonts w:cs="Times New Roman" w:eastAsia="Calibri" w:hAnsi="Calibri" w:ascii="Calibri"/>
          <w:lang w:val="en-US"/>
        </w:rPr>
        <w:t>travnja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AA2F80">
        <w:rPr>
          <w:rFonts w:cs="Times New Roman" w:eastAsia="Calibri" w:hAnsi="Calibri" w:ascii="Calibri"/>
          <w:lang w:val="en-US"/>
        </w:rPr>
        <w:t>godine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A2F80">
        <w:rPr>
          <w:rFonts w:cs="Times New Roman" w:eastAsia="Calibri" w:hAnsi="Calibri" w:ascii="Calibri"/>
          <w:lang w:val="en-US"/>
        </w:rPr>
        <w:t>broj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AA2F80">
        <w:rPr>
          <w:rFonts w:cs="Times New Roman" w:eastAsia="Calibri" w:hAnsi="Calibri" w:ascii="Calibri"/>
          <w:lang w:val="en-US"/>
        </w:rPr>
        <w:t>gornji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A2F80">
        <w:rPr>
          <w:rFonts w:cs="Times New Roman" w:eastAsia="Calibri" w:hAnsi="Calibri" w:ascii="Calibri"/>
          <w:lang w:val="en-US"/>
        </w:rPr>
        <w:t>točkom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I, u </w:t>
      </w:r>
      <w:proofErr w:type="spellStart"/>
      <w:r w:rsidRPr="00AA2F80">
        <w:rPr>
          <w:rFonts w:cs="Times New Roman" w:eastAsia="Calibri" w:hAnsi="Calibri" w:ascii="Calibri"/>
          <w:lang w:val="en-US"/>
        </w:rPr>
        <w:t>izrijeci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navedenom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Ponuditelju-Kupcu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dosuđene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nekretnine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pobliže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navedene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AA2F80">
        <w:rPr>
          <w:rFonts w:cs="Times New Roman" w:eastAsia="Calibri" w:hAnsi="Calibri" w:ascii="Calibri"/>
          <w:lang w:val="en-US"/>
        </w:rPr>
        <w:t>istome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tome </w:t>
      </w:r>
      <w:proofErr w:type="spellStart"/>
      <w:r w:rsidRPr="00AA2F80">
        <w:rPr>
          <w:rFonts w:cs="Times New Roman" w:eastAsia="Calibri" w:hAnsi="Calibri" w:ascii="Calibri"/>
          <w:lang w:val="en-US"/>
        </w:rPr>
        <w:t>Rješenju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AA2F80">
        <w:rPr>
          <w:rFonts w:cs="Times New Roman" w:eastAsia="Calibri" w:hAnsi="Calibri" w:ascii="Calibri"/>
          <w:lang w:val="en-US"/>
        </w:rPr>
        <w:t>točkom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II. je </w:t>
      </w:r>
      <w:proofErr w:type="spellStart"/>
      <w:r w:rsidRPr="00AA2F80">
        <w:rPr>
          <w:rFonts w:cs="Times New Roman" w:eastAsia="Calibri" w:hAnsi="Calibri" w:ascii="Calibri"/>
          <w:lang w:val="en-US"/>
        </w:rPr>
        <w:t>određeno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kako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će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se – </w:t>
      </w:r>
      <w:proofErr w:type="spellStart"/>
      <w:r w:rsidRPr="00AA2F80">
        <w:rPr>
          <w:rFonts w:cs="Times New Roman" w:eastAsia="Calibri" w:hAnsi="Calibri" w:ascii="Calibri"/>
          <w:lang w:val="en-US"/>
        </w:rPr>
        <w:t>nakon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tog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Rješenja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AA2F80">
        <w:rPr>
          <w:rFonts w:cs="Times New Roman" w:eastAsia="Calibri" w:hAnsi="Calibri" w:ascii="Calibri"/>
          <w:lang w:val="en-US"/>
        </w:rPr>
        <w:t>dosudi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nakon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što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Ponuditelj-Kupac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plati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kupoprodajnu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cijenu-kupovninu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umanjenu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za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iznos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plaćene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jamčevine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AA2F80">
        <w:rPr>
          <w:rFonts w:cs="Times New Roman" w:eastAsia="Calibri" w:hAnsi="Calibri" w:ascii="Calibri"/>
          <w:lang w:val="en-US"/>
        </w:rPr>
        <w:t>uvećanu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za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pripadajuće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poreze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to u </w:t>
      </w:r>
      <w:proofErr w:type="spellStart"/>
      <w:r w:rsidRPr="00AA2F80">
        <w:rPr>
          <w:rFonts w:cs="Times New Roman" w:eastAsia="Calibri" w:hAnsi="Calibri" w:ascii="Calibri"/>
          <w:lang w:val="en-US"/>
        </w:rPr>
        <w:t>roku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od 30. (</w:t>
      </w:r>
      <w:proofErr w:type="spellStart"/>
      <w:r w:rsidRPr="00AA2F80">
        <w:rPr>
          <w:rFonts w:cs="Times New Roman" w:eastAsia="Calibri" w:hAnsi="Calibri" w:ascii="Calibri"/>
          <w:lang w:val="en-US"/>
        </w:rPr>
        <w:t>trideset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AA2F80">
        <w:rPr>
          <w:rFonts w:cs="Times New Roman" w:eastAsia="Calibri" w:hAnsi="Calibri" w:ascii="Calibri"/>
          <w:lang w:val="en-US"/>
        </w:rPr>
        <w:t>dana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računajući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od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dana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primitka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obavijesti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AA2F80">
        <w:rPr>
          <w:rFonts w:cs="Times New Roman" w:eastAsia="Calibri" w:hAnsi="Calibri" w:ascii="Calibri"/>
          <w:lang w:val="en-US"/>
        </w:rPr>
        <w:t>prihvaćanju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ponude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A2F80">
        <w:rPr>
          <w:rFonts w:cs="Times New Roman" w:eastAsia="Calibri" w:hAnsi="Calibri" w:ascii="Calibri"/>
          <w:lang w:val="en-US"/>
        </w:rPr>
        <w:t>održanog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ročišta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od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dana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31. </w:t>
      </w:r>
      <w:proofErr w:type="spellStart"/>
      <w:r w:rsidRPr="00AA2F80">
        <w:rPr>
          <w:rFonts w:cs="Times New Roman" w:eastAsia="Calibri" w:hAnsi="Calibri" w:ascii="Calibri"/>
          <w:lang w:val="en-US"/>
        </w:rPr>
        <w:t>ožujka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AA2F80">
        <w:rPr>
          <w:rFonts w:cs="Times New Roman" w:eastAsia="Calibri" w:hAnsi="Calibri" w:ascii="Calibri"/>
          <w:lang w:val="en-US"/>
        </w:rPr>
        <w:t>godine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AA2F80">
        <w:rPr>
          <w:rFonts w:cs="Times New Roman" w:eastAsia="Calibri" w:hAnsi="Calibri" w:ascii="Calibri"/>
          <w:lang w:val="en-US"/>
        </w:rPr>
        <w:t>upisati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pravo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vlasništva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navedenim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nekretninama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ime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Ponuditelja-Kupca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AA2F80">
        <w:rPr>
          <w:rFonts w:cs="Times New Roman" w:eastAsia="Calibri" w:hAnsi="Calibri" w:ascii="Calibri"/>
          <w:lang w:val="en-US"/>
        </w:rPr>
        <w:t>zemljišnim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knjigama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Općinskog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suda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AA2F80">
        <w:rPr>
          <w:rFonts w:cs="Times New Roman" w:eastAsia="Calibri" w:hAnsi="Calibri" w:ascii="Calibri"/>
          <w:lang w:val="en-US"/>
        </w:rPr>
        <w:t>Splitu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A2F80">
        <w:rPr>
          <w:rFonts w:cs="Times New Roman" w:eastAsia="Calibri" w:hAnsi="Calibri" w:ascii="Calibri"/>
          <w:lang w:val="en-US"/>
        </w:rPr>
        <w:t>Zemljišnoknjižni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odjel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Supetar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AA2F80">
        <w:rPr>
          <w:rFonts w:cs="Times New Roman" w:eastAsia="Calibri" w:hAnsi="Calibri" w:ascii="Calibri"/>
          <w:lang w:val="en-US"/>
        </w:rPr>
        <w:t>prije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AA2F80">
        <w:rPr>
          <w:rFonts w:cs="Times New Roman" w:eastAsia="Calibri" w:hAnsi="Calibri" w:ascii="Calibri"/>
          <w:lang w:val="en-US"/>
        </w:rPr>
        <w:t>Općinski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sud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AA2F80">
        <w:rPr>
          <w:rFonts w:cs="Times New Roman" w:eastAsia="Calibri" w:hAnsi="Calibri" w:ascii="Calibri"/>
          <w:lang w:val="en-US"/>
        </w:rPr>
        <w:t>Supetru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AA2F80">
        <w:rPr>
          <w:rFonts w:cs="Times New Roman" w:eastAsia="Calibri" w:hAnsi="Calibri" w:ascii="Calibri"/>
          <w:lang w:val="en-US"/>
        </w:rPr>
        <w:t>te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brisati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upisano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pravo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vlasništva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imena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stečajnog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Dužnika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: EURO PROPERTY PROSPECTS - NEKRETNINE, </w:t>
      </w:r>
      <w:proofErr w:type="spellStart"/>
      <w:r w:rsidRPr="00AA2F80">
        <w:rPr>
          <w:rFonts w:cs="Times New Roman" w:eastAsia="Calibri" w:hAnsi="Calibri" w:ascii="Calibri"/>
          <w:lang w:val="en-US"/>
        </w:rPr>
        <w:t>d.o.o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AA2F80">
        <w:rPr>
          <w:rFonts w:cs="Times New Roman" w:eastAsia="Calibri" w:hAnsi="Calibri" w:ascii="Calibri"/>
          <w:lang w:val="en-US"/>
        </w:rPr>
        <w:t>stečaju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, Split </w:t>
      </w:r>
      <w:proofErr w:type="spellStart"/>
      <w:r w:rsidRPr="00AA2F80">
        <w:rPr>
          <w:rFonts w:cs="Times New Roman" w:eastAsia="Calibri" w:hAnsi="Calibri" w:ascii="Calibri"/>
          <w:lang w:val="en-US"/>
        </w:rPr>
        <w:t>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upisana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založna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prava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te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upisane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zabilježbe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AA2F80">
        <w:rPr>
          <w:rFonts w:cs="Times New Roman" w:eastAsia="Calibri" w:hAnsi="Calibri" w:ascii="Calibri"/>
          <w:lang w:val="en-US"/>
        </w:rPr>
        <w:t>nakon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čega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će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AA2F80">
        <w:rPr>
          <w:rFonts w:cs="Times New Roman" w:eastAsia="Calibri" w:hAnsi="Calibri" w:ascii="Calibri"/>
          <w:lang w:val="en-US"/>
        </w:rPr>
        <w:t>kupljene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nekretnine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Kupcu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predati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posebnim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zaključkom</w:t>
      </w:r>
      <w:proofErr w:type="spellEnd"/>
      <w:r w:rsidRPr="00AA2F8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A2F80">
        <w:rPr>
          <w:rFonts w:cs="Times New Roman" w:eastAsia="Calibri" w:hAnsi="Calibri" w:ascii="Calibri"/>
          <w:lang w:val="en-US"/>
        </w:rPr>
        <w:t>Suda</w:t>
      </w:r>
      <w:proofErr w:type="spellEnd"/>
      <w:r w:rsidRPr="00AA2F80">
        <w:rPr>
          <w:rFonts w:cs="Times New Roman" w:eastAsia="Calibri" w:hAnsi="Calibri" w:ascii="Calibri"/>
          <w:lang w:val="en-US"/>
        </w:rPr>
        <w:t>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A2F80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</w:t>
      </w:r>
      <w:r w:rsidRPr="00AA2F80">
        <w:rPr>
          <w:rFonts w:cs="Times New Roman" w:eastAsia="Calibri" w:hAnsi="Calibri" w:ascii="Calibri"/>
          <w:b/>
          <w:lang w:val="en-US"/>
        </w:rPr>
        <w:t>- 2 -</w:t>
      </w:r>
      <w:r w:rsidRPr="00AA2F80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AA2F80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AA2F80">
        <w:rPr>
          <w:rFonts w:cs="Times New Roman" w:eastAsia="Calibri" w:hAnsi="Calibri" w:ascii="Calibri"/>
          <w:b/>
          <w:lang w:val="en-US"/>
        </w:rPr>
        <w:t>: 14.  St-337/2011.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 xml:space="preserve">Protiv navedenog Rješenja, Ponuditelj-Kupac je izjavio Žalbu (Žalitelj) a podneskom od 22. srpnja 2016. godine, u Sudu fizički zaprimljenom dana 26. srpnja 2016. godine, Žalitelj je naveo kako </w:t>
      </w:r>
      <w:r w:rsidRPr="00AA2F80">
        <w:rPr>
          <w:rFonts w:cs="Times New Roman" w:eastAsia="Times New Roman"/>
          <w:i/>
          <w:lang w:eastAsia="hr-HR"/>
        </w:rPr>
        <w:t xml:space="preserve">...odustaje od izjavljene žalbe protiv rješenja o dosudi, </w:t>
      </w:r>
      <w:proofErr w:type="spellStart"/>
      <w:r w:rsidRPr="00AA2F80">
        <w:rPr>
          <w:rFonts w:cs="Times New Roman" w:eastAsia="Times New Roman"/>
          <w:i/>
          <w:lang w:eastAsia="hr-HR"/>
        </w:rPr>
        <w:t>posl</w:t>
      </w:r>
      <w:proofErr w:type="spellEnd"/>
      <w:r w:rsidRPr="00AA2F80">
        <w:rPr>
          <w:rFonts w:cs="Times New Roman" w:eastAsia="Times New Roman"/>
          <w:i/>
          <w:lang w:eastAsia="hr-HR"/>
        </w:rPr>
        <w:t xml:space="preserve">. br. 14-St-337/2011 od 04. travnja 2016. </w:t>
      </w:r>
      <w:proofErr w:type="spellStart"/>
      <w:r w:rsidRPr="00AA2F80">
        <w:rPr>
          <w:rFonts w:cs="Times New Roman" w:eastAsia="Times New Roman"/>
          <w:i/>
          <w:lang w:eastAsia="hr-HR"/>
        </w:rPr>
        <w:t>godine.</w:t>
      </w:r>
      <w:proofErr w:type="spellEnd"/>
      <w:r w:rsidRPr="00AA2F80">
        <w:rPr>
          <w:rFonts w:cs="Times New Roman" w:eastAsia="Times New Roman"/>
          <w:i/>
          <w:lang w:eastAsia="hr-HR"/>
        </w:rPr>
        <w:t>.</w:t>
      </w:r>
      <w:r w:rsidRPr="00AA2F80">
        <w:rPr>
          <w:rFonts w:cs="Times New Roman" w:eastAsia="Times New Roman"/>
          <w:lang w:eastAsia="hr-HR"/>
        </w:rPr>
        <w:t xml:space="preserve">  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 xml:space="preserve">          Žalba Žalitelja nije dopuštena radi čega je ista i odbačena a sve zbog niže navedenih razloga.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 xml:space="preserve">          Odredbom članka 358., stavak 3., Zakona o parničnom postupku (</w:t>
      </w:r>
      <w:r w:rsidRPr="00AA2F80">
        <w:rPr>
          <w:rFonts w:cs="Times New Roman" w:eastAsia="Times New Roman"/>
          <w:i/>
          <w:lang w:eastAsia="hr-HR"/>
        </w:rPr>
        <w:t>Narodne novine,</w:t>
      </w:r>
      <w:r w:rsidRPr="00AA2F80">
        <w:rPr>
          <w:rFonts w:cs="Times New Roman" w:eastAsia="Times New Roman"/>
          <w:lang w:eastAsia="hr-HR"/>
        </w:rPr>
        <w:t xml:space="preserve"> br.: 53/91, 25/13. i 89/14.-Odluka USRH, br.: U-I-885/2013, dalje: ZPP), koji se u ovome stečajnom postupku </w:t>
      </w:r>
      <w:proofErr w:type="spellStart"/>
      <w:r w:rsidRPr="00AA2F80">
        <w:rPr>
          <w:rFonts w:cs="Times New Roman" w:eastAsia="Times New Roman"/>
          <w:lang w:eastAsia="hr-HR"/>
        </w:rPr>
        <w:t>podredno</w:t>
      </w:r>
      <w:proofErr w:type="spellEnd"/>
      <w:r w:rsidRPr="00AA2F80">
        <w:rPr>
          <w:rFonts w:cs="Times New Roman" w:eastAsia="Times New Roman"/>
          <w:lang w:eastAsia="hr-HR"/>
        </w:rPr>
        <w:t xml:space="preserve"> primjenjuje temeljem odredbe članka 6, Stečajnog zakona (</w:t>
      </w:r>
      <w:r w:rsidRPr="00AA2F80">
        <w:rPr>
          <w:rFonts w:cs="Times New Roman" w:eastAsia="Times New Roman"/>
          <w:i/>
          <w:lang w:eastAsia="hr-HR"/>
        </w:rPr>
        <w:t>Narodne novine,</w:t>
      </w:r>
      <w:r w:rsidRPr="00AA2F80">
        <w:rPr>
          <w:rFonts w:cs="Times New Roman" w:eastAsia="Times New Roman"/>
          <w:lang w:eastAsia="hr-HR"/>
        </w:rPr>
        <w:t xml:space="preserve"> br.: 44/96. do 133/12, dalje: SZ, u vezi sa člankom 441, Stečajnog zakona, </w:t>
      </w:r>
      <w:r w:rsidRPr="00AA2F80">
        <w:rPr>
          <w:rFonts w:cs="Times New Roman" w:eastAsia="Times New Roman"/>
          <w:i/>
          <w:lang w:eastAsia="hr-HR"/>
        </w:rPr>
        <w:t>Narodne novine, br.: 71/15, dalje:</w:t>
      </w:r>
      <w:r w:rsidRPr="00AA2F80">
        <w:rPr>
          <w:rFonts w:cs="Times New Roman" w:eastAsia="Times New Roman"/>
          <w:lang w:eastAsia="hr-HR"/>
        </w:rPr>
        <w:t xml:space="preserve"> SZ/15,) propisano je: </w:t>
      </w:r>
      <w:r w:rsidRPr="00AA2F80">
        <w:rPr>
          <w:rFonts w:cs="Times New Roman" w:eastAsia="Times New Roman"/>
          <w:i/>
          <w:lang w:eastAsia="hr-HR"/>
        </w:rPr>
        <w:t>Žalba</w:t>
      </w:r>
      <w:r w:rsidRPr="00AA2F80">
        <w:rPr>
          <w:rFonts w:cs="Times New Roman" w:eastAsia="Times New Roman"/>
          <w:lang w:eastAsia="hr-HR"/>
        </w:rPr>
        <w:t xml:space="preserve"> </w:t>
      </w:r>
      <w:r w:rsidRPr="00AA2F80">
        <w:rPr>
          <w:rFonts w:cs="Times New Roman" w:eastAsia="Times New Roman"/>
          <w:i/>
          <w:lang w:eastAsia="hr-HR"/>
        </w:rPr>
        <w:t>je nedopuštena ako je žalbu podnijela osoba</w:t>
      </w:r>
      <w:r w:rsidRPr="00AA2F80">
        <w:rPr>
          <w:rFonts w:cs="Times New Roman" w:eastAsia="Times New Roman"/>
          <w:lang w:eastAsia="hr-HR"/>
        </w:rPr>
        <w:t xml:space="preserve"> </w:t>
      </w:r>
      <w:r w:rsidRPr="00AA2F80">
        <w:rPr>
          <w:rFonts w:cs="Times New Roman" w:eastAsia="Times New Roman"/>
          <w:i/>
          <w:lang w:eastAsia="hr-HR"/>
        </w:rPr>
        <w:t xml:space="preserve">koja </w:t>
      </w:r>
      <w:r w:rsidRPr="00AA2F80">
        <w:rPr>
          <w:rFonts w:cs="Times New Roman" w:eastAsia="Times New Roman"/>
          <w:lang w:eastAsia="hr-HR"/>
        </w:rPr>
        <w:t xml:space="preserve">(…) </w:t>
      </w:r>
      <w:r w:rsidRPr="00AA2F80">
        <w:rPr>
          <w:rFonts w:cs="Times New Roman" w:eastAsia="Times New Roman"/>
          <w:i/>
          <w:lang w:eastAsia="hr-HR"/>
        </w:rPr>
        <w:t>se odrekla prava na žalbu,...</w:t>
      </w:r>
      <w:r w:rsidRPr="00AA2F80">
        <w:rPr>
          <w:rFonts w:cs="Times New Roman" w:eastAsia="Times New Roman"/>
          <w:lang w:eastAsia="hr-HR"/>
        </w:rPr>
        <w:t xml:space="preserve"> 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ab/>
        <w:t xml:space="preserve">Kako je Žalitelj odustao od izjavljene Žalbe, što ovaj Sud smatra odricanjem Žalitelja od prava na žalbu, to je ista Žalba Žalitelja nedopuštena, sukladno navedenoj odredbi članka 358, </w:t>
      </w:r>
      <w:proofErr w:type="spellStart"/>
      <w:r w:rsidRPr="00AA2F80">
        <w:rPr>
          <w:rFonts w:cs="Times New Roman" w:eastAsia="Times New Roman"/>
          <w:lang w:eastAsia="hr-HR"/>
        </w:rPr>
        <w:t>stavbak</w:t>
      </w:r>
      <w:proofErr w:type="spellEnd"/>
      <w:r w:rsidRPr="00AA2F80">
        <w:rPr>
          <w:rFonts w:cs="Times New Roman" w:eastAsia="Times New Roman"/>
          <w:lang w:eastAsia="hr-HR"/>
        </w:rPr>
        <w:t xml:space="preserve"> 3, ZPP-a.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ab/>
        <w:t xml:space="preserve">Člankom 358, stavak 1, ZPP-a je propisano: </w:t>
      </w:r>
      <w:r w:rsidRPr="00AA2F80">
        <w:rPr>
          <w:rFonts w:cs="Times New Roman" w:eastAsia="Times New Roman"/>
          <w:i/>
          <w:lang w:eastAsia="hr-HR"/>
        </w:rPr>
        <w:t>...nedopuštenu žalbu odbacit će rješenjem sudac pojedinac (...) prvostupanjskog suda bez održavanja ročišta.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ab/>
        <w:t>Sukladno navedenoj odredbi članka 358, stavak 1, i 3, ZPP-a, u vezi sa člankom 6, SZ, Sud je riješio kao u izrijeci ovog rješenja.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center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>Split, dne 06. rujna 2016. godine.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  <w:r w:rsidRPr="00AA2F80">
        <w:rPr>
          <w:rFonts w:cs="Times New Roman" w:eastAsia="Times New Roman"/>
          <w:u w:val="single"/>
          <w:lang w:eastAsia="hr-HR"/>
        </w:rPr>
        <w:t>POUKA O PRAVNOM LIJEKU</w:t>
      </w:r>
      <w:r w:rsidRPr="00AA2F80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Trgovačkom sudu u Splitu, Split, </w:t>
      </w:r>
      <w:proofErr w:type="spellStart"/>
      <w:r w:rsidRPr="00AA2F80">
        <w:rPr>
          <w:rFonts w:cs="Times New Roman" w:eastAsia="Times New Roman"/>
          <w:lang w:eastAsia="hr-HR"/>
        </w:rPr>
        <w:t>Sukoišanska</w:t>
      </w:r>
      <w:proofErr w:type="spellEnd"/>
      <w:r w:rsidRPr="00AA2F80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A2F80">
        <w:rPr>
          <w:rFonts w:cs="Times New Roman" w:eastAsia="Calibri" w:hAnsi="Calibri" w:ascii="Calibri"/>
          <w:lang w:val="en-US"/>
        </w:rPr>
        <w:t xml:space="preserve">                                                                 </w:t>
      </w:r>
      <w:r w:rsidRPr="00AA2F80">
        <w:rPr>
          <w:rFonts w:cs="Times New Roman" w:eastAsia="Calibri" w:hAnsi="Calibri" w:ascii="Calibri"/>
          <w:b/>
          <w:lang w:val="en-US"/>
        </w:rPr>
        <w:t>- 3 -</w:t>
      </w:r>
      <w:r w:rsidRPr="00AA2F80">
        <w:rPr>
          <w:rFonts w:cs="Times New Roman" w:eastAsia="Calibri" w:hAnsi="Calibri" w:ascii="Calibri"/>
          <w:lang w:val="en-US"/>
        </w:rPr>
        <w:t xml:space="preserve">                               </w:t>
      </w:r>
      <w:proofErr w:type="spellStart"/>
      <w:r w:rsidRPr="00AA2F80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AA2F80">
        <w:rPr>
          <w:rFonts w:cs="Times New Roman" w:eastAsia="Calibri" w:hAnsi="Calibri" w:ascii="Calibri"/>
          <w:b/>
          <w:lang w:val="en-US"/>
        </w:rPr>
        <w:t>: 14.  St-337/2011.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 xml:space="preserve">DNA:  1.  Stečajni upravitelj Dean </w:t>
      </w:r>
      <w:proofErr w:type="spellStart"/>
      <w:r w:rsidRPr="00AA2F80">
        <w:rPr>
          <w:rFonts w:cs="Times New Roman" w:eastAsia="Times New Roman"/>
          <w:bCs/>
          <w:lang w:eastAsia="hr-HR"/>
        </w:rPr>
        <w:t>Prelević</w:t>
      </w:r>
      <w:proofErr w:type="spellEnd"/>
      <w:r w:rsidRPr="00AA2F80">
        <w:rPr>
          <w:rFonts w:cs="Times New Roman" w:eastAsia="Times New Roman"/>
          <w:bCs/>
          <w:lang w:eastAsia="hr-HR"/>
        </w:rPr>
        <w:t>, Split,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 xml:space="preserve">            2.  </w:t>
      </w:r>
      <w:r w:rsidRPr="00AA2F80">
        <w:rPr>
          <w:rFonts w:cs="Times New Roman" w:eastAsia="Times New Roman"/>
          <w:lang w:eastAsia="hr-HR"/>
        </w:rPr>
        <w:t xml:space="preserve">Odvjetnik Saša </w:t>
      </w:r>
      <w:proofErr w:type="spellStart"/>
      <w:r w:rsidRPr="00AA2F80">
        <w:rPr>
          <w:rFonts w:cs="Times New Roman" w:eastAsia="Times New Roman"/>
          <w:lang w:eastAsia="hr-HR"/>
        </w:rPr>
        <w:t>Poldan</w:t>
      </w:r>
      <w:proofErr w:type="spellEnd"/>
      <w:r w:rsidRPr="00AA2F80">
        <w:rPr>
          <w:rFonts w:cs="Times New Roman" w:eastAsia="Times New Roman"/>
          <w:lang w:eastAsia="hr-HR"/>
        </w:rPr>
        <w:t xml:space="preserve">, Rijeka, Jadranski trg 4. (za MARŽIĆ NEKRETNINE), 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 xml:space="preserve">            3.  e-Oglasna ploča Suda – rok: 15. dana,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>Split, 06. rujna 2016. godine.                                    S U D A C: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2F8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Jozo Ćaleta,</w:t>
      </w: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2F80" w:rsidP="00AA2F80" w:rsidR="00AA2F80" w:rsidRPr="00AA2F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4E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F80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4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St-337/2011-210</izvorni_sadrzaj>
    <derivirana_varijabla naziv="DomainObject.Oznaka_1">St-337/2011-210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St-337/2011-210</izvorni_sadrzaj>
    <derivirana_varijabla naziv="DomainObject.PoslovniBrojDokumenta_1">St-337/2011-210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3A600-656B-4905-92F9-DFA905F8A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3215</properties:Characters>
  <properties:Lines>116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2016-09-06T06:31:00Z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St-337/2011-210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