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bbdab4" w14:paraId="9bbdab4" w:rsidRDefault="006B5263" w:rsidR="006B5263">
      <w:pPr>
        <w:spacing w:lineRule="atLeast" w:line="100"/>
        <w:jc w:val="center"/>
        <w15:collapsed w:val="false"/>
        <w:rPr>
          <w:rFonts w:cs="Calibri" w:eastAsia="Calibri"/>
        </w:rPr>
      </w:pPr>
      <w:bookmarkStart w:name="_GoBack" w:id="0"/>
      <w:bookmarkEnd w:id="0"/>
    </w:p>
    <w:p w:rsidRDefault="006B5263" w:rsidR="006B5263">
      <w:pPr>
        <w:spacing w:lineRule="atLeast" w:line="100"/>
        <w:rPr>
          <w:rFonts w:cs="Calibri" w:eastAsia="Calibri"/>
        </w:rPr>
      </w:pPr>
    </w:p>
    <w:p w:rsidRDefault="006B5263" w:rsidR="006B5263">
      <w:pPr>
        <w:spacing w:lineRule="atLeast" w:line="100"/>
        <w:rPr>
          <w:rFonts w:cs="Calibri" w:eastAsia="Calibri"/>
        </w:rPr>
      </w:pPr>
      <w:r>
        <w:rPr>
          <w:rFonts w:hAnsi="Times New Roman" w:ascii="Times New Roman"/>
          <w:sz w:val="24"/>
        </w:rPr>
        <w:t xml:space="preserve">TRGOVAČKI SUD U ZAGREBU </w:t>
      </w:r>
    </w:p>
    <w:p w:rsidRDefault="006B5263" w:rsidR="006B5263">
      <w:pPr>
        <w:spacing w:lineRule="atLeast" w:line="100"/>
        <w:rPr>
          <w:rFonts w:cs="Calibri" w:eastAsia="Calibri"/>
        </w:rPr>
      </w:pPr>
    </w:p>
    <w:p w:rsidRDefault="006B5263" w:rsidR="006B5263">
      <w:pPr>
        <w:spacing w:lineRule="atLeast" w:line="100"/>
        <w:rPr>
          <w:rFonts w:cs="Calibri" w:eastAsia="Calibri"/>
        </w:rPr>
      </w:pPr>
      <w:r>
        <w:rPr>
          <w:rFonts w:hAnsi="Times New Roman" w:ascii="Times New Roman"/>
          <w:sz w:val="24"/>
        </w:rPr>
        <w:t>Poslovni broj spisa 85. St-4044/16</w:t>
      </w:r>
    </w:p>
    <w:p w:rsidRDefault="006B5263" w:rsidR="006B5263">
      <w:pPr>
        <w:spacing w:lineRule="atLeast" w:line="100"/>
        <w:rPr>
          <w:rFonts w:cs="Calibri" w:eastAsia="Calibri"/>
        </w:rPr>
      </w:pPr>
    </w:p>
    <w:p w:rsidRDefault="006B5263" w:rsidR="006B5263">
      <w:pPr>
        <w:spacing w:lineRule="atLeast" w:line="100"/>
        <w:rPr>
          <w:rFonts w:cs="Calibri" w:eastAsia="Calibri"/>
        </w:rPr>
      </w:pPr>
    </w:p>
    <w:p w:rsidRDefault="006B5263" w:rsidR="00B578A7">
      <w:pPr>
        <w:spacing w:lineRule="atLeast" w:line="100"/>
        <w:jc w:val="both"/>
        <w:rPr>
          <w:rFonts w:hAnsi="Times New Roman" w:ascii="Times New Roman"/>
          <w:b/>
          <w:sz w:val="24"/>
        </w:rPr>
      </w:pPr>
      <w:r>
        <w:rPr>
          <w:rFonts w:hAnsi="Times New Roman" w:ascii="Times New Roman"/>
          <w:b/>
          <w:sz w:val="24"/>
        </w:rPr>
        <w:t xml:space="preserve">IZVJEŠĆE O </w:t>
      </w:r>
      <w:r w:rsidR="000943E3">
        <w:rPr>
          <w:rFonts w:hAnsi="Times New Roman" w:ascii="Times New Roman"/>
          <w:b/>
          <w:sz w:val="24"/>
        </w:rPr>
        <w:t>NOVČANIM SREDSTVIMA KOJE IMA STEČAJNI DUŽNIK KOD BANKE</w:t>
      </w:r>
    </w:p>
    <w:p w:rsidRDefault="00B578A7" w:rsidR="006B5263">
      <w:pPr>
        <w:spacing w:lineRule="atLeast" w:line="100"/>
        <w:jc w:val="both"/>
        <w:rPr>
          <w:rFonts w:cs="Calibri" w:eastAsia="Calibri"/>
        </w:rPr>
      </w:pPr>
      <w:r>
        <w:rPr>
          <w:rFonts w:hAnsi="Times New Roman" w:ascii="Times New Roman"/>
          <w:b/>
          <w:sz w:val="24"/>
        </w:rPr>
        <w:t xml:space="preserve">PRISPJELA NAKON PRAVOMOĆNOG ZAKLJUČENJA STEČAJNOG POSTUPKA </w:t>
      </w:r>
      <w:r w:rsidR="000943E3">
        <w:rPr>
          <w:rFonts w:hAnsi="Times New Roman" w:ascii="Times New Roman"/>
          <w:b/>
          <w:sz w:val="24"/>
        </w:rPr>
        <w:t xml:space="preserve">  </w:t>
      </w:r>
    </w:p>
    <w:p w:rsidRDefault="006B5263" w:rsidR="006B5263">
      <w:pPr>
        <w:spacing w:lineRule="atLeast" w:line="100"/>
        <w:jc w:val="both"/>
        <w:rPr>
          <w:rFonts w:cs="Calibri" w:eastAsia="Calibri"/>
        </w:rPr>
      </w:pPr>
    </w:p>
    <w:p w:rsidRDefault="006B5263" w:rsidR="006B5263">
      <w:pPr>
        <w:spacing w:lineRule="atLeast" w:line="100"/>
        <w:jc w:val="both"/>
        <w:rPr>
          <w:rFonts w:cs="Calibri" w:eastAsia="Calibri"/>
        </w:rPr>
      </w:pPr>
      <w:r>
        <w:rPr>
          <w:rFonts w:hAnsi="Times New Roman" w:ascii="Times New Roman"/>
          <w:b/>
          <w:sz w:val="24"/>
        </w:rPr>
        <w:t>PODACI O DUŽNIK</w:t>
      </w:r>
      <w:r w:rsidR="000943E3">
        <w:rPr>
          <w:rFonts w:hAnsi="Times New Roman" w:ascii="Times New Roman"/>
          <w:b/>
          <w:sz w:val="24"/>
        </w:rPr>
        <w:t>U</w:t>
      </w:r>
    </w:p>
    <w:p w:rsidRDefault="006B5263" w:rsidR="006B5263">
      <w:pPr>
        <w:spacing w:lineRule="atLeast" w:line="100"/>
        <w:jc w:val="both"/>
        <w:rPr>
          <w:rFonts w:cs="Calibri" w:eastAsia="Calibri"/>
        </w:rPr>
      </w:pPr>
    </w:p>
    <w:p w:rsidRDefault="006B5263" w:rsidR="006B5263">
      <w:pPr>
        <w:spacing w:lineRule="atLeast" w:line="100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Ime i prezime /naziv: BRADIĆ  d.o.o. za ugostiteljstvo i trgovinu</w:t>
      </w:r>
    </w:p>
    <w:p w:rsidRDefault="006B5263" w:rsidR="006B5263">
      <w:pPr>
        <w:spacing w:lineRule="atLeast" w:line="100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OIB:  86340707061,   MBS: 080041732,</w:t>
      </w:r>
    </w:p>
    <w:p w:rsidRDefault="006B5263" w:rsidR="006B5263">
      <w:pPr>
        <w:spacing w:lineRule="atLeast" w:line="100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Adresa/sjedište: Zagreb, Dubrava(općina Dubrava), štrossmayerova 20,   </w:t>
      </w:r>
    </w:p>
    <w:p w:rsidRDefault="006B5263" w:rsidR="006B5263">
      <w:pPr>
        <w:spacing w:lineRule="atLeast" w:line="100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Ime i prezime privremenog stečajnog upravitelja: Biserka Jakić, odvjetnica, Zagreb, M Haberlea 10.</w:t>
      </w:r>
    </w:p>
    <w:p w:rsidRDefault="00B578A7" w:rsidR="00B578A7">
      <w:pPr>
        <w:spacing w:lineRule="atLeast" w:line="100"/>
        <w:jc w:val="both"/>
        <w:rPr>
          <w:rFonts w:hAnsi="Times New Roman" w:ascii="Times New Roman"/>
          <w:sz w:val="24"/>
        </w:rPr>
      </w:pPr>
    </w:p>
    <w:p w:rsidRDefault="00B578A7" w:rsidR="00B578A7">
      <w:pPr>
        <w:spacing w:lineRule="atLeast" w:line="100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Stečajni postupak nad stečajnim dužnikom  otvoren je  i istovremeno zaključen dana 16.siječnja 2018.g. jer stečajni dužnik nije imao nikakvih sredstava ni za namirenje troškova  stečajnog postupka.</w:t>
      </w:r>
    </w:p>
    <w:p w:rsidRDefault="00B578A7" w:rsidR="00B578A7">
      <w:pPr>
        <w:spacing w:lineRule="atLeast" w:line="100"/>
        <w:jc w:val="both"/>
        <w:rPr>
          <w:rFonts w:hAnsi="Times New Roman" w:ascii="Times New Roman"/>
          <w:sz w:val="24"/>
        </w:rPr>
      </w:pPr>
    </w:p>
    <w:p w:rsidRDefault="00B578A7" w:rsidR="00B578A7">
      <w:pPr>
        <w:spacing w:lineRule="atLeast" w:line="100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Rješenje o otvaranju i zaključenju stečajnog postupka postalo je pravomoćno dana 02.02.2018.g. te je dana 22.02.2018.g. registarski sud donio je rješenje o upisu zaključenja stečajnog postupka u sudski registar.</w:t>
      </w:r>
    </w:p>
    <w:p w:rsidRDefault="00B578A7" w:rsidR="00B578A7">
      <w:pPr>
        <w:spacing w:lineRule="atLeast" w:line="100"/>
        <w:jc w:val="both"/>
        <w:rPr>
          <w:rFonts w:hAnsi="Times New Roman" w:ascii="Times New Roman"/>
          <w:sz w:val="24"/>
        </w:rPr>
      </w:pPr>
    </w:p>
    <w:p w:rsidRDefault="00B578A7" w:rsidR="00B578A7">
      <w:pPr>
        <w:spacing w:lineRule="atLeast" w:line="100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Obavještavam stečajnu sutkinju da je nakon  pravomoćnosti rješenja o otvaranju i zaključenju stečajnog postupka  od FINA-e prispjela obavijest  da  je po po zaključenju stečajnog postupka  prestala izvršavati obveze  za plačanje evidentirane u Očevidniku o redoslijedu osnove za plačanje.</w:t>
      </w:r>
    </w:p>
    <w:p w:rsidRDefault="00B578A7" w:rsidR="00B578A7">
      <w:pPr>
        <w:spacing w:lineRule="atLeast" w:line="100"/>
        <w:jc w:val="both"/>
        <w:rPr>
          <w:rFonts w:hAnsi="Times New Roman" w:ascii="Times New Roman"/>
          <w:sz w:val="24"/>
        </w:rPr>
      </w:pPr>
    </w:p>
    <w:p w:rsidRDefault="00B578A7" w:rsidR="00B578A7">
      <w:pPr>
        <w:spacing w:lineRule="atLeast" w:line="100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Stoga na računu kod Banke stečajni  dužnik ima  sredstava i to:</w:t>
      </w:r>
    </w:p>
    <w:p w:rsidRDefault="00B578A7" w:rsidR="00B578A7">
      <w:pPr>
        <w:spacing w:lineRule="atLeast" w:line="100"/>
        <w:jc w:val="both"/>
        <w:rPr>
          <w:rFonts w:hAnsi="Times New Roman" w:ascii="Times New Roman"/>
          <w:sz w:val="24"/>
        </w:rPr>
      </w:pPr>
    </w:p>
    <w:p w:rsidRDefault="005F32E1" w:rsidR="00B578A7">
      <w:pPr>
        <w:spacing w:lineRule="atLeast" w:line="100"/>
        <w:jc w:val="both"/>
        <w:rPr>
          <w:rFonts w:cs="Calibri" w:eastAsia="Calibri"/>
        </w:rPr>
      </w:pPr>
      <w:r>
        <w:rPr>
          <w:rFonts w:hAnsi="Times New Roman" w:ascii="Times New Roman"/>
          <w:sz w:val="24"/>
        </w:rPr>
        <w:t>-p</w:t>
      </w:r>
      <w:r w:rsidR="00B578A7">
        <w:rPr>
          <w:rFonts w:hAnsi="Times New Roman" w:ascii="Times New Roman"/>
          <w:sz w:val="24"/>
        </w:rPr>
        <w:t>o rješenju UP/I-116-01</w:t>
      </w:r>
      <w:r>
        <w:rPr>
          <w:rFonts w:hAnsi="Times New Roman" w:ascii="Times New Roman"/>
          <w:sz w:val="24"/>
        </w:rPr>
        <w:t xml:space="preserve">/15-04/166  u iznosu od 5.757,96 kn </w:t>
      </w:r>
    </w:p>
    <w:p w:rsidRDefault="005F32E1" w:rsidP="005F32E1" w:rsidR="005F32E1">
      <w:pPr>
        <w:spacing w:lineRule="atLeast" w:line="100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-po rješenju UP/I-116-01/15-04/187  u iznosu od 6.059,10 kn </w:t>
      </w:r>
    </w:p>
    <w:p w:rsidRDefault="005F32E1" w:rsidP="005F32E1" w:rsidR="005F32E1">
      <w:pPr>
        <w:spacing w:lineRule="atLeast" w:line="100"/>
        <w:jc w:val="both"/>
        <w:rPr>
          <w:rFonts w:hAnsi="Times New Roman" w:ascii="Times New Roman"/>
          <w:sz w:val="24"/>
        </w:rPr>
      </w:pPr>
    </w:p>
    <w:p w:rsidRDefault="005F32E1" w:rsidP="005F32E1" w:rsidR="005F32E1">
      <w:pPr>
        <w:spacing w:lineRule="atLeast" w:line="100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a što ukupno iznosi 11.817,06 kn. </w:t>
      </w:r>
    </w:p>
    <w:p w:rsidRDefault="005F32E1" w:rsidP="005F32E1" w:rsidR="005F32E1">
      <w:pPr>
        <w:spacing w:lineRule="atLeast" w:line="100"/>
        <w:jc w:val="both"/>
        <w:rPr>
          <w:rFonts w:hAnsi="Times New Roman" w:ascii="Times New Roman"/>
          <w:sz w:val="24"/>
        </w:rPr>
      </w:pPr>
    </w:p>
    <w:p w:rsidRDefault="005F32E1" w:rsidP="005F32E1" w:rsidR="005F32E1">
      <w:pPr>
        <w:spacing w:lineRule="atLeast" w:line="100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Zbog iznesenog  predlažem da stečajna sutkinja donese rješenje kojim nalaže FINA-i da navedena sredstva uplati na depozit TRGOVAČKOG SUDA U ZAGREBU u ime i za račun ovdje stečajnog dužnika.</w:t>
      </w:r>
    </w:p>
    <w:p w:rsidRDefault="005F32E1" w:rsidP="005F32E1" w:rsidR="005F32E1">
      <w:pPr>
        <w:spacing w:lineRule="atLeast" w:line="100"/>
        <w:jc w:val="both"/>
        <w:rPr>
          <w:rFonts w:hAnsi="Times New Roman" w:ascii="Times New Roman"/>
          <w:sz w:val="24"/>
        </w:rPr>
      </w:pPr>
    </w:p>
    <w:p w:rsidRDefault="005F32E1" w:rsidP="005F32E1" w:rsidR="005F32E1">
      <w:pPr>
        <w:spacing w:lineRule="atLeast" w:line="100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Nakon što sredstva prispiju na depozitni račun TS Zgb  potrebno  je upisati stečajnu masu u sudski registar  sa OIB-om  te otvoriti žiro račun kod poslovne Banke i sredstva  sa sdepozita prebaciti na taj žiro račun stečajnog dužnika. Iz navedenih sredstava potrebno je djelomično namiriti nastale troškove stečajnog postupka koji se odnose na privremenu stečajnu upraviteljicu i knjigovodstvene troškove  i to u navedenom iznosu.</w:t>
      </w:r>
    </w:p>
    <w:p w:rsidRDefault="005F32E1" w:rsidP="005F32E1" w:rsidR="005F32E1">
      <w:pPr>
        <w:spacing w:lineRule="atLeast" w:line="100"/>
        <w:jc w:val="both"/>
        <w:rPr>
          <w:rFonts w:hAnsi="Times New Roman" w:ascii="Times New Roman"/>
          <w:sz w:val="24"/>
        </w:rPr>
      </w:pPr>
    </w:p>
    <w:p w:rsidRDefault="005F32E1" w:rsidP="005F32E1" w:rsidR="005F32E1">
      <w:pPr>
        <w:spacing w:lineRule="atLeast" w:line="100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Nakon toga potrebno je  brisati upis stečajne mase iz sudskog registra.</w:t>
      </w:r>
    </w:p>
    <w:p w:rsidRDefault="005F32E1" w:rsidP="005F32E1" w:rsidR="005F32E1">
      <w:pPr>
        <w:spacing w:lineRule="atLeast" w:line="100"/>
        <w:jc w:val="both"/>
        <w:rPr>
          <w:rFonts w:hAnsi="Times New Roman" w:ascii="Times New Roman"/>
          <w:sz w:val="24"/>
        </w:rPr>
      </w:pPr>
    </w:p>
    <w:p w:rsidRDefault="005F32E1" w:rsidP="005F32E1" w:rsidR="005F32E1">
      <w:pPr>
        <w:spacing w:lineRule="atLeast" w:line="100"/>
        <w:jc w:val="both"/>
        <w:rPr>
          <w:rFonts w:cs="Calibri" w:eastAsia="Calibri"/>
        </w:rPr>
      </w:pPr>
      <w:r>
        <w:rPr>
          <w:rFonts w:hAnsi="Times New Roman" w:ascii="Times New Roman"/>
          <w:sz w:val="24"/>
        </w:rPr>
        <w:t xml:space="preserve">U privitku dostavljam obavijest FINA-e  s rješenjima o sredstvima koja su zapljenjena u korist stečajnog dužnika  </w:t>
      </w:r>
    </w:p>
    <w:p w:rsidRDefault="006B5263" w:rsidR="006B5263">
      <w:pPr>
        <w:spacing w:lineRule="atLeast" w:line="100"/>
        <w:jc w:val="both"/>
        <w:rPr>
          <w:rFonts w:cs="Calibri" w:eastAsia="Calibri"/>
        </w:rPr>
      </w:pPr>
    </w:p>
    <w:p w:rsidRDefault="00705BB4" w:rsidP="00705BB4" w:rsidR="00705BB4" w:rsidRPr="003F37F1">
      <w:pPr>
        <w:jc w:val="right"/>
      </w:pPr>
      <w:r w:rsidRPr="003F37F1">
        <w:t xml:space="preserve">Stečajna upraviteljica </w:t>
      </w:r>
    </w:p>
    <w:p w:rsidRDefault="00705BB4" w:rsidP="005A63CA" w:rsidR="006B5263" w:rsidRPr="005A63CA">
      <w:pPr>
        <w:jc w:val="right"/>
      </w:pPr>
      <w:r w:rsidRPr="008D159B">
        <w:t>Odvj. Biserka Jakić</w:t>
      </w:r>
    </w:p>
    <w:sectPr w:rsidR="006B5263" w:rsidRPr="005A63CA">
      <w:pgSz w:h="16838" w:w="11906"/>
      <w:pgMar w:gutter="0" w:footer="720" w:header="720" w:left="1134" w:bottom="1134" w:right="1134" w:top="1134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lvl w:ilvl="0">
      <w:start w:val="1"/>
      <w:numFmt w:val="bullet"/>
      <w:lvlText w:val="•"/>
      <w:lvlJc w:val="left"/>
      <w:pPr>
        <w:tabs>
          <w:tab w:pos="360" w:val="num"/>
        </w:tabs>
        <w:ind w:hanging="360" w:left="360"/>
      </w:pPr>
      <w:rPr>
        <w:rFonts w:hAnsi="Symbol" w:ascii="Symbol"/>
      </w:rPr>
    </w:lvl>
    <w:lvl w:ilvl="1">
      <w:start w:val="1"/>
      <w:numFmt w:val="decimal"/>
      <w:lvlText w:val="%2."/>
      <w:lvlJc w:val="left"/>
      <w:pPr>
        <w:tabs>
          <w:tab w:pos="1080" w:val="num"/>
        </w:tabs>
        <w:ind w:hanging="360" w:left="1080"/>
      </w:pPr>
    </w:lvl>
    <w:lvl w:ilvl="2">
      <w:start w:val="1"/>
      <w:numFmt w:val="decimal"/>
      <w:lvlText w:val="%3."/>
      <w:lvlJc w:val="left"/>
      <w:pPr>
        <w:tabs>
          <w:tab w:pos="1440" w:val="num"/>
        </w:tabs>
        <w:ind w:hanging="360" w:left="1440"/>
      </w:pPr>
    </w:lvl>
    <w:lvl w:ilvl="3">
      <w:start w:val="1"/>
      <w:numFmt w:val="decimal"/>
      <w:lvlText w:val="%4."/>
      <w:lvlJc w:val="left"/>
      <w:pPr>
        <w:tabs>
          <w:tab w:pos="1800" w:val="num"/>
        </w:tabs>
        <w:ind w:hanging="360" w:left="1800"/>
      </w:pPr>
    </w:lvl>
    <w:lvl w:ilvl="4">
      <w:start w:val="1"/>
      <w:numFmt w:val="decimal"/>
      <w:lvlText w:val="%5."/>
      <w:lvlJc w:val="left"/>
      <w:pPr>
        <w:tabs>
          <w:tab w:pos="2160" w:val="num"/>
        </w:tabs>
        <w:ind w:hanging="360" w:left="2160"/>
      </w:pPr>
    </w:lvl>
    <w:lvl w:ilvl="5">
      <w:start w:val="1"/>
      <w:numFmt w:val="decimal"/>
      <w:lvlText w:val="%6."/>
      <w:lvlJc w:val="left"/>
      <w:pPr>
        <w:tabs>
          <w:tab w:pos="2520" w:val="num"/>
        </w:tabs>
        <w:ind w:hanging="360" w:left="2520"/>
      </w:pPr>
    </w:lvl>
    <w:lvl w:ilvl="6">
      <w:start w:val="1"/>
      <w:numFmt w:val="decimal"/>
      <w:lvlText w:val="%7."/>
      <w:lvlJc w:val="left"/>
      <w:pPr>
        <w:tabs>
          <w:tab w:pos="2880" w:val="num"/>
        </w:tabs>
        <w:ind w:hanging="360" w:left="2880"/>
      </w:pPr>
    </w:lvl>
    <w:lvl w:ilvl="7">
      <w:start w:val="1"/>
      <w:numFmt w:val="decimal"/>
      <w:lvlText w:val="%8."/>
      <w:lvlJc w:val="left"/>
      <w:pPr>
        <w:tabs>
          <w:tab w:pos="3240" w:val="num"/>
        </w:tabs>
        <w:ind w:hanging="360" w:left="3240"/>
      </w:pPr>
    </w:lvl>
    <w:lvl w:ilvl="8">
      <w:start w:val="1"/>
      <w:numFmt w:val="decimal"/>
      <w:lvlText w:val="%9."/>
      <w:lvlJc w:val="left"/>
      <w:pPr>
        <w:tabs>
          <w:tab w:pos="3600" w:val="num"/>
        </w:tabs>
        <w:ind w:hanging="360" w:left="3600"/>
      </w:pPr>
    </w:lvl>
  </w:abstractNum>
  <w:abstractNum w:abstractNumId="1">
    <w:nsid w:val="00000002"/>
    <w:multiLevelType w:val="multilevel"/>
    <w:tmpl w:val="00000002"/>
    <w:lvl w:ilvl="0">
      <w:start w:val="1"/>
      <w:numFmt w:val="bullet"/>
      <w:lvlText w:val="•"/>
      <w:lvlJc w:val="left"/>
      <w:pPr>
        <w:tabs>
          <w:tab w:pos="360" w:val="num"/>
        </w:tabs>
        <w:ind w:hanging="360" w:left="360"/>
      </w:pPr>
      <w:rPr>
        <w:rFonts w:hAnsi="Symbol" w:ascii="Symbol"/>
      </w:rPr>
    </w:lvl>
    <w:lvl w:ilvl="1">
      <w:start w:val="1"/>
      <w:numFmt w:val="decimal"/>
      <w:lvlText w:val="%2."/>
      <w:lvlJc w:val="left"/>
      <w:pPr>
        <w:tabs>
          <w:tab w:pos="1080" w:val="num"/>
        </w:tabs>
        <w:ind w:hanging="360" w:left="1080"/>
      </w:pPr>
    </w:lvl>
    <w:lvl w:ilvl="2">
      <w:start w:val="1"/>
      <w:numFmt w:val="decimal"/>
      <w:lvlText w:val="%3."/>
      <w:lvlJc w:val="left"/>
      <w:pPr>
        <w:tabs>
          <w:tab w:pos="1440" w:val="num"/>
        </w:tabs>
        <w:ind w:hanging="360" w:left="1440"/>
      </w:pPr>
    </w:lvl>
    <w:lvl w:ilvl="3">
      <w:start w:val="1"/>
      <w:numFmt w:val="decimal"/>
      <w:lvlText w:val="%4."/>
      <w:lvlJc w:val="left"/>
      <w:pPr>
        <w:tabs>
          <w:tab w:pos="1800" w:val="num"/>
        </w:tabs>
        <w:ind w:hanging="360" w:left="1800"/>
      </w:pPr>
    </w:lvl>
    <w:lvl w:ilvl="4">
      <w:start w:val="1"/>
      <w:numFmt w:val="decimal"/>
      <w:lvlText w:val="%5."/>
      <w:lvlJc w:val="left"/>
      <w:pPr>
        <w:tabs>
          <w:tab w:pos="2160" w:val="num"/>
        </w:tabs>
        <w:ind w:hanging="360" w:left="2160"/>
      </w:pPr>
    </w:lvl>
    <w:lvl w:ilvl="5">
      <w:start w:val="1"/>
      <w:numFmt w:val="decimal"/>
      <w:lvlText w:val="%6."/>
      <w:lvlJc w:val="left"/>
      <w:pPr>
        <w:tabs>
          <w:tab w:pos="2520" w:val="num"/>
        </w:tabs>
        <w:ind w:hanging="360" w:left="2520"/>
      </w:pPr>
    </w:lvl>
    <w:lvl w:ilvl="6">
      <w:start w:val="1"/>
      <w:numFmt w:val="decimal"/>
      <w:lvlText w:val="%7."/>
      <w:lvlJc w:val="left"/>
      <w:pPr>
        <w:tabs>
          <w:tab w:pos="2880" w:val="num"/>
        </w:tabs>
        <w:ind w:hanging="360" w:left="2880"/>
      </w:pPr>
    </w:lvl>
    <w:lvl w:ilvl="7">
      <w:start w:val="1"/>
      <w:numFmt w:val="decimal"/>
      <w:lvlText w:val="%8."/>
      <w:lvlJc w:val="left"/>
      <w:pPr>
        <w:tabs>
          <w:tab w:pos="3240" w:val="num"/>
        </w:tabs>
        <w:ind w:hanging="360" w:left="3240"/>
      </w:pPr>
    </w:lvl>
    <w:lvl w:ilvl="8">
      <w:start w:val="1"/>
      <w:numFmt w:val="decimal"/>
      <w:lvlText w:val="%9."/>
      <w:lvlJc w:val="left"/>
      <w:pPr>
        <w:tabs>
          <w:tab w:pos="3600" w:val="num"/>
        </w:tabs>
        <w:ind w:hanging="360" w:left="3600"/>
      </w:pPr>
    </w:lvl>
  </w:abstractNum>
  <w:abstractNum w:abstractNumId="2">
    <w:nsid w:val="00000003"/>
    <w:multiLevelType w:val="multilevel"/>
    <w:tmpl w:val="00000003"/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embedSystemFonts/>
  <w:attachedTemplate r:id="rId1"/>
  <w:stylePaneFormatFilter w:val="0000"/>
  <w:defaultTabStop w:val="1134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A4737"/>
    <w:rsid w:val="000211AB"/>
    <w:rsid w:val="000943E3"/>
    <w:rsid w:val="001E61B6"/>
    <w:rsid w:val="003A4737"/>
    <w:rsid w:val="005A63CA"/>
    <w:rsid w:val="005F32E1"/>
    <w:rsid w:val="006B5263"/>
    <w:rsid w:val="00705BB4"/>
    <w:rsid w:val="00B578A7"/>
    <w:rsid w:val="00DC4567"/>
    <w:rsid w:val="00FC3A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widowControl w:val="false"/>
      <w:suppressAutoHyphens/>
    </w:pPr>
    <w:rPr>
      <w:rFonts w:hAnsi="Calibri" w:ascii="Calibri"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5A63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A63CA"/>
    <w:rPr>
      <w:rFonts w:cs="Times New Roman" w:eastAsia="Calibri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A63CA"/>
    <w:rPr>
      <w:rFonts w:cs="Calibri" w:eastAsia="Calibri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A63CA"/>
    <w:rPr>
      <w:rFonts w:cs="Calibri" w:eastAsia="Calibri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A63CA"/>
    <w:rPr>
      <w:rFonts w:cs="Calibri" w:eastAsia="Calibri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widowControl w:val="0"/>
      <w:suppressAutoHyphens/>
    </w:pPr>
    <w:rPr>
      <w:rFonts w:ascii="Calibri" w:hAnsi="Calibri"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5A63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A63CA"/>
    <w:rPr>
      <w:rFonts w:ascii="Times New Roman" w:cs="Times New Roman" w:eastAsia="Calibri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A63CA"/>
    <w:rPr>
      <w:rFonts w:cs="Calibri" w:eastAsia="Calibri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A63CA"/>
    <w:rPr>
      <w:rFonts w:ascii="Times New Roman" w:cs="Calibri" w:eastAsia="Calibri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A63CA"/>
    <w:rPr>
      <w:rFonts w:ascii="Times New Roman" w:cs="Calibri" w:eastAsia="Calibri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Biserkaa Jakić, odvjetnica</properties:Company>
  <properties:Pages>1</properties:Pages>
  <properties:Words>311</properties:Words>
  <properties:Characters>1900</properties:Characters>
  <properties:Lines>53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TRGOVAČKI SUD U ZAGREBU </vt:lpstr>
    </vt:vector>
  </properties:TitlesOfParts>
  <properties:LinksUpToDate>false</properties:LinksUpToDate>
  <properties:CharactersWithSpaces>2228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2018-03-22T11:50:00Z</dcterms:created>
  <dc:creator>Biserka Jakić</dc:creator>
  <cp:lastModifiedBy>Katarina Drndelić</cp:lastModifiedBy>
  <cp:lastPrinted>1900-12-31T23:00:00Z</cp:lastPrinted>
  <dcterms:modified xmlns:xsi="http://www.w3.org/2001/XMLSchema-instance" xsi:type="dcterms:W3CDTF">2018-03-22T11:51:00Z</dcterms:modified>
  <cp:revision>3</cp:revision>
  <dc:title>TRGOVAČKI SUD U ZAGREBU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St-4044/2016-49 / Podnesak - Izvješće stečajnog upravitelja (BBRADIĆ d.o.o. Izvj. o sred. na računu st.duž.21.03 18_.docx)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