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559ee" w14:paraId="d3559ee" w:rsidRDefault="00011D56" w:rsidR="00131E95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11D56" w:rsidP="001E1B70" w:rsidR="00011D56" w:rsidRPr="00B942EC">
      <w:pPr>
        <w:rPr>
          <w:szCs w:val="24"/>
        </w:rPr>
      </w:pPr>
      <w:r>
        <w:rPr>
          <w:szCs w:val="24"/>
        </w:rPr>
        <w:t xml:space="preserve">     </w:t>
      </w:r>
      <w:r w:rsidRPr="00B942EC">
        <w:rPr>
          <w:szCs w:val="24"/>
        </w:rPr>
        <w:t>REPUBLIKA HRVATSKA</w:t>
      </w:r>
    </w:p>
    <w:p w:rsidRDefault="00011D56" w:rsidP="001E1B70" w:rsidR="00011D56" w:rsidRPr="00B942EC">
      <w:pPr>
        <w:rPr>
          <w:szCs w:val="24"/>
        </w:rPr>
      </w:pPr>
      <w:r w:rsidRPr="00B942EC">
        <w:rPr>
          <w:szCs w:val="24"/>
        </w:rPr>
        <w:t>TRGOVAČKI SUD U ZAGREBU</w:t>
      </w:r>
    </w:p>
    <w:p w:rsidRDefault="00011D56" w:rsidR="00011D56">
      <w:pPr>
        <w:rPr>
          <w:rFonts w:cs="Times New Roman"/>
          <w:szCs w:val="24"/>
        </w:rPr>
      </w:pPr>
      <w:r w:rsidRPr="00B942EC">
        <w:rPr>
          <w:rFonts w:cs="Times New Roman"/>
          <w:szCs w:val="24"/>
        </w:rPr>
        <w:t xml:space="preserve">     </w:t>
      </w:r>
      <w:r>
        <w:rPr>
          <w:rFonts w:cs="Times New Roman"/>
          <w:szCs w:val="24"/>
        </w:rPr>
        <w:t xml:space="preserve"> </w:t>
      </w:r>
      <w:r w:rsidRPr="00B942EC">
        <w:rPr>
          <w:rFonts w:cs="Times New Roman"/>
          <w:szCs w:val="24"/>
        </w:rPr>
        <w:t xml:space="preserve">   Zagreb, Amruševa 2/II.</w:t>
      </w:r>
    </w:p>
    <w:p w:rsidRDefault="00011D56" w:rsidR="00011D56">
      <w:pPr>
        <w:rPr>
          <w:rFonts w:cs="Times New Roman"/>
          <w:szCs w:val="24"/>
        </w:rPr>
      </w:pPr>
    </w:p>
    <w:p w:rsidRDefault="00011D56" w:rsidP="00011D56" w:rsidR="00011D56">
      <w:pPr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>Poslovni broj: 21. St-5627/15-10</w:t>
      </w:r>
    </w:p>
    <w:p w:rsidRDefault="00011D56" w:rsidP="00011D56" w:rsidR="00011D56">
      <w:pPr>
        <w:jc w:val="right"/>
        <w:rPr>
          <w:rFonts w:cs="Times New Roman"/>
          <w:szCs w:val="24"/>
        </w:rPr>
      </w:pPr>
    </w:p>
    <w:p w:rsidRDefault="00011D56" w:rsidP="00011D56" w:rsidR="00011D56">
      <w:pPr>
        <w:jc w:val="right"/>
        <w:rPr>
          <w:rFonts w:cs="Times New Roman"/>
          <w:szCs w:val="24"/>
        </w:rPr>
      </w:pPr>
    </w:p>
    <w:p w:rsidRDefault="00011D56" w:rsidP="00011D56" w:rsidR="00011D56">
      <w:pPr>
        <w:jc w:val="right"/>
        <w:rPr>
          <w:rFonts w:cs="Times New Roman"/>
          <w:szCs w:val="24"/>
        </w:rPr>
      </w:pPr>
    </w:p>
    <w:p w:rsidRDefault="00011D56" w:rsidP="00011D56" w:rsidR="00011D56">
      <w:pPr>
        <w:jc w:val="right"/>
        <w:rPr>
          <w:rFonts w:cs="Times New Roman"/>
          <w:szCs w:val="24"/>
        </w:rPr>
      </w:pPr>
    </w:p>
    <w:p w:rsidRDefault="00011D56" w:rsidP="00011D56" w:rsidR="00011D56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U   I M E   R E P U B L I K E   H R V A T S K E</w:t>
      </w:r>
    </w:p>
    <w:p w:rsidRDefault="00011D56" w:rsidP="00011D56" w:rsidR="00011D56">
      <w:pPr>
        <w:jc w:val="center"/>
        <w:rPr>
          <w:rFonts w:cs="Times New Roman"/>
          <w:szCs w:val="24"/>
        </w:rPr>
      </w:pPr>
    </w:p>
    <w:p w:rsidRDefault="00011D56" w:rsidP="00011D56" w:rsidR="00011D56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R J E Š E N J E</w:t>
      </w:r>
    </w:p>
    <w:p w:rsidRDefault="00011D56" w:rsidP="00011D56" w:rsidR="00011D56">
      <w:pPr>
        <w:jc w:val="center"/>
        <w:rPr>
          <w:rFonts w:cs="Times New Roman"/>
          <w:szCs w:val="24"/>
        </w:rPr>
      </w:pPr>
    </w:p>
    <w:p w:rsidRDefault="00011D56" w:rsidP="00205946" w:rsidR="00205946">
      <w:pPr>
        <w:jc w:val="both"/>
      </w:pPr>
      <w:r>
        <w:rPr>
          <w:rFonts w:cs="Times New Roman"/>
          <w:szCs w:val="24"/>
        </w:rPr>
        <w:tab/>
      </w:r>
      <w:r w:rsidR="00205946">
        <w:t xml:space="preserve">Trgovački sud u Zagrebu, po sutkinji Ivani Manestar, u stečajnom predmetu povodom zahtjeva FINANCIJSKE AGENCIJE, Zagreb, Trg svibanjskih žrtava 1995. 1, za provedbu skraćenog stečajnog postupka nad dužnikom </w:t>
      </w:r>
      <w:r w:rsidR="005710D5">
        <w:t>AEQUUS NEKRETNINE d.o.o., Sesvete, Primorska 5, OIB: 06995717336, dana 1</w:t>
      </w:r>
      <w:r w:rsidR="00F746F0">
        <w:t>3</w:t>
      </w:r>
      <w:r w:rsidR="005710D5">
        <w:t>. srpnja 2018</w:t>
      </w:r>
      <w:r w:rsidR="00205946">
        <w:t>.</w:t>
      </w:r>
    </w:p>
    <w:p w:rsidRDefault="008E13B8" w:rsidP="00205946" w:rsidR="008E13B8">
      <w:pPr>
        <w:jc w:val="both"/>
      </w:pPr>
    </w:p>
    <w:p w:rsidRDefault="008E13B8" w:rsidP="00205946" w:rsidR="008E13B8">
      <w:pPr>
        <w:jc w:val="both"/>
      </w:pPr>
    </w:p>
    <w:p w:rsidRDefault="008E13B8" w:rsidP="008E13B8" w:rsidR="008E13B8">
      <w:pPr>
        <w:jc w:val="center"/>
      </w:pPr>
      <w:r>
        <w:t>r i j e š i o   j e</w:t>
      </w:r>
    </w:p>
    <w:p w:rsidRDefault="008E13B8" w:rsidP="008E13B8" w:rsidR="008E13B8">
      <w:pPr>
        <w:jc w:val="center"/>
      </w:pPr>
    </w:p>
    <w:p w:rsidRDefault="007A1144" w:rsidP="007A1144" w:rsidR="007A1144">
      <w:pPr>
        <w:jc w:val="both"/>
      </w:pPr>
      <w:r>
        <w:tab/>
        <w:t xml:space="preserve">Odbacuje se zahtjev Financijske agencije </w:t>
      </w:r>
      <w:r w:rsidR="00676C94">
        <w:t xml:space="preserve">od 5. studenog 2015., </w:t>
      </w:r>
      <w:r>
        <w:t>za provedbu skraćenog stečajnog postupka nad dužnikom AEQUUS NEKRETNINE d.o.o., kao nedopušten.</w:t>
      </w:r>
    </w:p>
    <w:p w:rsidRDefault="008E13B8" w:rsidP="008E13B8" w:rsidR="008E13B8">
      <w:pPr>
        <w:jc w:val="both"/>
      </w:pPr>
    </w:p>
    <w:p w:rsidRDefault="007A1144" w:rsidP="008E13B8" w:rsidR="007A1144">
      <w:pPr>
        <w:jc w:val="both"/>
      </w:pPr>
    </w:p>
    <w:p w:rsidRDefault="007A1144" w:rsidP="007A1144" w:rsidR="007A1144">
      <w:pPr>
        <w:jc w:val="center"/>
      </w:pPr>
      <w:r>
        <w:t>Obrazloženje</w:t>
      </w:r>
    </w:p>
    <w:p w:rsidRDefault="007A1144" w:rsidP="007A1144" w:rsidR="007A1144">
      <w:pPr>
        <w:jc w:val="center"/>
      </w:pPr>
    </w:p>
    <w:p w:rsidRDefault="007A1144" w:rsidP="007A1144" w:rsidR="007A1144">
      <w:pPr>
        <w:jc w:val="both"/>
      </w:pPr>
      <w:r>
        <w:tab/>
        <w:t>Temeljem odredbe čl. 444. st. 1. Stečajnog zakona (Narodne novine, broj: 71/2015., dalje u tekstu: SZ), dana 5. studenog 2015. Financijska agencija podnijela je ovom sudu zahtjev za provedbu skraćenog stečajnog postupka nad dužnikom AEQUUS NEKRETNINE d.o.o., Sesvete, Primorska 5, OIB: 06995717336.</w:t>
      </w:r>
    </w:p>
    <w:p w:rsidRDefault="007A1144" w:rsidP="007A1144" w:rsidR="007A1144">
      <w:pPr>
        <w:jc w:val="both"/>
      </w:pPr>
    </w:p>
    <w:p w:rsidRDefault="007A1144" w:rsidP="007A1144" w:rsidR="007A1144">
      <w:pPr>
        <w:jc w:val="both"/>
      </w:pPr>
      <w:r>
        <w:tab/>
        <w:t>U vrijeme podnošenja zahtjeva odredbom čl. 15. st. 2. SZ-a bilo je određeno da ako je pokrenut predstečajni postupak, tada do njegova završetka nije dopušteno pokretanje stečajnoga postupka (isti sadržaj navedena odredba ima i danas, samo je Zakonom o izmjenama i dopunama Stečajnog zakona /Narodne novine, broj: 104/2017./, u čl. 15. dodan st 3.).</w:t>
      </w:r>
    </w:p>
    <w:p w:rsidRDefault="007A1144" w:rsidP="007A1144" w:rsidR="007A1144">
      <w:pPr>
        <w:jc w:val="both"/>
      </w:pPr>
    </w:p>
    <w:p w:rsidRDefault="007A1144" w:rsidP="007A1144" w:rsidR="007A1144">
      <w:pPr>
        <w:jc w:val="both"/>
      </w:pPr>
      <w:r>
        <w:tab/>
        <w:t xml:space="preserve">U podnesku od 28. prosinca 2015. dužnik je obavijestio sud da je 31. kolovoza 2015. podnio Financijskoj agenciji zahtjev za otvaranje postupka predstečajne nagodbe (pojam postupak radi sklapanja predstečajne nagodbe iz </w:t>
      </w:r>
      <w:r w:rsidRPr="00447FCA">
        <w:rPr>
          <w:rFonts w:eastAsia="Calibri"/>
        </w:rPr>
        <w:t>Zakona o financijskom poslovanju i predstečajnoj nagodbi /</w:t>
      </w:r>
      <w:r w:rsidRPr="00447FCA">
        <w:rPr>
          <w:szCs w:val="24"/>
        </w:rPr>
        <w:t>Narodne novine, broj: 8/2012., 144/2012., 81/2013., 112/2013., dalje u tekstu: ZFPPN/</w:t>
      </w:r>
      <w:r>
        <w:rPr>
          <w:rFonts w:eastAsia="Calibri"/>
        </w:rPr>
        <w:t xml:space="preserve"> odgovara pojmu predstečajnog postupka iz SZ-a) te se poziva na citiranu odredbu čl. 15. st. 2. SZ-a.</w:t>
      </w:r>
    </w:p>
    <w:p w:rsidRDefault="00205946" w:rsidP="00205946" w:rsidR="00205946">
      <w:pPr>
        <w:jc w:val="both"/>
      </w:pPr>
    </w:p>
    <w:p w:rsidRDefault="007A1144" w:rsidP="00205946" w:rsidR="00914402">
      <w:pPr>
        <w:jc w:val="both"/>
      </w:pPr>
      <w:r>
        <w:lastRenderedPageBreak/>
        <w:tab/>
        <w:t>Pregledom javnih objava na mrežnoj stranici Financijske agencije utvrđeno je da su točni navodi dužnika da je 31. kolovoza 2015., putem preporu</w:t>
      </w:r>
      <w:r w:rsidR="00AF02AD">
        <w:t>čene poštanske pošiljke, podnio Financijskoj agenciji prije</w:t>
      </w:r>
      <w:r w:rsidR="00676C94">
        <w:t>dlog za otvaranje postupka</w:t>
      </w:r>
      <w:r w:rsidR="00AF02AD">
        <w:t xml:space="preserve"> predstečajne nagodbe, kojeg je Financijska agencija fizički z</w:t>
      </w:r>
      <w:r w:rsidR="00A35E41">
        <w:t>aprimila 1. rujna 2015.</w:t>
      </w:r>
    </w:p>
    <w:p w:rsidRDefault="00A35E41" w:rsidP="00205946" w:rsidR="00A35E41">
      <w:pPr>
        <w:jc w:val="both"/>
      </w:pPr>
    </w:p>
    <w:p w:rsidRDefault="00914402" w:rsidP="00914402" w:rsidR="00914402">
      <w:pPr>
        <w:jc w:val="both"/>
      </w:pPr>
      <w:r>
        <w:tab/>
        <w:t>Postupak predstečajne nagodbe pokreće se podnošenjem Financijskoj agenciji prijedloga za otvaranje postupka predstečajne nagodbe (arg. iz čl. 27. st. 2. i čl. 39. ZFPPN-a).</w:t>
      </w:r>
    </w:p>
    <w:p w:rsidRDefault="00914402" w:rsidP="00205946" w:rsidR="00914402">
      <w:pPr>
        <w:jc w:val="both"/>
      </w:pPr>
    </w:p>
    <w:p w:rsidRDefault="00914402" w:rsidP="00205946" w:rsidR="00914402">
      <w:pPr>
        <w:jc w:val="both"/>
      </w:pPr>
      <w:r>
        <w:tab/>
        <w:t>Kako je postupak predstečajne nagodbe pokrenut 31. kolovoza 2015., a SZ je stupio na snagu tek 1. rujna 2015.</w:t>
      </w:r>
      <w:r w:rsidR="00A35E41">
        <w:t xml:space="preserve">, tu su se na postupak predstečajne nagodbe imale primjenjivati odredbe ZFPPN-a, a ne SZ-a (čl. 442. st. 1. u vezi čl. </w:t>
      </w:r>
      <w:r w:rsidR="000D00B8">
        <w:t>446. SZ-a).</w:t>
      </w:r>
    </w:p>
    <w:p w:rsidRDefault="00AF02AD" w:rsidP="00205946" w:rsidR="00AF02AD" w:rsidRPr="00E542D6">
      <w:pPr>
        <w:jc w:val="both"/>
        <w:rPr>
          <w:rFonts w:cs="Times New Roman"/>
          <w:szCs w:val="24"/>
        </w:rPr>
      </w:pPr>
    </w:p>
    <w:p w:rsidRDefault="00AF02AD" w:rsidP="00E542D6" w:rsidR="00AF02AD" w:rsidRPr="00E542D6">
      <w:pPr>
        <w:autoSpaceDE w:val="false"/>
        <w:autoSpaceDN w:val="false"/>
        <w:adjustRightInd w:val="false"/>
        <w:jc w:val="both"/>
        <w:rPr>
          <w:rFonts w:cs="Times New Roman"/>
          <w:szCs w:val="24"/>
        </w:rPr>
      </w:pPr>
      <w:r w:rsidRPr="00E542D6">
        <w:rPr>
          <w:rFonts w:cs="Times New Roman"/>
          <w:szCs w:val="24"/>
        </w:rPr>
        <w:tab/>
        <w:t xml:space="preserve">Odredbom čl. </w:t>
      </w:r>
      <w:r w:rsidR="00E542D6" w:rsidRPr="00E542D6">
        <w:rPr>
          <w:rFonts w:cs="Times New Roman"/>
          <w:szCs w:val="24"/>
        </w:rPr>
        <w:t>39. st. 3</w:t>
      </w:r>
      <w:r w:rsidRPr="00E542D6">
        <w:rPr>
          <w:rFonts w:cs="Times New Roman"/>
          <w:szCs w:val="24"/>
        </w:rPr>
        <w:t xml:space="preserve">. ZFPPN-a bilo je određeno </w:t>
      </w:r>
      <w:r w:rsidR="00E542D6" w:rsidRPr="00E542D6">
        <w:rPr>
          <w:rFonts w:cs="Times New Roman"/>
          <w:szCs w:val="24"/>
        </w:rPr>
        <w:t xml:space="preserve">da do okončanja postupka </w:t>
      </w:r>
      <w:r w:rsidR="00E542D6">
        <w:rPr>
          <w:rFonts w:cs="Times New Roman"/>
          <w:szCs w:val="24"/>
        </w:rPr>
        <w:t>p</w:t>
      </w:r>
      <w:r w:rsidR="00E542D6" w:rsidRPr="00E542D6">
        <w:rPr>
          <w:rFonts w:cs="Times New Roman"/>
          <w:szCs w:val="24"/>
        </w:rPr>
        <w:t>redstečajne nagodbe nije dopušteno pokrenuti stečajni postupak</w:t>
      </w:r>
      <w:r w:rsidR="00E542D6">
        <w:rPr>
          <w:rFonts w:cs="Times New Roman"/>
          <w:szCs w:val="24"/>
        </w:rPr>
        <w:t>.</w:t>
      </w:r>
    </w:p>
    <w:p w:rsidRDefault="00AF02AD" w:rsidP="00205946" w:rsidR="00AF02AD">
      <w:pPr>
        <w:jc w:val="both"/>
      </w:pPr>
    </w:p>
    <w:p w:rsidRDefault="00AF02AD" w:rsidP="00205946" w:rsidR="00AF02AD">
      <w:pPr>
        <w:jc w:val="both"/>
      </w:pPr>
      <w:r>
        <w:tab/>
      </w:r>
      <w:r w:rsidR="00855484">
        <w:t>Stoga je zahtjev Financijske agencije za provedbu skraćenog stečajnog postupka nad dužnikom u trenutku njegova podnošenja, 5. studenog 2015., bio nedopušten</w:t>
      </w:r>
      <w:r w:rsidR="0013482B">
        <w:t>.</w:t>
      </w:r>
    </w:p>
    <w:p w:rsidRDefault="0013482B" w:rsidP="00205946" w:rsidR="0013482B">
      <w:pPr>
        <w:jc w:val="both"/>
      </w:pPr>
    </w:p>
    <w:p w:rsidRDefault="0013482B" w:rsidP="00205946" w:rsidR="0013482B">
      <w:pPr>
        <w:jc w:val="both"/>
      </w:pPr>
      <w:r>
        <w:tab/>
        <w:t xml:space="preserve">Pored toga, iz sudskog registra proizlazi da je rješenjem </w:t>
      </w:r>
      <w:r w:rsidRPr="0013482B">
        <w:t>Trgovačkog suda u Zagrebu</w:t>
      </w:r>
      <w:r>
        <w:t>, poslovni</w:t>
      </w:r>
      <w:r w:rsidRPr="0013482B">
        <w:t xml:space="preserve"> broj St-233/17 od 28. veljače 2017.</w:t>
      </w:r>
      <w:r>
        <w:t>,</w:t>
      </w:r>
      <w:r w:rsidRPr="0013482B">
        <w:t xml:space="preserve"> odobreno sklapanje predstečajne nagodbe između dužnika i vjerovnika predstečajne nagodbe</w:t>
      </w:r>
      <w:r>
        <w:t>, dok iz informacijskog sustava ov</w:t>
      </w:r>
      <w:r w:rsidR="00EC393B">
        <w:t>og suda, e-Spis, proizlazi da je</w:t>
      </w:r>
      <w:r>
        <w:t xml:space="preserve"> navedeno rješenje post</w:t>
      </w:r>
      <w:r w:rsidR="00154C4F">
        <w:t>alo p</w:t>
      </w:r>
      <w:r>
        <w:t xml:space="preserve">ravomoćno </w:t>
      </w:r>
      <w:r w:rsidR="00EC393B">
        <w:t>11. ožujka 2017.</w:t>
      </w:r>
    </w:p>
    <w:p w:rsidRDefault="00EC393B" w:rsidP="00205946" w:rsidR="00EC393B">
      <w:pPr>
        <w:jc w:val="both"/>
      </w:pPr>
    </w:p>
    <w:p w:rsidRDefault="00EC393B" w:rsidP="00205946" w:rsidR="009635D3">
      <w:pPr>
        <w:jc w:val="both"/>
      </w:pPr>
      <w:r>
        <w:tab/>
        <w:t xml:space="preserve">Proizlazi, dakle, </w:t>
      </w:r>
      <w:r w:rsidR="0010320E">
        <w:t xml:space="preserve">da </w:t>
      </w:r>
      <w:r w:rsidR="005E663D">
        <w:t xml:space="preserve">su sve neizvršene osnove za plaćanje koje su bile evidentirane u Očevidniku redoslijeda osnova za plaćanje na teret dužnika </w:t>
      </w:r>
      <w:r w:rsidR="0010320E">
        <w:t xml:space="preserve">u trenutku objave rješenja o otvaranju postupka predstečajne </w:t>
      </w:r>
      <w:r w:rsidR="00DA4885">
        <w:t>nagodbe, 1. srpnja 2016., trajno</w:t>
      </w:r>
      <w:r w:rsidR="0010320E">
        <w:t xml:space="preserve"> arhivirane (čl. 70. st. 4. i 8. ZFPPN-a)</w:t>
      </w:r>
      <w:r w:rsidR="00DA4885">
        <w:t>, a kako su te neizvršene osnove za plaćanje obuhvaćale neizvršene osnove za plaćanje u ukupnom iznosu od 15.005.341,12 kn</w:t>
      </w:r>
      <w:r w:rsidR="0026202F">
        <w:t xml:space="preserve"> koje su bile povod podnošenju zahtjeva za provedbu skraćenog stečajnog postupka, to proizlazi da u svakom slučaju više ne postoji nesposobnost za plaćanje </w:t>
      </w:r>
      <w:r w:rsidR="009635D3">
        <w:t>na koju je ukazivala Financijska agencija u ovom postupku.</w:t>
      </w:r>
    </w:p>
    <w:p w:rsidRDefault="009635D3" w:rsidP="00205946" w:rsidR="009635D3">
      <w:pPr>
        <w:jc w:val="both"/>
      </w:pPr>
    </w:p>
    <w:p w:rsidRDefault="009635D3" w:rsidP="00205946" w:rsidR="009635D3">
      <w:pPr>
        <w:jc w:val="both"/>
      </w:pPr>
      <w:r>
        <w:tab/>
        <w:t>U svakom slučaju, zahtjev za provedbu skraćenog stečajnog postupka bio je nedopušten u trenutku podnošenja pa je isti kao takav valjalo odbaciti.</w:t>
      </w:r>
    </w:p>
    <w:p w:rsidRDefault="009635D3" w:rsidP="00205946" w:rsidR="009635D3">
      <w:pPr>
        <w:jc w:val="both"/>
      </w:pPr>
    </w:p>
    <w:p w:rsidRDefault="009635D3" w:rsidP="009635D3" w:rsidR="00EC393B">
      <w:pPr>
        <w:jc w:val="center"/>
      </w:pPr>
      <w:r>
        <w:t>U Zagrebu 13. srpnja 2018.</w:t>
      </w:r>
    </w:p>
    <w:p w:rsidRDefault="009635D3" w:rsidP="009635D3" w:rsidR="009635D3">
      <w:pPr>
        <w:jc w:val="center"/>
      </w:pPr>
    </w:p>
    <w:p w:rsidRDefault="009635D3" w:rsidP="006F50F7" w:rsidR="009635D3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Sutkinja:</w:t>
      </w:r>
    </w:p>
    <w:p w:rsidRDefault="009635D3" w:rsidP="006F50F7" w:rsidR="009635D3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Ivana Manestar</w:t>
      </w:r>
    </w:p>
    <w:p w:rsidRDefault="009635D3" w:rsidP="006F50F7" w:rsidR="009635D3">
      <w:pPr>
        <w:jc w:val="right"/>
        <w:rPr>
          <w:rFonts w:eastAsia="Times New Roman"/>
          <w:szCs w:val="24"/>
        </w:rPr>
      </w:pPr>
    </w:p>
    <w:p w:rsidRDefault="009635D3" w:rsidP="006F50F7" w:rsidR="009635D3">
      <w:pPr>
        <w:jc w:val="right"/>
        <w:rPr>
          <w:rFonts w:eastAsia="Times New Roman"/>
          <w:szCs w:val="24"/>
        </w:rPr>
      </w:pPr>
    </w:p>
    <w:p w:rsidRDefault="009635D3" w:rsidP="009635D3" w:rsidR="009635D3" w:rsidRPr="009635D3">
      <w:pPr>
        <w:jc w:val="both"/>
        <w:rPr>
          <w:rFonts w:cs="Times New Roman" w:eastAsia="Times New Roman"/>
          <w:szCs w:val="24"/>
        </w:rPr>
      </w:pPr>
      <w:r w:rsidRPr="009635D3">
        <w:rPr>
          <w:rFonts w:cs="Times New Roman" w:eastAsia="Times New Roman"/>
          <w:szCs w:val="24"/>
        </w:rPr>
        <w:t>UPUTA O PRAVNOM LIJEKU:</w:t>
      </w:r>
    </w:p>
    <w:p w:rsidRDefault="009635D3" w:rsidP="009635D3" w:rsidR="009635D3" w:rsidRPr="009635D3">
      <w:pPr>
        <w:jc w:val="both"/>
        <w:rPr>
          <w:rFonts w:cs="Times New Roman" w:eastAsia="Times New Roman"/>
          <w:szCs w:val="24"/>
          <w:lang w:eastAsia="hr-HR"/>
        </w:rPr>
      </w:pPr>
      <w:r w:rsidRPr="009635D3">
        <w:rPr>
          <w:rFonts w:cs="Times New Roman" w:eastAsia="Times New Roman"/>
          <w:szCs w:val="24"/>
          <w:lang w:eastAsia="hr-HR"/>
        </w:rPr>
        <w:t>Protiv ovog rješenja dopuštena je žalba Visokom trgovačkom sudu Republike Hrvatske u roku od 8 dana od dana primitka otpravka rješenja, koja se podnosi putem ovog suda u dva primjerka za sud i u jednom primjerku za svaku protivnu stranku.</w:t>
      </w:r>
    </w:p>
    <w:p w:rsidRDefault="009635D3" w:rsidP="009635D3" w:rsidR="009635D3" w:rsidRPr="009635D3">
      <w:pPr>
        <w:jc w:val="both"/>
        <w:rPr>
          <w:rFonts w:cs="Times New Roman" w:eastAsia="Times New Roman"/>
          <w:szCs w:val="24"/>
          <w:lang w:eastAsia="hr-HR"/>
        </w:rPr>
      </w:pPr>
    </w:p>
    <w:p w:rsidRDefault="009635D3" w:rsidP="009635D3" w:rsidR="009635D3" w:rsidRPr="009635D3">
      <w:pPr>
        <w:jc w:val="both"/>
        <w:rPr>
          <w:rFonts w:cs="Times New Roman" w:eastAsia="Times New Roman"/>
          <w:szCs w:val="24"/>
        </w:rPr>
      </w:pPr>
      <w:r w:rsidRPr="009635D3">
        <w:rPr>
          <w:rFonts w:cs="Times New Roman" w:eastAsia="Times New Roman"/>
          <w:szCs w:val="24"/>
        </w:rPr>
        <w:t>DNA:</w:t>
      </w:r>
    </w:p>
    <w:p w:rsidRDefault="009635D3" w:rsidP="009635D3" w:rsidR="009635D3" w:rsidRPr="009635D3">
      <w:pPr>
        <w:numPr>
          <w:ilvl w:val="0"/>
          <w:numId w:val="1"/>
        </w:numPr>
        <w:spacing w:lineRule="auto" w:line="276" w:after="200"/>
        <w:contextualSpacing/>
        <w:jc w:val="both"/>
        <w:rPr>
          <w:rFonts w:cs="Times New Roman" w:eastAsia="Times New Roman"/>
          <w:szCs w:val="24"/>
        </w:rPr>
      </w:pPr>
      <w:r w:rsidRPr="009635D3">
        <w:rPr>
          <w:rFonts w:cs="Times New Roman" w:eastAsia="Times New Roman"/>
          <w:szCs w:val="24"/>
        </w:rPr>
        <w:t>podnositelju zahtjeva</w:t>
      </w:r>
    </w:p>
    <w:p w:rsidRDefault="009635D3" w:rsidP="009635D3" w:rsidR="009635D3" w:rsidRPr="009635D3">
      <w:pPr>
        <w:numPr>
          <w:ilvl w:val="0"/>
          <w:numId w:val="1"/>
        </w:numPr>
        <w:spacing w:lineRule="auto" w:line="276" w:after="200"/>
        <w:contextualSpacing/>
        <w:jc w:val="both"/>
        <w:rPr>
          <w:rFonts w:cs="Times New Roman" w:eastAsia="Times New Roman"/>
          <w:szCs w:val="24"/>
        </w:rPr>
      </w:pPr>
      <w:r w:rsidRPr="009635D3">
        <w:rPr>
          <w:rFonts w:cs="Times New Roman" w:eastAsia="Times New Roman"/>
          <w:szCs w:val="24"/>
        </w:rPr>
        <w:t xml:space="preserve">dužniku </w:t>
      </w:r>
    </w:p>
    <w:p w:rsidRDefault="009635D3" w:rsidP="009635D3" w:rsidR="009635D3" w:rsidRPr="009635D3">
      <w:pPr>
        <w:numPr>
          <w:ilvl w:val="0"/>
          <w:numId w:val="1"/>
        </w:numPr>
        <w:spacing w:lineRule="auto" w:line="276" w:after="200"/>
        <w:contextualSpacing/>
        <w:jc w:val="both"/>
        <w:rPr>
          <w:rFonts w:cs="Times New Roman" w:eastAsia="Times New Roman"/>
          <w:szCs w:val="24"/>
        </w:rPr>
      </w:pPr>
      <w:r w:rsidRPr="009635D3">
        <w:rPr>
          <w:rFonts w:cs="Times New Roman" w:eastAsia="Times New Roman"/>
          <w:szCs w:val="24"/>
        </w:rPr>
        <w:t>e-Oglasna ploča 8 dana</w:t>
      </w:r>
    </w:p>
    <w:sectPr w:rsidSect="00F746F0" w:rsidR="009635D3" w:rsidRPr="009635D3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6F0" w:rsidP="00F746F0" w:rsidR="00F746F0">
      <w:r>
        <w:separator/>
      </w:r>
    </w:p>
  </w:endnote>
  <w:endnote w:id="0" w:type="continuationSeparator">
    <w:p w:rsidRDefault="00F746F0" w:rsidP="00F746F0" w:rsidR="00F746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6F0" w:rsidP="00F746F0" w:rsidR="00F746F0">
      <w:r>
        <w:separator/>
      </w:r>
    </w:p>
  </w:footnote>
  <w:footnote w:id="0" w:type="continuationSeparator">
    <w:p w:rsidRDefault="00F746F0" w:rsidP="00F746F0" w:rsidR="00F746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9176949"/>
      <w:docPartObj>
        <w:docPartGallery w:val="Page Numbers (Top of Page)"/>
        <w:docPartUnique/>
      </w:docPartObj>
    </w:sdtPr>
    <w:sdtEndPr/>
    <w:sdtContent>
      <w:p w:rsidRDefault="00F746F0" w:rsidR="00F746F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15EA">
          <w:rPr>
            <w:noProof/>
          </w:rPr>
          <w:t>2</w:t>
        </w:r>
        <w:r>
          <w:fldChar w:fldCharType="end"/>
        </w:r>
      </w:p>
      <w:p w:rsidRDefault="00F746F0" w:rsidP="00F746F0" w:rsidR="00F746F0">
        <w:pPr>
          <w:pStyle w:val="Zaglavlje"/>
          <w:jc w:val="right"/>
        </w:pPr>
        <w:r>
          <w:t>Poslovni broj: 21. St-5627/15-10</w:t>
        </w:r>
      </w:p>
    </w:sdtContent>
  </w:sdt>
  <w:p w:rsidRDefault="00F746F0" w:rsidR="00F746F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F9F"/>
    <w:rsid w:val="00011D56"/>
    <w:rsid w:val="000D00B8"/>
    <w:rsid w:val="0010320E"/>
    <w:rsid w:val="001032F4"/>
    <w:rsid w:val="00131E95"/>
    <w:rsid w:val="0013482B"/>
    <w:rsid w:val="00154C4F"/>
    <w:rsid w:val="00194F9F"/>
    <w:rsid w:val="0019711A"/>
    <w:rsid w:val="00197F24"/>
    <w:rsid w:val="001A1D04"/>
    <w:rsid w:val="00205946"/>
    <w:rsid w:val="0026202F"/>
    <w:rsid w:val="0034753A"/>
    <w:rsid w:val="00457EF8"/>
    <w:rsid w:val="00536364"/>
    <w:rsid w:val="00565BE1"/>
    <w:rsid w:val="005710D5"/>
    <w:rsid w:val="005E663D"/>
    <w:rsid w:val="00676C94"/>
    <w:rsid w:val="006B3251"/>
    <w:rsid w:val="007415EA"/>
    <w:rsid w:val="007A1144"/>
    <w:rsid w:val="007A1913"/>
    <w:rsid w:val="0085059C"/>
    <w:rsid w:val="00855484"/>
    <w:rsid w:val="008E13B8"/>
    <w:rsid w:val="00914402"/>
    <w:rsid w:val="00950F54"/>
    <w:rsid w:val="009635D3"/>
    <w:rsid w:val="009D3B13"/>
    <w:rsid w:val="00A35E41"/>
    <w:rsid w:val="00A53DC3"/>
    <w:rsid w:val="00AF02AD"/>
    <w:rsid w:val="00B4105F"/>
    <w:rsid w:val="00C81BCE"/>
    <w:rsid w:val="00CA63C1"/>
    <w:rsid w:val="00D05353"/>
    <w:rsid w:val="00D90085"/>
    <w:rsid w:val="00DA4885"/>
    <w:rsid w:val="00E542D6"/>
    <w:rsid w:val="00EC393B"/>
    <w:rsid w:val="00F746F0"/>
    <w:rsid w:val="00FB18D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11D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11D5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746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46F0"/>
  </w:style>
  <w:style w:styleId="Podnoje" w:type="paragraph">
    <w:name w:val="footer"/>
    <w:basedOn w:val="Normal"/>
    <w:link w:val="PodnojeChar"/>
    <w:uiPriority w:val="99"/>
    <w:unhideWhenUsed/>
    <w:rsid w:val="00F746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46F0"/>
  </w:style>
  <w:style w:styleId="Tekstrezerviranogmjesta" w:type="character">
    <w:name w:val="Placeholder Text"/>
    <w:basedOn w:val="Zadanifontodlomka"/>
    <w:uiPriority w:val="99"/>
    <w:semiHidden/>
    <w:rsid w:val="007415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15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15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15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15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11D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11D5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746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46F0"/>
  </w:style>
  <w:style w:styleId="Podnoje" w:type="paragraph">
    <w:name w:val="footer"/>
    <w:basedOn w:val="Normal"/>
    <w:link w:val="PodnojeChar"/>
    <w:uiPriority w:val="99"/>
    <w:unhideWhenUsed/>
    <w:rsid w:val="00F746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46F0"/>
  </w:style>
  <w:style w:styleId="Tekstrezerviranogmjesta" w:type="character">
    <w:name w:val="Placeholder Text"/>
    <w:basedOn w:val="Zadanifontodlomka"/>
    <w:uiPriority w:val="99"/>
    <w:semiHidden/>
    <w:rsid w:val="007415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15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15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15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15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5627</izvorni_sadrzaj>
    <derivirana_varijabla naziv="DomainObject.Predmet.Broj_1">5627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St-5627/2015</izvorni_sadrzaj>
    <derivirana_varijabla naziv="DomainObject.Predmet.OznakaBroj_1">St-5627/2015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AEQUUS NEKRETNINE d.o.o.</izvorni_sadrzaj>
    <derivirana_varijabla naziv="DomainObject.Predmet.ProtustrankaFormated_1">  AEQUUS NEKRETNINE d.o.o.</derivirana_varijabla>
  </DomainObject.Predmet.ProtustrankaFormated>
  <DomainObject.Predmet.ProtustrankaFormatedOIB>
    <izvorni_sadrzaj>  AEQUUS NEKRETNINE d.o.o., OIB 06995717336</izvorni_sadrzaj>
    <derivirana_varijabla naziv="DomainObject.Predmet.ProtustrankaFormatedOIB_1">  AEQUUS NEKRETNINE d.o.o., OIB 06995717336</derivirana_varijabla>
  </DomainObject.Predmet.ProtustrankaFormatedOIB>
  <DomainObject.Predmet.ProtustrankaFormatedWithAdress>
    <izvorni_sadrzaj> AEQUUS NEKRETNINE d.o.o., Primorska 5, 10360 Sesvete</izvorni_sadrzaj>
    <derivirana_varijabla naziv="DomainObject.Predmet.ProtustrankaFormatedWithAdress_1"> AEQUUS NEKRETNINE d.o.o., Primorska 5, 10360 Sesvete</derivirana_varijabla>
  </DomainObject.Predmet.ProtustrankaFormatedWithAdress>
  <DomainObject.Predmet.ProtustrankaFormatedWithAdressOIB>
    <izvorni_sadrzaj> AEQUUS NEKRETNINE d.o.o., OIB 06995717336, Primorska 5, 10360 Sesvete</izvorni_sadrzaj>
    <derivirana_varijabla naziv="DomainObject.Predmet.ProtustrankaFormatedWithAdressOIB_1"> AEQUUS NEKRETNINE d.o.o., OIB 06995717336, Primorska 5, 10360 Sesvete</derivirana_varijabla>
  </DomainObject.Predmet.ProtustrankaFormatedWithAdressOIB>
  <DomainObject.Predmet.ProtustrankaWithAdress>
    <izvorni_sadrzaj>AEQUUS NEKRETNINE d.o.o. Primorska 5, 10360 Sesvete</izvorni_sadrzaj>
    <derivirana_varijabla naziv="DomainObject.Predmet.ProtustrankaWithAdress_1">AEQUUS NEKRETNINE d.o.o. Primorska 5, 10360 Sesvete</derivirana_varijabla>
  </DomainObject.Predmet.ProtustrankaWithAdress>
  <DomainObject.Predmet.ProtustrankaWithAdressOIB>
    <izvorni_sadrzaj>AEQUUS NEKRETNINE d.o.o., OIB 06995717336, Primorska 5, 10360 Sesvete</izvorni_sadrzaj>
    <derivirana_varijabla naziv="DomainObject.Predmet.ProtustrankaWithAdressOIB_1">AEQUUS NEKRETNINE d.o.o., OIB 06995717336, Primorska 5, 10360 Sesvete</derivirana_varijabla>
  </DomainObject.Predmet.ProtustrankaWithAdressOIB>
  <DomainObject.Predmet.ProtustrankaNazivFormated>
    <izvorni_sadrzaj>AEQUUS NEKRETNINE d.o.o.</izvorni_sadrzaj>
    <derivirana_varijabla naziv="DomainObject.Predmet.ProtustrankaNazivFormated_1">AEQUUS NEKRETNINE d.o.o.</derivirana_varijabla>
  </DomainObject.Predmet.ProtustrankaNazivFormated>
  <DomainObject.Predmet.ProtustrankaNazivFormatedOIB>
    <izvorni_sadrzaj>AEQUUS NEKRETNINE d.o.o., OIB 06995717336</izvorni_sadrzaj>
    <derivirana_varijabla naziv="DomainObject.Predmet.ProtustrankaNazivFormatedOIB_1">AEQUUS NEKRETNINE d.o.o., OIB 06995717336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AEQUUS NEKRETNINE d.o.o.</item>
    </izvorni_sadrzaj>
    <derivirana_varijabla naziv="DomainObject.Predmet.ProtuStrankaListFormated_1">
      <item>AEQUUS NEKRETNINE d.o.o.</item>
    </derivirana_varijabla>
  </DomainObject.Predmet.ProtuStrankaListFormated>
  <DomainObject.Predmet.ProtuStrankaListFormatedOIB>
    <izvorni_sadrzaj>
      <item>AEQUUS NEKRETNINE d.o.o., OIB 06995717336</item>
    </izvorni_sadrzaj>
    <derivirana_varijabla naziv="DomainObject.Predmet.ProtuStrankaListFormatedOIB_1">
      <item>AEQUUS NEKRETNINE d.o.o., OIB 06995717336</item>
    </derivirana_varijabla>
  </DomainObject.Predmet.ProtuStrankaListFormatedOIB>
  <DomainObject.Predmet.ProtuStrankaListFormatedWithAdress>
    <izvorni_sadrzaj>
      <item>AEQUUS NEKRETNINE d.o.o., Primorska 5, 10360 Sesvete</item>
    </izvorni_sadrzaj>
    <derivirana_varijabla naziv="DomainObject.Predmet.ProtuStrankaListFormatedWithAdress_1">
      <item>AEQUUS NEKRETNINE d.o.o., Primorska 5, 10360 Sesvete</item>
    </derivirana_varijabla>
  </DomainObject.Predmet.ProtuStrankaListFormatedWithAdress>
  <DomainObject.Predmet.ProtuStrankaListFormatedWithAdressOIB>
    <izvorni_sadrzaj>
      <item>AEQUUS NEKRETNINE d.o.o., OIB 06995717336, Primorska 5, 10360 Sesvete</item>
    </izvorni_sadrzaj>
    <derivirana_varijabla naziv="DomainObject.Predmet.ProtuStrankaListFormatedWithAdressOIB_1">
      <item>AEQUUS NEKRETNINE d.o.o., OIB 06995717336, Primorska 5, 10360 Sesvete</item>
    </derivirana_varijabla>
  </DomainObject.Predmet.ProtuStrankaListFormatedWithAdressOIB>
  <DomainObject.Predmet.ProtuStrankaListNazivFormated>
    <izvorni_sadrzaj>
      <item>AEQUUS NEKRETNINE d.o.o.</item>
    </izvorni_sadrzaj>
    <derivirana_varijabla naziv="DomainObject.Predmet.ProtuStrankaListNazivFormated_1">
      <item>AEQUUS NEKRETNINE d.o.o.</item>
    </derivirana_varijabla>
  </DomainObject.Predmet.ProtuStrankaListNazivFormated>
  <DomainObject.Predmet.ProtuStrankaListNazivFormatedOIB>
    <izvorni_sadrzaj>
      <item>AEQUUS NEKRETNINE d.o.o., OIB 06995717336</item>
    </izvorni_sadrzaj>
    <derivirana_varijabla naziv="DomainObject.Predmet.ProtuStrankaListNazivFormatedOIB_1">
      <item>AEQUUS NEKRETNINE d.o.o., OIB 06995717336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AEQUUS NEKRETNINE d.o.o.</izvorni_sadrzaj>
    <derivirana_varijabla naziv="DomainObject.Predmet.ProtustrankaIDrugi_1">AEQUUS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AEQUUS NEKRETNINE d.o.o., OIB 06995717336, Primorska 5, 10360 Sesvete</izvorni_sadrzaj>
    <derivirana_varijabla naziv="DomainObject.Predmet.ProtustrankaIDrugiAdressOIB_1">AEQUUS NEKRETNINE d.o.o., OIB 06995717336, Primorska 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AEQUUS NEKRETNINE d.o.o.</item>
    </izvorni_sadrzaj>
    <derivirana_varijabla naziv="DomainObject.Predmet.SudioniciListNaziv_1">
      <item>FINA Regionalni centar Zagreb</item>
      <item>AEQUUS NEKRETNINE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AEQUUS NEKRETNINE d.o.o., OIB 06995717336, Primorska 5,10360 Sesvete</item>
    </izvorni_sadrzaj>
    <derivirana_varijabla naziv="DomainObject.Predmet.SudioniciListAdressOIB_1">
      <item>FINA Regionalni centar Zagreb, OIB 85821130368, Trg svibanjskih žrtava 1995. 1,10000 Zagreb</item>
      <item>AEQUUS NEKRETNINE d.o.o., OIB 06995717336, Primorska 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06995717336</item>
    </izvorni_sadrzaj>
    <derivirana_varijabla naziv="DomainObject.Predmet.SudioniciListNazivOIB_1">
      <item>, OIB 85821130368</item>
      <item>, OIB 06995717336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650</properties:Words>
  <properties:Characters>3609</properties:Characters>
  <properties:Lines>95</properties:Lines>
  <properties:Paragraphs>30</properties:Paragraphs>
  <properties:TotalTime>137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2018-07-12T13:27:00Z</dcterms:created>
  <dc:creator>Ivana Manestar</dc:creator>
  <dc:description/>
  <cp:keywords/>
  <cp:lastModifiedBy>Ivana Manestar</cp:lastModifiedBy>
  <dcterms:modified xmlns:xsi="http://www.w3.org/2001/XMLSchema-instance" xsi:type="dcterms:W3CDTF">2018-07-13T11:28:00Z</dcterms:modified>
  <cp:revision>27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(St-5627-15-Aequus nekretnine, pokrenuta predsteč nagodba i okončana.docx)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