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dxa" w:w="9858"/>
        <w:tblInd w:type="dxa" w:w="-252"/>
        <w:tblCellMar>
          <w:left w:type="dxa" w:w="0"/>
          <w:right w:type="dxa" w:w="0"/>
        </w:tblCellMar>
        <w:tblLook w:val="0000" w:noVBand="0" w:noHBand="0" w:lastColumn="0" w:firstColumn="0" w:lastRow="0" w:firstRow="0"/>
      </w:tblPr>
      <w:tblGrid>
        <w:gridCol w:w="9858"/>
      </w:tblGrid>
      <w:tr w:rsidTr="00131A6B" w:rsidR="00131A6B" w:rsidRPr="00525C75">
        <w:trPr>
          <w:trHeight w:val="2358"/>
        </w:trPr>
        <w:tc>
          <w:tcPr>
            <w:tcW w:type="dxa" w:w="9858"/>
            <w:tcMar>
              <w:top w:type="dxa" w:w="0"/>
              <w:left w:type="dxa" w:w="108"/>
              <w:bottom w:type="dxa" w:w="0"/>
              <w:right w:type="dxa" w:w="108"/>
            </w:tcMar>
          </w:tcPr>
          <w:p w:rsidRDefault="00131A6B" w:rsidP="00131A6B" w:rsidR="00131A6B" w:rsidRPr="00525C75">
            <w:pPr>
              <w:rPr>
                <w:rFonts w:hAnsi="Times New Roman" w:ascii="Times New Roman"/>
                <w:sz w:val="24"/>
                <w:szCs w:val="24"/>
              </w:rPr>
            </w:pPr>
            <w:bookmarkStart w:name="_GoBack" w:id="0"/>
            <w:bookmarkEnd w:id="0"/>
            <w:r>
              <w:rPr>
                <w:rFonts w:hAnsi="Times New Roman" w:ascii="Times New Roman"/>
                <w:sz w:val="24"/>
                <w:szCs w:val="24"/>
                <w:lang w:eastAsia="hr-HR"/>
              </w:rPr>
              <w:t xml:space="preserve">                                 </w:t>
            </w:r>
            <w:r>
              <w:rPr>
                <w:rFonts w:hAnsi="Times New Roman" w:ascii="Times New Roman"/>
                <w:noProof/>
                <w:sz w:val="24"/>
                <w:szCs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131A6B" w:rsidP="00131A6B" w:rsidR="00131A6B" w:rsidRPr="00131A6B">
            <w:pPr>
              <w:spacing w:lineRule="auto" w:line="240"/>
              <w:rPr>
                <w:rFonts w:hAnsi="Times New Roman" w:ascii="Times New Roman"/>
                <w:bCs/>
              </w:rPr>
            </w:pPr>
            <w:r>
              <w:rPr>
                <w:rFonts w:hAnsi="Times New Roman" w:ascii="Times New Roman"/>
                <w:bCs/>
                <w:sz w:val="24"/>
                <w:szCs w:val="24"/>
              </w:rPr>
              <w:t xml:space="preserve">                     </w:t>
            </w:r>
            <w:r w:rsidRPr="00131A6B">
              <w:rPr>
                <w:rFonts w:hAnsi="Times New Roman" w:ascii="Times New Roman"/>
                <w:bCs/>
              </w:rPr>
              <w:t>REPUBLIKA HRVATSKA</w:t>
            </w:r>
          </w:p>
          <w:p w:rsidRDefault="00131A6B" w:rsidP="00131A6B" w:rsidR="00131A6B" w:rsidRPr="00131A6B">
            <w:pPr>
              <w:spacing w:lineRule="auto" w:line="240"/>
              <w:rPr>
                <w:rFonts w:hAnsi="Times New Roman" w:ascii="Times New Roman"/>
                <w:bCs/>
              </w:rPr>
            </w:pPr>
            <w:r w:rsidRPr="00131A6B">
              <w:rPr>
                <w:rFonts w:hAnsi="Times New Roman" w:ascii="Times New Roman"/>
                <w:bCs/>
              </w:rPr>
              <w:t>VISOKI TRGOVAČKI SUD REPUBLIKE HRVATSKE</w:t>
            </w:r>
          </w:p>
          <w:p w:rsidRDefault="00131A6B" w:rsidP="00131A6B" w:rsidR="00131A6B" w:rsidRPr="00131A6B">
            <w:pPr>
              <w:spacing w:lineRule="auto" w:line="240"/>
              <w:rPr>
                <w:rFonts w:hAnsi="Times New Roman" w:ascii="Times New Roman"/>
                <w:bCs/>
              </w:rPr>
            </w:pPr>
            <w:r>
              <w:rPr>
                <w:rFonts w:hAnsi="Times New Roman" w:ascii="Times New Roman"/>
                <w:bCs/>
              </w:rPr>
              <w:t xml:space="preserve">                                   </w:t>
            </w:r>
            <w:r w:rsidRPr="00131A6B">
              <w:rPr>
                <w:rFonts w:hAnsi="Times New Roman" w:ascii="Times New Roman"/>
                <w:bCs/>
              </w:rPr>
              <w:t>ZAGREB</w:t>
            </w:r>
          </w:p>
          <w:p w:rsidRDefault="00131A6B" w:rsidP="00131A6B" w:rsidR="00131A6B" w:rsidRPr="00525C75">
            <w:pPr>
              <w:spacing w:lineRule="auto" w:line="240"/>
              <w:jc w:val="center"/>
              <w:rPr>
                <w:rFonts w:hAnsi="Times New Roman" w:ascii="Times New Roman"/>
                <w:sz w:val="24"/>
                <w:szCs w:val="24"/>
              </w:rPr>
            </w:pPr>
          </w:p>
        </w:tc>
      </w:tr>
    </w:tbl>
    <w:p w14:textId="c9f6edf" w14:paraId="c9f6edf" w:rsidRDefault="00131A6B" w:rsidP="00131A6B" w:rsidR="00131A6B" w:rsidRPr="00131A6B">
      <w:pPr>
        <w:spacing w:lineRule="auto" w:line="240" w:after="0"/>
        <w:jc w:val="both"/>
        <w15:collapsed w:val="false"/>
        <w:rPr>
          <w:rFonts w:cs="Times New Roman" w:eastAsia="Calibri" w:hAnsi="Times New Roman" w:ascii="Times New Roman"/>
          <w:sz w:val="24"/>
          <w:szCs w:val="24"/>
        </w:rPr>
      </w:pPr>
    </w:p>
    <w:p w:rsidRDefault="00131A6B" w:rsidP="00131A6B" w:rsidR="00131A6B" w:rsidRPr="00131A6B">
      <w:pPr>
        <w:spacing w:lineRule="auto" w:line="240" w:after="0"/>
        <w:jc w:val="center"/>
        <w:rPr>
          <w:rFonts w:cs="Times New Roman" w:eastAsia="Calibri" w:hAnsi="Times New Roman" w:ascii="Times New Roman"/>
          <w:b/>
          <w:sz w:val="24"/>
          <w:szCs w:val="24"/>
        </w:rPr>
      </w:pPr>
      <w:r w:rsidRPr="00131A6B">
        <w:rPr>
          <w:rFonts w:cs="Times New Roman" w:eastAsia="Calibri" w:hAnsi="Times New Roman" w:ascii="Times New Roman"/>
          <w:b/>
          <w:sz w:val="24"/>
          <w:szCs w:val="24"/>
        </w:rPr>
        <w:t>R E P U B L I K A    H R V A T S K A</w:t>
      </w:r>
    </w:p>
    <w:p w:rsidRDefault="00131A6B" w:rsidP="00131A6B" w:rsidR="00131A6B" w:rsidRPr="00131A6B">
      <w:pPr>
        <w:spacing w:lineRule="auto" w:line="240" w:after="0"/>
        <w:jc w:val="center"/>
        <w:rPr>
          <w:rFonts w:cs="Times New Roman" w:eastAsia="Calibri" w:hAnsi="Times New Roman" w:ascii="Times New Roman"/>
          <w:b/>
          <w:sz w:val="24"/>
          <w:szCs w:val="24"/>
        </w:rPr>
      </w:pPr>
    </w:p>
    <w:p w:rsidRDefault="00131A6B" w:rsidP="00131A6B" w:rsidR="00131A6B" w:rsidRPr="00131A6B">
      <w:pPr>
        <w:spacing w:lineRule="auto" w:line="240" w:after="0"/>
        <w:jc w:val="center"/>
        <w:rPr>
          <w:rFonts w:cs="Times New Roman" w:eastAsia="Calibri" w:hAnsi="Times New Roman" w:ascii="Times New Roman"/>
          <w:b/>
          <w:sz w:val="24"/>
          <w:szCs w:val="24"/>
        </w:rPr>
      </w:pPr>
      <w:r w:rsidRPr="00131A6B">
        <w:rPr>
          <w:rFonts w:cs="Times New Roman" w:eastAsia="Calibri" w:hAnsi="Times New Roman" w:ascii="Times New Roman"/>
          <w:b/>
          <w:sz w:val="24"/>
          <w:szCs w:val="24"/>
        </w:rPr>
        <w:t>R J E Š E NJ E</w:t>
      </w:r>
    </w:p>
    <w:p w:rsidRDefault="00131A6B" w:rsidP="00131A6B" w:rsidR="00131A6B" w:rsidRPr="00131A6B">
      <w:pPr>
        <w:spacing w:lineRule="auto" w:line="240" w:after="0"/>
        <w:jc w:val="both"/>
        <w:rPr>
          <w:rFonts w:cs="Times New Roman" w:eastAsia="Calibri" w:hAnsi="Times New Roman" w:ascii="Times New Roman"/>
          <w:sz w:val="24"/>
          <w:szCs w:val="24"/>
        </w:rPr>
      </w:pPr>
    </w:p>
    <w:p w:rsidRDefault="00131A6B" w:rsidP="00131A6B" w:rsidR="00131A6B" w:rsidRPr="00131A6B">
      <w:pPr>
        <w:spacing w:lineRule="auto" w:line="240" w:after="0"/>
        <w:jc w:val="both"/>
        <w:rPr>
          <w:rFonts w:cs="Times New Roman" w:eastAsia="Calibri" w:hAnsi="Times New Roman" w:ascii="Times New Roman"/>
          <w:sz w:val="24"/>
          <w:szCs w:val="24"/>
        </w:rPr>
      </w:pPr>
    </w:p>
    <w:p w:rsidRDefault="00131A6B" w:rsidP="00131A6B" w:rsidR="00131A6B" w:rsidRPr="00131A6B">
      <w:pPr>
        <w:spacing w:lineRule="auto" w:line="240" w:after="0"/>
        <w:jc w:val="both"/>
        <w:rPr>
          <w:rFonts w:cs="Times New Roman" w:eastAsia="Calibri" w:hAnsi="Times New Roman" w:ascii="Times New Roman"/>
          <w:sz w:val="24"/>
          <w:szCs w:val="24"/>
        </w:rPr>
      </w:pPr>
      <w:r w:rsidRPr="00131A6B">
        <w:rPr>
          <w:rFonts w:cs="Times New Roman" w:eastAsia="Calibri" w:hAnsi="Times New Roman" w:ascii="Times New Roman"/>
          <w:sz w:val="24"/>
          <w:szCs w:val="24"/>
        </w:rPr>
        <w:t xml:space="preserve">Visoki trgovački sud Republike Hrvatske, u vijeću sastavljenom od sudaca Jagode </w:t>
      </w:r>
      <w:proofErr w:type="spellStart"/>
      <w:r w:rsidRPr="00131A6B">
        <w:rPr>
          <w:rFonts w:cs="Times New Roman" w:eastAsia="Calibri" w:hAnsi="Times New Roman" w:ascii="Times New Roman"/>
          <w:sz w:val="24"/>
          <w:szCs w:val="24"/>
        </w:rPr>
        <w:t>Crnokrak</w:t>
      </w:r>
      <w:proofErr w:type="spellEnd"/>
      <w:r w:rsidRPr="00131A6B">
        <w:rPr>
          <w:rFonts w:cs="Times New Roman" w:eastAsia="Calibri" w:hAnsi="Times New Roman" w:ascii="Times New Roman"/>
          <w:sz w:val="24"/>
          <w:szCs w:val="24"/>
        </w:rPr>
        <w:t xml:space="preserve">, predsjednice vijeća, dr. sc. Jelene </w:t>
      </w:r>
      <w:proofErr w:type="spellStart"/>
      <w:r w:rsidRPr="00131A6B">
        <w:rPr>
          <w:rFonts w:cs="Times New Roman" w:eastAsia="Calibri" w:hAnsi="Times New Roman" w:ascii="Times New Roman"/>
          <w:sz w:val="24"/>
          <w:szCs w:val="24"/>
        </w:rPr>
        <w:t>Čuveljak</w:t>
      </w:r>
      <w:proofErr w:type="spellEnd"/>
      <w:r w:rsidRPr="00131A6B">
        <w:rPr>
          <w:rFonts w:cs="Times New Roman" w:eastAsia="Calibri" w:hAnsi="Times New Roman" w:ascii="Times New Roman"/>
          <w:sz w:val="24"/>
          <w:szCs w:val="24"/>
        </w:rPr>
        <w:t xml:space="preserve">, sutkinje izvjestiteljice i Božene </w:t>
      </w:r>
      <w:proofErr w:type="spellStart"/>
      <w:r w:rsidRPr="00131A6B">
        <w:rPr>
          <w:rFonts w:cs="Times New Roman" w:eastAsia="Calibri" w:hAnsi="Times New Roman" w:ascii="Times New Roman"/>
          <w:sz w:val="24"/>
          <w:szCs w:val="24"/>
        </w:rPr>
        <w:t>Zajec</w:t>
      </w:r>
      <w:proofErr w:type="spellEnd"/>
      <w:r w:rsidRPr="00131A6B">
        <w:rPr>
          <w:rFonts w:cs="Times New Roman" w:eastAsia="Calibri" w:hAnsi="Times New Roman" w:ascii="Times New Roman"/>
          <w:sz w:val="24"/>
          <w:szCs w:val="24"/>
        </w:rPr>
        <w:t xml:space="preserve">, članice vijeća, u stečajnom postupku nad dužnikom AETERNA ALEX d.o.o. – u stečaju, Zagreb, Rapska 46B, OIB 27025040845, a povodom žalbe vjerovnice ANKE LONČAR iz Makarske, Jadranska 4, OIB 32044629505, koju zastupa punomoćnik Filip Ivan </w:t>
      </w:r>
      <w:proofErr w:type="spellStart"/>
      <w:r w:rsidRPr="00131A6B">
        <w:rPr>
          <w:rFonts w:cs="Times New Roman" w:eastAsia="Calibri" w:hAnsi="Times New Roman" w:ascii="Times New Roman"/>
          <w:sz w:val="24"/>
          <w:szCs w:val="24"/>
        </w:rPr>
        <w:t>Žuro</w:t>
      </w:r>
      <w:proofErr w:type="spellEnd"/>
      <w:r w:rsidRPr="00131A6B">
        <w:rPr>
          <w:rFonts w:cs="Times New Roman" w:eastAsia="Calibri" w:hAnsi="Times New Roman" w:ascii="Times New Roman"/>
          <w:sz w:val="24"/>
          <w:szCs w:val="24"/>
        </w:rPr>
        <w:t xml:space="preserve">, odvjetnik u Solinu, Don </w:t>
      </w:r>
      <w:proofErr w:type="spellStart"/>
      <w:r w:rsidRPr="00131A6B">
        <w:rPr>
          <w:rFonts w:cs="Times New Roman" w:eastAsia="Calibri" w:hAnsi="Times New Roman" w:ascii="Times New Roman"/>
          <w:sz w:val="24"/>
          <w:szCs w:val="24"/>
        </w:rPr>
        <w:t>Frane</w:t>
      </w:r>
      <w:proofErr w:type="spellEnd"/>
      <w:r w:rsidRPr="00131A6B">
        <w:rPr>
          <w:rFonts w:cs="Times New Roman" w:eastAsia="Calibri" w:hAnsi="Times New Roman" w:ascii="Times New Roman"/>
          <w:sz w:val="24"/>
          <w:szCs w:val="24"/>
        </w:rPr>
        <w:t xml:space="preserve"> Bulića kbr. 122/A, p.p. 65, podnesene protiv rješenja Trgovačkog suda u Zagrebu poslovni broj St-207/2015-56 od 21. kolovoza 2017., u sjednici vijeća održanoj 11. listopada 2017.</w:t>
      </w:r>
    </w:p>
    <w:p w:rsidRDefault="00131A6B" w:rsidP="00131A6B" w:rsidR="00131A6B" w:rsidRPr="00131A6B">
      <w:pPr>
        <w:spacing w:lineRule="auto" w:line="240" w:after="0"/>
        <w:jc w:val="both"/>
        <w:rPr>
          <w:rFonts w:cs="Times New Roman" w:eastAsia="Calibri" w:hAnsi="Times New Roman" w:ascii="Times New Roman"/>
          <w:sz w:val="24"/>
          <w:szCs w:val="24"/>
        </w:rPr>
      </w:pPr>
    </w:p>
    <w:p w:rsidRDefault="00131A6B" w:rsidP="00131A6B" w:rsidR="00131A6B" w:rsidRPr="00131A6B">
      <w:pPr>
        <w:spacing w:lineRule="auto" w:line="240" w:after="0"/>
        <w:jc w:val="center"/>
        <w:rPr>
          <w:rFonts w:cs="Times New Roman" w:eastAsia="Calibri" w:hAnsi="Times New Roman" w:ascii="Times New Roman"/>
          <w:sz w:val="24"/>
          <w:szCs w:val="24"/>
        </w:rPr>
      </w:pPr>
      <w:r w:rsidRPr="00131A6B">
        <w:rPr>
          <w:rFonts w:cs="Times New Roman" w:eastAsia="Calibri" w:hAnsi="Times New Roman" w:ascii="Times New Roman"/>
          <w:sz w:val="24"/>
          <w:szCs w:val="24"/>
        </w:rPr>
        <w:t>r i j e š i o    j e</w:t>
      </w:r>
    </w:p>
    <w:p w:rsidRDefault="00131A6B" w:rsidP="00131A6B" w:rsidR="00131A6B" w:rsidRPr="00131A6B">
      <w:pPr>
        <w:spacing w:lineRule="auto" w:line="240" w:after="0"/>
        <w:jc w:val="both"/>
        <w:rPr>
          <w:rFonts w:cs="Times New Roman" w:eastAsia="Calibri" w:hAnsi="Times New Roman" w:ascii="Times New Roman"/>
          <w:sz w:val="24"/>
          <w:szCs w:val="24"/>
        </w:rPr>
      </w:pPr>
    </w:p>
    <w:p w:rsidRDefault="00131A6B" w:rsidP="00131A6B" w:rsidR="00131A6B" w:rsidRPr="00131A6B">
      <w:pPr>
        <w:spacing w:lineRule="auto" w:line="240" w:after="0"/>
        <w:jc w:val="both"/>
        <w:rPr>
          <w:rFonts w:cs="Times New Roman" w:eastAsia="Calibri" w:hAnsi="Times New Roman" w:ascii="Times New Roman"/>
          <w:sz w:val="24"/>
          <w:szCs w:val="24"/>
        </w:rPr>
      </w:pPr>
      <w:r w:rsidRPr="00131A6B">
        <w:rPr>
          <w:rFonts w:cs="Times New Roman" w:eastAsia="Calibri" w:hAnsi="Times New Roman" w:ascii="Times New Roman"/>
          <w:sz w:val="24"/>
          <w:szCs w:val="24"/>
        </w:rPr>
        <w:tab/>
        <w:t>Odbija se kao neosnovana žalba vjerovnice ANKE LONČAR iz Makarske, i potvrđuje rješenje Trgovačkog suda u Zagrebu poslovni broj St-207/2015-56 od 21. kolovoza 2017.</w:t>
      </w:r>
    </w:p>
    <w:p w:rsidRDefault="00131A6B" w:rsidP="00131A6B" w:rsidR="00131A6B" w:rsidRPr="00131A6B">
      <w:pPr>
        <w:spacing w:lineRule="auto" w:line="240" w:after="0"/>
        <w:jc w:val="both"/>
        <w:rPr>
          <w:rFonts w:cs="Times New Roman" w:eastAsia="Calibri" w:hAnsi="Times New Roman" w:ascii="Times New Roman"/>
          <w:sz w:val="24"/>
          <w:szCs w:val="24"/>
        </w:rPr>
      </w:pPr>
    </w:p>
    <w:p w:rsidRDefault="00131A6B" w:rsidP="00131A6B" w:rsidR="00131A6B" w:rsidRPr="00131A6B">
      <w:pPr>
        <w:spacing w:lineRule="auto" w:line="240" w:after="0"/>
        <w:jc w:val="center"/>
        <w:rPr>
          <w:rFonts w:cs="Times New Roman" w:eastAsia="Calibri" w:hAnsi="Times New Roman" w:ascii="Times New Roman"/>
          <w:sz w:val="24"/>
          <w:szCs w:val="24"/>
        </w:rPr>
      </w:pPr>
      <w:r w:rsidRPr="00131A6B">
        <w:rPr>
          <w:rFonts w:cs="Times New Roman" w:eastAsia="Calibri" w:hAnsi="Times New Roman" w:ascii="Times New Roman"/>
          <w:sz w:val="24"/>
          <w:szCs w:val="24"/>
        </w:rPr>
        <w:t>Obrazloženje</w:t>
      </w:r>
    </w:p>
    <w:p w:rsidRDefault="00131A6B" w:rsidP="00131A6B" w:rsidR="00131A6B" w:rsidRPr="00131A6B">
      <w:pPr>
        <w:spacing w:lineRule="auto" w:line="240" w:after="0"/>
        <w:jc w:val="both"/>
        <w:rPr>
          <w:rFonts w:cs="Times New Roman" w:eastAsia="Calibri" w:hAnsi="Times New Roman" w:ascii="Times New Roman"/>
          <w:sz w:val="24"/>
          <w:szCs w:val="24"/>
        </w:rPr>
      </w:pPr>
    </w:p>
    <w:p w:rsidRDefault="00131A6B" w:rsidP="00131A6B" w:rsidR="00131A6B" w:rsidRPr="00131A6B">
      <w:pPr>
        <w:spacing w:lineRule="auto" w:line="240" w:after="0"/>
        <w:jc w:val="both"/>
        <w:rPr>
          <w:rFonts w:cs="Times New Roman" w:eastAsia="Calibri" w:hAnsi="Times New Roman" w:ascii="Times New Roman"/>
          <w:sz w:val="24"/>
          <w:szCs w:val="24"/>
        </w:rPr>
      </w:pPr>
      <w:r w:rsidRPr="00131A6B">
        <w:rPr>
          <w:rFonts w:cs="Times New Roman" w:eastAsia="Calibri" w:hAnsi="Times New Roman" w:ascii="Times New Roman"/>
          <w:sz w:val="24"/>
          <w:szCs w:val="24"/>
        </w:rPr>
        <w:tab/>
        <w:t xml:space="preserve">Prvostupanjski sud je u pobijanoj odluci ispravio rješenje toga suda poslovni broj </w:t>
      </w:r>
      <w:r w:rsidRPr="00131A6B">
        <w:rPr>
          <w:rFonts w:cs="Times New Roman" w:eastAsia="Calibri" w:hAnsi="Times New Roman" w:ascii="Times New Roman"/>
          <w:sz w:val="24"/>
          <w:szCs w:val="24"/>
        </w:rPr>
        <w:br/>
        <w:t>St-207/15-49 od 14. rujna 2016. na način da isto u cijelosti glasi da se osporava tražbina vjerovnice Anke Lončar za iznos od 22.736,82 kn te da se upućuje vjerovnicu na pokretanje parničnog postupka.</w:t>
      </w:r>
    </w:p>
    <w:p w:rsidRDefault="00131A6B" w:rsidP="00131A6B" w:rsidR="00131A6B" w:rsidRPr="00131A6B">
      <w:pPr>
        <w:spacing w:lineRule="auto" w:line="240" w:after="0"/>
        <w:jc w:val="both"/>
        <w:rPr>
          <w:rFonts w:cs="Times New Roman" w:eastAsia="Calibri" w:hAnsi="Times New Roman" w:ascii="Times New Roman"/>
          <w:sz w:val="24"/>
          <w:szCs w:val="24"/>
        </w:rPr>
      </w:pPr>
    </w:p>
    <w:p w:rsidRDefault="00131A6B" w:rsidP="00131A6B" w:rsidR="00131A6B" w:rsidRPr="00131A6B">
      <w:pPr>
        <w:spacing w:lineRule="auto" w:line="240" w:after="0"/>
        <w:jc w:val="both"/>
        <w:rPr>
          <w:rFonts w:cs="Times New Roman" w:eastAsia="Calibri" w:hAnsi="Times New Roman" w:ascii="Times New Roman"/>
          <w:sz w:val="24"/>
          <w:szCs w:val="24"/>
        </w:rPr>
      </w:pPr>
      <w:r w:rsidRPr="00131A6B">
        <w:rPr>
          <w:rFonts w:cs="Times New Roman" w:eastAsia="Calibri" w:hAnsi="Times New Roman" w:ascii="Times New Roman"/>
          <w:sz w:val="24"/>
          <w:szCs w:val="24"/>
        </w:rPr>
        <w:tab/>
        <w:t xml:space="preserve">Iz obrazloženja proizlazi da je na posebnom ispitnom ročištu održanom 14. rujna 2016. ispitana naknadno prijavljena tražbina vjerovnika Anke Lončar, sukladno članku 176. stavak 1. Stečajnog zakona („Narodne novine“ broj 44/96, 29/99, 129/00, 123/03, 82/06, 116/10, 25/12 i 133/12; dalje: SZ), u ukupnom iznosu od 22.736,82 kn, od čega iznos od 18.612,57 kn predstavlja glavnicu, iznos od 2.374,25 kn zakonsku zateznu kamatu a iznos od 1.750,00 kn odnosi se na odvjetničke troškove postupka za sastav prijave tražbine u ovom stečajnom postupku. Stečajni upravitelj je predložio da se prijavljena tražbina u iznosu od 1.750,00 kn odbaci, jer se radi o troškovima postupka koji predstavljaju tražbine nižih isplatnih redova sukladno članku 72. stavak 1. točka 2. SZ-a, a na prijavu istih vjerovnici odlukom stečajnog suca nisu pozvani, dok je preostalih iznos prijavljene tražbine od </w:t>
      </w:r>
      <w:r w:rsidRPr="00131A6B">
        <w:rPr>
          <w:rFonts w:cs="Times New Roman" w:eastAsia="Calibri" w:hAnsi="Times New Roman" w:ascii="Times New Roman"/>
          <w:sz w:val="24"/>
          <w:szCs w:val="24"/>
        </w:rPr>
        <w:lastRenderedPageBreak/>
        <w:t xml:space="preserve">20.986,82 kn osporio iz razloga što je tražbina bez pravnog osnova jer ne postoji ugovorna obveza na kupnju 89 dionica oznake HBVD-R-A niti su iste prešle u vlasništvo stečajnog dužnika. Budući da je stečajni upravitelj osporio tražbinu vjerovnika Anke Lončar u cjelokupnom prijavljenom iznosu od 22.736,82 kn, kao tražbinu drugog višeg isplatnog reda, bez obzira na prijedlog stečajnog upravitelja za odbačaj dijela tražbine u odnosu na troškove postupka, koji prijedlog ovaj sud nije prihvatio jer je pravno neutemeljen, vjerovnica je sukladno članku 178. stavak 1. SZ-a upućena put parnice radi utvrđenja osporene tražbine, kako je to navedeno izrekom ovog rješenja. </w:t>
      </w:r>
    </w:p>
    <w:p w:rsidRDefault="00131A6B" w:rsidP="00131A6B" w:rsidR="00131A6B" w:rsidRPr="00131A6B">
      <w:pPr>
        <w:spacing w:lineRule="auto" w:line="240" w:after="0"/>
        <w:jc w:val="both"/>
        <w:rPr>
          <w:rFonts w:cs="Times New Roman" w:eastAsia="Calibri" w:hAnsi="Times New Roman" w:ascii="Times New Roman"/>
          <w:sz w:val="24"/>
          <w:szCs w:val="24"/>
        </w:rPr>
      </w:pPr>
    </w:p>
    <w:p w:rsidRDefault="00131A6B" w:rsidP="00131A6B" w:rsidR="00131A6B" w:rsidRPr="00131A6B">
      <w:pPr>
        <w:spacing w:lineRule="auto" w:line="240" w:after="0"/>
        <w:jc w:val="both"/>
        <w:rPr>
          <w:rFonts w:cs="Times New Roman" w:eastAsia="Calibri" w:hAnsi="Times New Roman" w:ascii="Times New Roman"/>
          <w:sz w:val="24"/>
          <w:szCs w:val="24"/>
        </w:rPr>
      </w:pPr>
      <w:r w:rsidRPr="00131A6B">
        <w:rPr>
          <w:rFonts w:cs="Times New Roman" w:eastAsia="Calibri" w:hAnsi="Times New Roman" w:ascii="Times New Roman"/>
          <w:sz w:val="24"/>
          <w:szCs w:val="24"/>
        </w:rPr>
        <w:tab/>
        <w:t>S obzirom na to da je očitom omaškom u pisanju, iako suprotno proizlazi iz tablica stečajnog upravitelja priloženih za posebno ispitno ročište, citiranim rješenjem ovoga suda poslovni broj St-207/15-49 od 14. rujna 2016. tražbina vjerovnice Anke Lončar priznata u iznosu od 20.986,82 kn a osporena samo za iznos troškova od 1.750,00 kn, ovim rješenjem je sukladno članku 343. Zakona o parničnom postupku („Narodne novine“ broj 53/91, 91/92, 58/93, 112/99, 88/01, 117/03, 88/05, 02/07, 84/08, 96/08, 123/08, 57/11, 148/11, 25/13 i 89/14 – odluka Ustavnog suda), u vezi s člankom 6. SZ-a izvršen ispravak navedenog rješenja.</w:t>
      </w:r>
    </w:p>
    <w:p w:rsidRDefault="00131A6B" w:rsidP="00131A6B" w:rsidR="00131A6B" w:rsidRPr="00131A6B">
      <w:pPr>
        <w:spacing w:lineRule="auto" w:line="240" w:after="0"/>
        <w:jc w:val="both"/>
        <w:rPr>
          <w:rFonts w:cs="Times New Roman" w:eastAsia="Calibri" w:hAnsi="Times New Roman" w:ascii="Times New Roman"/>
          <w:sz w:val="24"/>
          <w:szCs w:val="24"/>
        </w:rPr>
      </w:pPr>
    </w:p>
    <w:p w:rsidRDefault="00131A6B" w:rsidP="00131A6B" w:rsidR="00131A6B" w:rsidRPr="00131A6B">
      <w:pPr>
        <w:spacing w:lineRule="auto" w:line="240" w:after="0"/>
        <w:ind w:firstLine="708"/>
        <w:jc w:val="both"/>
        <w:rPr>
          <w:rFonts w:cs="Times New Roman" w:eastAsia="Calibri" w:hAnsi="Times New Roman" w:ascii="Times New Roman"/>
          <w:sz w:val="24"/>
          <w:szCs w:val="24"/>
        </w:rPr>
      </w:pPr>
      <w:r w:rsidRPr="00131A6B">
        <w:rPr>
          <w:rFonts w:cs="Times New Roman" w:eastAsia="Calibri" w:hAnsi="Times New Roman" w:ascii="Times New Roman"/>
          <w:sz w:val="24"/>
          <w:szCs w:val="24"/>
        </w:rPr>
        <w:t>Protiv navedenog rješenja je žalbu podnijela stečajna vjerovnica Anka Lončar iz Makarske zbog bitne povrede odredaba postupka, pogrešno i nepotpuno utvrđenog činjeničnog stanja i pogrešne primjene materijalnog prava te predlaže rješenje ukinuti u cijelosti odnosno preinačiti u korist žaliteljice.</w:t>
      </w:r>
    </w:p>
    <w:p w:rsidRDefault="00131A6B" w:rsidP="00131A6B" w:rsidR="00131A6B" w:rsidRPr="00131A6B">
      <w:pPr>
        <w:spacing w:lineRule="auto" w:line="240" w:after="0"/>
        <w:jc w:val="both"/>
        <w:rPr>
          <w:rFonts w:cs="Times New Roman" w:eastAsia="Calibri" w:hAnsi="Times New Roman" w:ascii="Times New Roman"/>
          <w:sz w:val="24"/>
          <w:szCs w:val="24"/>
        </w:rPr>
      </w:pPr>
    </w:p>
    <w:p w:rsidRDefault="00131A6B" w:rsidP="00131A6B" w:rsidR="00131A6B" w:rsidRPr="00131A6B">
      <w:pPr>
        <w:spacing w:lineRule="auto" w:line="240" w:after="0"/>
        <w:ind w:firstLine="708"/>
        <w:jc w:val="both"/>
        <w:rPr>
          <w:rFonts w:cs="Times New Roman" w:eastAsia="Calibri" w:hAnsi="Times New Roman" w:ascii="Times New Roman"/>
          <w:sz w:val="24"/>
          <w:szCs w:val="24"/>
        </w:rPr>
      </w:pPr>
      <w:r w:rsidRPr="00131A6B">
        <w:rPr>
          <w:rFonts w:cs="Times New Roman" w:eastAsia="Calibri" w:hAnsi="Times New Roman" w:ascii="Times New Roman"/>
          <w:sz w:val="24"/>
          <w:szCs w:val="24"/>
        </w:rPr>
        <w:t>U žalbi u bitnome ističe kako je ranije doneseno rješenje kojim je vjerovnici priznata tražbina u drugom višem isplatnom redu te je sud naveo da tražbina nije osporena te ističe kako je navedeno rješenje steklo svojstvo pravomoćnosti pa je sud nezakonito donio pobijano rješenje.</w:t>
      </w:r>
    </w:p>
    <w:p w:rsidRDefault="00131A6B" w:rsidP="00131A6B" w:rsidR="00131A6B" w:rsidRPr="00131A6B">
      <w:pPr>
        <w:spacing w:lineRule="auto" w:line="240" w:after="0"/>
        <w:jc w:val="both"/>
        <w:rPr>
          <w:rFonts w:cs="Times New Roman" w:eastAsia="Calibri" w:hAnsi="Times New Roman" w:ascii="Times New Roman"/>
          <w:sz w:val="24"/>
          <w:szCs w:val="24"/>
        </w:rPr>
      </w:pPr>
    </w:p>
    <w:p w:rsidRDefault="00131A6B" w:rsidP="00131A6B" w:rsidR="00131A6B" w:rsidRPr="00131A6B">
      <w:pPr>
        <w:spacing w:lineRule="auto" w:line="240" w:after="0"/>
        <w:ind w:firstLine="708"/>
        <w:jc w:val="both"/>
        <w:rPr>
          <w:rFonts w:cs="Times New Roman" w:eastAsia="Calibri" w:hAnsi="Times New Roman" w:ascii="Times New Roman"/>
          <w:sz w:val="24"/>
          <w:szCs w:val="24"/>
        </w:rPr>
      </w:pPr>
      <w:r w:rsidRPr="00131A6B">
        <w:rPr>
          <w:rFonts w:cs="Times New Roman" w:eastAsia="Calibri" w:hAnsi="Times New Roman" w:ascii="Times New Roman"/>
          <w:sz w:val="24"/>
          <w:szCs w:val="24"/>
        </w:rPr>
        <w:t>Žalba nije osnovana.</w:t>
      </w:r>
    </w:p>
    <w:p w:rsidRDefault="00131A6B" w:rsidP="00131A6B" w:rsidR="00131A6B" w:rsidRPr="00131A6B">
      <w:pPr>
        <w:spacing w:lineRule="auto" w:line="240" w:after="0"/>
        <w:jc w:val="both"/>
        <w:rPr>
          <w:rFonts w:cs="Times New Roman" w:eastAsia="Calibri" w:hAnsi="Times New Roman" w:ascii="Times New Roman"/>
          <w:sz w:val="24"/>
          <w:szCs w:val="24"/>
        </w:rPr>
      </w:pPr>
    </w:p>
    <w:p w:rsidRDefault="00131A6B" w:rsidP="00131A6B" w:rsidR="00131A6B" w:rsidRPr="00131A6B">
      <w:pPr>
        <w:spacing w:lineRule="auto" w:line="240" w:after="0"/>
        <w:ind w:firstLine="708"/>
        <w:jc w:val="both"/>
        <w:rPr>
          <w:rFonts w:cs="Times New Roman" w:eastAsia="Calibri" w:hAnsi="Times New Roman" w:ascii="Times New Roman"/>
          <w:sz w:val="24"/>
          <w:szCs w:val="24"/>
        </w:rPr>
      </w:pPr>
      <w:r w:rsidRPr="00131A6B">
        <w:rPr>
          <w:rFonts w:cs="Times New Roman" w:eastAsia="Calibri" w:hAnsi="Times New Roman" w:ascii="Times New Roman"/>
          <w:sz w:val="24"/>
          <w:szCs w:val="24"/>
        </w:rPr>
        <w:t>Ispitavši pobijano rješenje na temelju odredbe članka 365. te članka 381. Zakona o parničnom postupku („Narodne novine“ broj 53/91, 91/92, 112/99, 88/01, 117/03, 88/05, 2/07, 84/08, 96/08, 123/03, 57/11 i 25/13; dalje: ZPP) u vezi s člankom 6. SZ-a u granicama razloga navedenih u žalbi i pazeći po službenoj dužnosti na bitne povrede odredaba postupka iz članka 354. stavak 2. točka 2., 4., 8., 9., 11., 13. i 14. ZPP-a, ovaj sud nalazi da je rješenje suda prvog stupnja pravilno i zakonito.</w:t>
      </w:r>
    </w:p>
    <w:p w:rsidRDefault="00131A6B" w:rsidP="00131A6B" w:rsidR="00131A6B" w:rsidRPr="00131A6B">
      <w:pPr>
        <w:spacing w:lineRule="auto" w:line="240" w:after="0"/>
        <w:jc w:val="both"/>
        <w:rPr>
          <w:rFonts w:cs="Times New Roman" w:eastAsia="Calibri" w:hAnsi="Times New Roman" w:ascii="Times New Roman"/>
          <w:sz w:val="24"/>
          <w:szCs w:val="24"/>
        </w:rPr>
      </w:pPr>
    </w:p>
    <w:p w:rsidRDefault="00131A6B" w:rsidP="00131A6B" w:rsidR="00131A6B" w:rsidRPr="00131A6B">
      <w:pPr>
        <w:spacing w:lineRule="auto" w:line="240" w:after="0"/>
        <w:ind w:firstLine="708"/>
        <w:jc w:val="both"/>
        <w:rPr>
          <w:rFonts w:cs="Times New Roman" w:eastAsia="Calibri" w:hAnsi="Times New Roman" w:ascii="Times New Roman"/>
          <w:sz w:val="24"/>
          <w:szCs w:val="24"/>
        </w:rPr>
      </w:pPr>
      <w:r w:rsidRPr="00131A6B">
        <w:rPr>
          <w:rFonts w:cs="Times New Roman" w:eastAsia="Calibri" w:hAnsi="Times New Roman" w:ascii="Times New Roman"/>
          <w:sz w:val="24"/>
          <w:szCs w:val="24"/>
        </w:rPr>
        <w:t xml:space="preserve">Iz pobijane odluke i iz stanja spisa proizlazi da je stečajni upravitelj dostavio tablicu prijavljenih i ispitanih tražbina za posebno ispitno ročište (list 613. spisa) u kojoj je  izričito naveo da osporava tražbinu Anke Lončar, a na posebnom ispitnom ročištu je stečajni upravitelj ostao kao kod navoda iz dostavljenih tablica (list 624. spisa). </w:t>
      </w:r>
    </w:p>
    <w:p w:rsidRDefault="00131A6B" w:rsidP="00131A6B" w:rsidR="00131A6B" w:rsidRPr="00131A6B">
      <w:pPr>
        <w:spacing w:lineRule="auto" w:line="240" w:after="0"/>
        <w:jc w:val="both"/>
        <w:rPr>
          <w:rFonts w:cs="Times New Roman" w:eastAsia="Calibri" w:hAnsi="Times New Roman" w:ascii="Times New Roman"/>
          <w:sz w:val="24"/>
          <w:szCs w:val="24"/>
        </w:rPr>
      </w:pPr>
    </w:p>
    <w:p w:rsidRDefault="00131A6B" w:rsidP="00131A6B" w:rsidR="00131A6B" w:rsidRPr="00131A6B">
      <w:pPr>
        <w:spacing w:lineRule="auto" w:line="240" w:after="0"/>
        <w:ind w:firstLine="708"/>
        <w:jc w:val="both"/>
        <w:rPr>
          <w:rFonts w:cs="Times New Roman" w:eastAsia="Calibri" w:hAnsi="Times New Roman" w:ascii="Times New Roman"/>
          <w:sz w:val="24"/>
          <w:szCs w:val="24"/>
        </w:rPr>
      </w:pPr>
      <w:r w:rsidRPr="00131A6B">
        <w:rPr>
          <w:rFonts w:cs="Times New Roman" w:eastAsia="Calibri" w:hAnsi="Times New Roman" w:ascii="Times New Roman"/>
          <w:sz w:val="24"/>
          <w:szCs w:val="24"/>
        </w:rPr>
        <w:t xml:space="preserve">Dana 14. rujna 2016. je doneseno rješenje kojim je utvrđena kao osnovana tražbina Anke Lončar za iznos od 20.986,82 kn dok je osporena za iznos od 1.750,00 kn (list 627. spisa), te je rješenje dostavljeno stečajnom upravitelju, vjerovnici putem punomoćnika te na e-Oglasnu ploču sudova. Provjerom u </w:t>
      </w:r>
      <w:proofErr w:type="spellStart"/>
      <w:r w:rsidRPr="00131A6B">
        <w:rPr>
          <w:rFonts w:cs="Times New Roman" w:eastAsia="Calibri" w:hAnsi="Times New Roman" w:ascii="Times New Roman"/>
          <w:sz w:val="24"/>
          <w:szCs w:val="24"/>
        </w:rPr>
        <w:t>eSpsu</w:t>
      </w:r>
      <w:proofErr w:type="spellEnd"/>
      <w:r w:rsidRPr="00131A6B">
        <w:rPr>
          <w:rFonts w:cs="Times New Roman" w:eastAsia="Calibri" w:hAnsi="Times New Roman" w:ascii="Times New Roman"/>
          <w:sz w:val="24"/>
          <w:szCs w:val="24"/>
        </w:rPr>
        <w:t xml:space="preserve"> je utvrđeno da je dostava izvršena putem </w:t>
      </w:r>
      <w:r w:rsidRPr="00131A6B">
        <w:rPr>
          <w:rFonts w:cs="Times New Roman" w:eastAsia="Calibri" w:hAnsi="Times New Roman" w:ascii="Times New Roman"/>
          <w:sz w:val="24"/>
          <w:szCs w:val="24"/>
        </w:rPr>
        <w:br/>
        <w:t>e-Oglasne ploče sudova 6. listopada 2016., a neposredno 7. listopada 2016.</w:t>
      </w:r>
    </w:p>
    <w:p w:rsidRDefault="00131A6B" w:rsidP="00131A6B" w:rsidR="00131A6B" w:rsidRPr="00131A6B">
      <w:pPr>
        <w:spacing w:lineRule="auto" w:line="240" w:after="0"/>
        <w:jc w:val="both"/>
        <w:rPr>
          <w:rFonts w:cs="Times New Roman" w:eastAsia="Calibri" w:hAnsi="Times New Roman" w:ascii="Times New Roman"/>
          <w:sz w:val="24"/>
          <w:szCs w:val="24"/>
        </w:rPr>
      </w:pPr>
    </w:p>
    <w:p w:rsidRDefault="00131A6B" w:rsidP="00131A6B" w:rsidR="00131A6B" w:rsidRPr="00131A6B">
      <w:pPr>
        <w:spacing w:lineRule="auto" w:line="240" w:after="0"/>
        <w:ind w:firstLine="708"/>
        <w:jc w:val="both"/>
        <w:rPr>
          <w:rFonts w:cs="Times New Roman" w:eastAsia="Calibri" w:hAnsi="Times New Roman" w:ascii="Times New Roman"/>
          <w:sz w:val="24"/>
          <w:szCs w:val="24"/>
        </w:rPr>
      </w:pPr>
      <w:r w:rsidRPr="00131A6B">
        <w:rPr>
          <w:rFonts w:cs="Times New Roman" w:eastAsia="Calibri" w:hAnsi="Times New Roman" w:ascii="Times New Roman"/>
          <w:sz w:val="24"/>
          <w:szCs w:val="24"/>
        </w:rPr>
        <w:lastRenderedPageBreak/>
        <w:t>Dana 12. listopada 2016. (list 629. spisa) je stečajni upravitelj podnio žalbu protiv navedenog rješenja u kojoj ističe da je do pogreške došlo zbog očigledne omaške u pisanju jer je predmetna tražbina osporena.</w:t>
      </w:r>
    </w:p>
    <w:p w:rsidRDefault="00131A6B" w:rsidP="00131A6B" w:rsidR="00131A6B" w:rsidRPr="00131A6B">
      <w:pPr>
        <w:spacing w:lineRule="auto" w:line="240" w:after="0"/>
        <w:jc w:val="both"/>
        <w:rPr>
          <w:rFonts w:cs="Times New Roman" w:eastAsia="Calibri" w:hAnsi="Times New Roman" w:ascii="Times New Roman"/>
          <w:sz w:val="24"/>
          <w:szCs w:val="24"/>
        </w:rPr>
      </w:pPr>
    </w:p>
    <w:p w:rsidRDefault="00131A6B" w:rsidP="00131A6B" w:rsidR="00131A6B" w:rsidRPr="00131A6B">
      <w:pPr>
        <w:spacing w:lineRule="auto" w:line="240" w:after="0"/>
        <w:ind w:firstLine="708"/>
        <w:jc w:val="both"/>
        <w:rPr>
          <w:rFonts w:cs="Times New Roman" w:eastAsia="Calibri" w:hAnsi="Times New Roman" w:ascii="Times New Roman"/>
          <w:sz w:val="24"/>
          <w:szCs w:val="24"/>
        </w:rPr>
      </w:pPr>
      <w:r w:rsidRPr="00131A6B">
        <w:rPr>
          <w:rFonts w:cs="Times New Roman" w:eastAsia="Calibri" w:hAnsi="Times New Roman" w:ascii="Times New Roman"/>
          <w:sz w:val="24"/>
          <w:szCs w:val="24"/>
        </w:rPr>
        <w:t>Kako je navedeno rješenje objavljeno na e-Oglasnoj ploči sudova 6. listopada  2017., a primjenjujući odredbu članka 12. stavak 1. SZ-a na konkretan slučaj, proizlazi da je stečajni upravitelj pravovremeno izjavio žalbu – prijedlog za ispravak rješenja, stoga je netočan navod žaliteljice da je rješenje o utvrđenim tražbinama od 14. rujna 2016. postalo pravomoćno.</w:t>
      </w:r>
    </w:p>
    <w:p w:rsidRDefault="00131A6B" w:rsidP="00131A6B" w:rsidR="00131A6B" w:rsidRPr="00131A6B">
      <w:pPr>
        <w:spacing w:lineRule="auto" w:line="240" w:after="0"/>
        <w:jc w:val="both"/>
        <w:rPr>
          <w:rFonts w:cs="Times New Roman" w:eastAsia="Calibri" w:hAnsi="Times New Roman" w:ascii="Times New Roman"/>
          <w:sz w:val="24"/>
          <w:szCs w:val="24"/>
        </w:rPr>
      </w:pPr>
    </w:p>
    <w:p w:rsidRDefault="00131A6B" w:rsidP="00131A6B" w:rsidR="00131A6B" w:rsidRPr="00131A6B">
      <w:pPr>
        <w:spacing w:lineRule="auto" w:line="240" w:after="0"/>
        <w:ind w:firstLine="708"/>
        <w:jc w:val="both"/>
        <w:rPr>
          <w:rFonts w:cs="Times New Roman" w:eastAsia="Calibri" w:hAnsi="Times New Roman" w:ascii="Times New Roman"/>
          <w:sz w:val="24"/>
          <w:szCs w:val="24"/>
        </w:rPr>
      </w:pPr>
      <w:r w:rsidRPr="00131A6B">
        <w:rPr>
          <w:rFonts w:cs="Times New Roman" w:eastAsia="Calibri" w:hAnsi="Times New Roman" w:ascii="Times New Roman"/>
          <w:sz w:val="24"/>
          <w:szCs w:val="24"/>
        </w:rPr>
        <w:t>Postupajući po žalbi – prijedlogu za ispravak rješenja, sud prvog stupnja je donio pobijano rješenje od 21. kolovoza 2017. i to na način da je ispravio grešku u pisanju s obzirom na to da je prema stanju predmeta i navodima stranaka, iznos priznate tražbine trebao biti 0,00 kn (a ne 20.986,82 kn), dok je iznos osporene tražbine trebao biti 22.736,82 kn (a ne 1.750,00 kn). Stoga je pravilno sud prvog stupnja primijenio odredbu članka 343. ZPP-a, u svezi s člankom 6. SZ-a.</w:t>
      </w:r>
    </w:p>
    <w:p w:rsidRDefault="00131A6B" w:rsidP="00131A6B" w:rsidR="00131A6B" w:rsidRPr="00131A6B">
      <w:pPr>
        <w:spacing w:lineRule="auto" w:line="240" w:after="0"/>
        <w:jc w:val="both"/>
        <w:rPr>
          <w:rFonts w:cs="Times New Roman" w:eastAsia="Calibri" w:hAnsi="Times New Roman" w:ascii="Times New Roman"/>
          <w:sz w:val="24"/>
          <w:szCs w:val="24"/>
        </w:rPr>
      </w:pPr>
    </w:p>
    <w:p w:rsidRDefault="00131A6B" w:rsidP="00131A6B" w:rsidR="00131A6B" w:rsidRPr="00131A6B">
      <w:pPr>
        <w:spacing w:lineRule="auto" w:line="240" w:after="0"/>
        <w:jc w:val="both"/>
        <w:rPr>
          <w:rFonts w:cs="Times New Roman" w:eastAsia="Calibri" w:hAnsi="Times New Roman" w:ascii="Times New Roman"/>
          <w:sz w:val="24"/>
          <w:szCs w:val="24"/>
        </w:rPr>
      </w:pPr>
      <w:r w:rsidRPr="00131A6B">
        <w:rPr>
          <w:rFonts w:cs="Times New Roman" w:eastAsia="Calibri" w:hAnsi="Times New Roman" w:ascii="Times New Roman"/>
          <w:sz w:val="24"/>
          <w:szCs w:val="24"/>
        </w:rPr>
        <w:tab/>
        <w:t>Slijedom iznesenog, valjalo je na temelju odredbe članka 380. točka 2. ZPP-a, u vezi s odredbom člankom 6. SZ-a odbiti žalbu kao neosnovanu i potvrditi pobijano rješenje te odlučiti kao u izreci.</w:t>
      </w:r>
    </w:p>
    <w:p w:rsidRDefault="00131A6B" w:rsidP="00131A6B" w:rsidR="00131A6B" w:rsidRPr="00131A6B">
      <w:pPr>
        <w:spacing w:lineRule="auto" w:line="240" w:after="0"/>
        <w:jc w:val="both"/>
        <w:rPr>
          <w:rFonts w:cs="Times New Roman" w:eastAsia="Calibri" w:hAnsi="Times New Roman" w:ascii="Times New Roman"/>
          <w:sz w:val="24"/>
          <w:szCs w:val="24"/>
        </w:rPr>
      </w:pPr>
    </w:p>
    <w:p w:rsidRDefault="00131A6B" w:rsidP="00131A6B" w:rsidR="00131A6B" w:rsidRPr="00131A6B">
      <w:pPr>
        <w:spacing w:lineRule="auto" w:line="240" w:after="0"/>
        <w:jc w:val="center"/>
        <w:rPr>
          <w:rFonts w:cs="Times New Roman" w:eastAsia="Calibri" w:hAnsi="Times New Roman" w:ascii="Times New Roman"/>
          <w:sz w:val="24"/>
          <w:szCs w:val="24"/>
        </w:rPr>
      </w:pPr>
      <w:r w:rsidRPr="00131A6B">
        <w:rPr>
          <w:rFonts w:cs="Times New Roman" w:eastAsia="Calibri" w:hAnsi="Times New Roman" w:ascii="Times New Roman"/>
          <w:sz w:val="24"/>
          <w:szCs w:val="24"/>
        </w:rPr>
        <w:t>U Zagrebu 11. listopada 2017.</w:t>
      </w:r>
    </w:p>
    <w:p w:rsidRDefault="00131A6B" w:rsidP="00131A6B" w:rsidR="00131A6B" w:rsidRPr="00131A6B">
      <w:pPr>
        <w:spacing w:lineRule="auto" w:line="240" w:after="0"/>
        <w:jc w:val="both"/>
        <w:rPr>
          <w:rFonts w:cs="Times New Roman" w:eastAsia="Calibri" w:hAnsi="Times New Roman" w:ascii="Times New Roman"/>
          <w:sz w:val="24"/>
          <w:szCs w:val="24"/>
        </w:rPr>
      </w:pPr>
    </w:p>
    <w:p w:rsidRDefault="00131A6B" w:rsidP="00131A6B" w:rsidR="00131A6B" w:rsidRPr="00131A6B">
      <w:pPr>
        <w:spacing w:lineRule="auto" w:line="240" w:after="0"/>
        <w:jc w:val="both"/>
        <w:rPr>
          <w:rFonts w:cs="Times New Roman" w:eastAsia="Calibri" w:hAnsi="Times New Roman" w:ascii="Times New Roman"/>
          <w:sz w:val="24"/>
          <w:szCs w:val="24"/>
        </w:rPr>
      </w:pPr>
      <w:r w:rsidRPr="00131A6B">
        <w:rPr>
          <w:rFonts w:cs="Times New Roman" w:eastAsia="Calibri" w:hAnsi="Times New Roman" w:ascii="Times New Roman"/>
          <w:sz w:val="24"/>
          <w:szCs w:val="24"/>
        </w:rPr>
        <w:tab/>
      </w:r>
      <w:r w:rsidRPr="00131A6B">
        <w:rPr>
          <w:rFonts w:cs="Times New Roman" w:eastAsia="Calibri" w:hAnsi="Times New Roman" w:ascii="Times New Roman"/>
          <w:sz w:val="24"/>
          <w:szCs w:val="24"/>
        </w:rPr>
        <w:tab/>
      </w:r>
      <w:r w:rsidRPr="00131A6B">
        <w:rPr>
          <w:rFonts w:cs="Times New Roman" w:eastAsia="Calibri" w:hAnsi="Times New Roman" w:ascii="Times New Roman"/>
          <w:sz w:val="24"/>
          <w:szCs w:val="24"/>
        </w:rPr>
        <w:tab/>
      </w:r>
      <w:r w:rsidRPr="00131A6B">
        <w:rPr>
          <w:rFonts w:cs="Times New Roman" w:eastAsia="Calibri" w:hAnsi="Times New Roman" w:ascii="Times New Roman"/>
          <w:sz w:val="24"/>
          <w:szCs w:val="24"/>
        </w:rPr>
        <w:tab/>
      </w:r>
      <w:r w:rsidRPr="00131A6B">
        <w:rPr>
          <w:rFonts w:cs="Times New Roman" w:eastAsia="Calibri" w:hAnsi="Times New Roman" w:ascii="Times New Roman"/>
          <w:sz w:val="24"/>
          <w:szCs w:val="24"/>
        </w:rPr>
        <w:tab/>
      </w:r>
      <w:r w:rsidRPr="00131A6B">
        <w:rPr>
          <w:rFonts w:cs="Times New Roman" w:eastAsia="Calibri" w:hAnsi="Times New Roman" w:ascii="Times New Roman"/>
          <w:sz w:val="24"/>
          <w:szCs w:val="24"/>
        </w:rPr>
        <w:tab/>
      </w:r>
      <w:r w:rsidRPr="00131A6B">
        <w:rPr>
          <w:rFonts w:cs="Times New Roman" w:eastAsia="Calibri" w:hAnsi="Times New Roman" w:ascii="Times New Roman"/>
          <w:sz w:val="24"/>
          <w:szCs w:val="24"/>
        </w:rPr>
        <w:tab/>
      </w:r>
      <w:r w:rsidRPr="00131A6B">
        <w:rPr>
          <w:rFonts w:cs="Times New Roman" w:eastAsia="Calibri" w:hAnsi="Times New Roman" w:ascii="Times New Roman"/>
          <w:sz w:val="24"/>
          <w:szCs w:val="24"/>
        </w:rPr>
        <w:tab/>
        <w:t>PREDSJEDNICA VIJEĆA</w:t>
      </w:r>
    </w:p>
    <w:p w:rsidRDefault="00131A6B" w:rsidP="00131A6B" w:rsidR="00131A6B" w:rsidRPr="00131A6B">
      <w:pPr>
        <w:spacing w:lineRule="auto" w:line="240" w:after="0"/>
        <w:jc w:val="both"/>
        <w:rPr>
          <w:rFonts w:cs="Times New Roman" w:eastAsia="Calibri" w:hAnsi="Times New Roman" w:ascii="Times New Roman"/>
          <w:sz w:val="24"/>
          <w:szCs w:val="24"/>
        </w:rPr>
      </w:pPr>
      <w:r w:rsidRPr="00131A6B">
        <w:rPr>
          <w:rFonts w:cs="Times New Roman" w:eastAsia="Calibri" w:hAnsi="Times New Roman" w:ascii="Times New Roman"/>
          <w:sz w:val="24"/>
          <w:szCs w:val="24"/>
        </w:rPr>
        <w:tab/>
      </w:r>
      <w:r w:rsidRPr="00131A6B">
        <w:rPr>
          <w:rFonts w:cs="Times New Roman" w:eastAsia="Calibri" w:hAnsi="Times New Roman" w:ascii="Times New Roman"/>
          <w:sz w:val="24"/>
          <w:szCs w:val="24"/>
        </w:rPr>
        <w:tab/>
      </w:r>
      <w:r w:rsidRPr="00131A6B">
        <w:rPr>
          <w:rFonts w:cs="Times New Roman" w:eastAsia="Calibri" w:hAnsi="Times New Roman" w:ascii="Times New Roman"/>
          <w:sz w:val="24"/>
          <w:szCs w:val="24"/>
        </w:rPr>
        <w:tab/>
      </w:r>
      <w:r w:rsidRPr="00131A6B">
        <w:rPr>
          <w:rFonts w:cs="Times New Roman" w:eastAsia="Calibri" w:hAnsi="Times New Roman" w:ascii="Times New Roman"/>
          <w:sz w:val="24"/>
          <w:szCs w:val="24"/>
        </w:rPr>
        <w:tab/>
      </w:r>
      <w:r w:rsidRPr="00131A6B">
        <w:rPr>
          <w:rFonts w:cs="Times New Roman" w:eastAsia="Calibri" w:hAnsi="Times New Roman" w:ascii="Times New Roman"/>
          <w:sz w:val="24"/>
          <w:szCs w:val="24"/>
        </w:rPr>
        <w:tab/>
      </w:r>
      <w:r w:rsidRPr="00131A6B">
        <w:rPr>
          <w:rFonts w:cs="Times New Roman" w:eastAsia="Calibri" w:hAnsi="Times New Roman" w:ascii="Times New Roman"/>
          <w:sz w:val="24"/>
          <w:szCs w:val="24"/>
        </w:rPr>
        <w:tab/>
      </w:r>
      <w:r w:rsidRPr="00131A6B">
        <w:rPr>
          <w:rFonts w:cs="Times New Roman" w:eastAsia="Calibri" w:hAnsi="Times New Roman" w:ascii="Times New Roman"/>
          <w:sz w:val="24"/>
          <w:szCs w:val="24"/>
        </w:rPr>
        <w:tab/>
      </w:r>
      <w:r w:rsidRPr="00131A6B">
        <w:rPr>
          <w:rFonts w:cs="Times New Roman" w:eastAsia="Calibri" w:hAnsi="Times New Roman" w:ascii="Times New Roman"/>
          <w:sz w:val="24"/>
          <w:szCs w:val="24"/>
        </w:rPr>
        <w:tab/>
        <w:t>JAGODA CRNOKRAK, v.r.</w:t>
      </w:r>
    </w:p>
    <w:p w:rsidRDefault="00131A6B" w:rsidP="00131A6B" w:rsidR="00131A6B" w:rsidRPr="00131A6B">
      <w:pPr>
        <w:spacing w:lineRule="auto" w:line="240" w:after="0"/>
        <w:jc w:val="both"/>
        <w:rPr>
          <w:rFonts w:cs="Times New Roman" w:eastAsia="Calibri" w:hAnsi="Times New Roman" w:ascii="Times New Roman"/>
          <w:sz w:val="24"/>
          <w:szCs w:val="24"/>
        </w:rPr>
      </w:pPr>
    </w:p>
    <w:p w:rsidRDefault="00131A6B" w:rsidP="00131A6B" w:rsidR="00131A6B" w:rsidRPr="00131A6B">
      <w:pPr>
        <w:spacing w:lineRule="auto" w:line="240" w:after="240"/>
        <w:ind w:firstLine="708" w:left="4956"/>
        <w:contextualSpacing/>
        <w:rPr>
          <w:rFonts w:cs="Times New Roman" w:eastAsia="Times New Roman" w:hAnsi="Times New Roman" w:ascii="Times New Roman"/>
          <w:sz w:val="24"/>
          <w:szCs w:val="24"/>
          <w:lang w:eastAsia="hr-HR"/>
        </w:rPr>
      </w:pPr>
      <w:r w:rsidRPr="00131A6B">
        <w:rPr>
          <w:rFonts w:cs="Times New Roman" w:eastAsia="Times New Roman" w:hAnsi="Times New Roman" w:ascii="Times New Roman"/>
          <w:sz w:val="24"/>
          <w:szCs w:val="24"/>
          <w:lang w:eastAsia="hr-HR"/>
        </w:rPr>
        <w:t>Za točnost otpravka</w:t>
      </w:r>
    </w:p>
    <w:p w:rsidRDefault="00131A6B" w:rsidP="00131A6B" w:rsidR="00131A6B" w:rsidRPr="00131A6B">
      <w:pPr>
        <w:spacing w:lineRule="auto" w:line="240" w:after="240"/>
        <w:contextualSpacing/>
        <w:rPr>
          <w:rFonts w:cs="Times New Roman" w:eastAsia="Times New Roman" w:hAnsi="Times New Roman" w:ascii="Times New Roman"/>
          <w:sz w:val="24"/>
          <w:szCs w:val="24"/>
          <w:lang w:eastAsia="hr-HR"/>
        </w:rPr>
      </w:pPr>
      <w:r w:rsidRPr="00131A6B">
        <w:rPr>
          <w:rFonts w:cs="Times New Roman" w:eastAsia="Times New Roman" w:hAnsi="Times New Roman" w:ascii="Times New Roman"/>
          <w:sz w:val="24"/>
          <w:szCs w:val="24"/>
          <w:lang w:eastAsia="hr-HR"/>
        </w:rPr>
        <w:tab/>
      </w:r>
      <w:r w:rsidRPr="00131A6B">
        <w:rPr>
          <w:rFonts w:cs="Times New Roman" w:eastAsia="Times New Roman" w:hAnsi="Times New Roman" w:ascii="Times New Roman"/>
          <w:sz w:val="24"/>
          <w:szCs w:val="24"/>
          <w:lang w:eastAsia="hr-HR"/>
        </w:rPr>
        <w:tab/>
      </w:r>
      <w:r w:rsidRPr="00131A6B">
        <w:rPr>
          <w:rFonts w:cs="Times New Roman" w:eastAsia="Times New Roman" w:hAnsi="Times New Roman" w:ascii="Times New Roman"/>
          <w:sz w:val="24"/>
          <w:szCs w:val="24"/>
          <w:lang w:eastAsia="hr-HR"/>
        </w:rPr>
        <w:tab/>
      </w:r>
      <w:r w:rsidRPr="00131A6B">
        <w:rPr>
          <w:rFonts w:cs="Times New Roman" w:eastAsia="Times New Roman" w:hAnsi="Times New Roman" w:ascii="Times New Roman"/>
          <w:sz w:val="24"/>
          <w:szCs w:val="24"/>
          <w:lang w:eastAsia="hr-HR"/>
        </w:rPr>
        <w:tab/>
      </w:r>
      <w:r w:rsidRPr="00131A6B">
        <w:rPr>
          <w:rFonts w:cs="Times New Roman" w:eastAsia="Times New Roman" w:hAnsi="Times New Roman" w:ascii="Times New Roman"/>
          <w:sz w:val="24"/>
          <w:szCs w:val="24"/>
          <w:lang w:eastAsia="hr-HR"/>
        </w:rPr>
        <w:tab/>
      </w:r>
      <w:r w:rsidRPr="00131A6B">
        <w:rPr>
          <w:rFonts w:cs="Times New Roman" w:eastAsia="Times New Roman" w:hAnsi="Times New Roman" w:ascii="Times New Roman"/>
          <w:sz w:val="24"/>
          <w:szCs w:val="24"/>
          <w:lang w:eastAsia="hr-HR"/>
        </w:rPr>
        <w:tab/>
      </w:r>
      <w:r w:rsidRPr="00131A6B">
        <w:rPr>
          <w:rFonts w:cs="Times New Roman" w:eastAsia="Times New Roman" w:hAnsi="Times New Roman" w:ascii="Times New Roman"/>
          <w:sz w:val="24"/>
          <w:szCs w:val="24"/>
          <w:lang w:eastAsia="hr-HR"/>
        </w:rPr>
        <w:tab/>
      </w:r>
      <w:r w:rsidRPr="00131A6B">
        <w:rPr>
          <w:rFonts w:cs="Times New Roman" w:eastAsia="Times New Roman" w:hAnsi="Times New Roman" w:ascii="Times New Roman"/>
          <w:sz w:val="24"/>
          <w:szCs w:val="24"/>
          <w:lang w:eastAsia="hr-HR"/>
        </w:rPr>
        <w:tab/>
        <w:t>ovlašteni službenik</w:t>
      </w:r>
    </w:p>
    <w:p w:rsidRDefault="00131A6B" w:rsidP="00131A6B" w:rsidR="00131A6B" w:rsidRPr="00131A6B">
      <w:pPr>
        <w:spacing w:lineRule="auto" w:line="240" w:after="240"/>
        <w:contextualSpacing/>
        <w:rPr>
          <w:rFonts w:cs="Times New Roman" w:eastAsia="Times New Roman" w:hAnsi="Times New Roman" w:ascii="Times New Roman"/>
          <w:sz w:val="24"/>
          <w:szCs w:val="24"/>
          <w:lang w:eastAsia="hr-HR"/>
        </w:rPr>
      </w:pPr>
    </w:p>
    <w:p w:rsidRDefault="00131A6B" w:rsidP="00131A6B" w:rsidR="00131A6B" w:rsidRPr="00131A6B">
      <w:pPr>
        <w:spacing w:lineRule="auto" w:line="240" w:after="240"/>
        <w:contextualSpacing/>
        <w:rPr>
          <w:rFonts w:cs="Times New Roman" w:eastAsia="Times New Roman" w:hAnsi="Times New Roman" w:ascii="Times New Roman"/>
          <w:sz w:val="24"/>
          <w:szCs w:val="24"/>
          <w:lang w:eastAsia="hr-HR"/>
        </w:rPr>
      </w:pPr>
      <w:r w:rsidRPr="00131A6B">
        <w:rPr>
          <w:rFonts w:cs="Times New Roman" w:eastAsia="Times New Roman" w:hAnsi="Times New Roman" w:ascii="Times New Roman"/>
          <w:sz w:val="24"/>
          <w:szCs w:val="24"/>
          <w:lang w:eastAsia="hr-HR"/>
        </w:rPr>
        <w:tab/>
      </w:r>
      <w:r w:rsidRPr="00131A6B">
        <w:rPr>
          <w:rFonts w:cs="Times New Roman" w:eastAsia="Times New Roman" w:hAnsi="Times New Roman" w:ascii="Times New Roman"/>
          <w:sz w:val="24"/>
          <w:szCs w:val="24"/>
          <w:lang w:eastAsia="hr-HR"/>
        </w:rPr>
        <w:tab/>
      </w:r>
      <w:r w:rsidRPr="00131A6B">
        <w:rPr>
          <w:rFonts w:cs="Times New Roman" w:eastAsia="Times New Roman" w:hAnsi="Times New Roman" w:ascii="Times New Roman"/>
          <w:sz w:val="24"/>
          <w:szCs w:val="24"/>
          <w:lang w:eastAsia="hr-HR"/>
        </w:rPr>
        <w:tab/>
      </w:r>
      <w:r w:rsidRPr="00131A6B">
        <w:rPr>
          <w:rFonts w:cs="Times New Roman" w:eastAsia="Times New Roman" w:hAnsi="Times New Roman" w:ascii="Times New Roman"/>
          <w:sz w:val="24"/>
          <w:szCs w:val="24"/>
          <w:lang w:eastAsia="hr-HR"/>
        </w:rPr>
        <w:tab/>
      </w:r>
      <w:r w:rsidRPr="00131A6B">
        <w:rPr>
          <w:rFonts w:cs="Times New Roman" w:eastAsia="Times New Roman" w:hAnsi="Times New Roman" w:ascii="Times New Roman"/>
          <w:sz w:val="24"/>
          <w:szCs w:val="24"/>
          <w:lang w:eastAsia="hr-HR"/>
        </w:rPr>
        <w:tab/>
      </w:r>
      <w:r w:rsidRPr="00131A6B">
        <w:rPr>
          <w:rFonts w:cs="Times New Roman" w:eastAsia="Times New Roman" w:hAnsi="Times New Roman" w:ascii="Times New Roman"/>
          <w:sz w:val="24"/>
          <w:szCs w:val="24"/>
          <w:lang w:eastAsia="hr-HR"/>
        </w:rPr>
        <w:tab/>
      </w:r>
      <w:r w:rsidRPr="00131A6B">
        <w:rPr>
          <w:rFonts w:cs="Times New Roman" w:eastAsia="Times New Roman" w:hAnsi="Times New Roman" w:ascii="Times New Roman"/>
          <w:sz w:val="24"/>
          <w:szCs w:val="24"/>
          <w:lang w:eastAsia="hr-HR"/>
        </w:rPr>
        <w:tab/>
      </w:r>
      <w:r w:rsidRPr="00131A6B">
        <w:rPr>
          <w:rFonts w:cs="Times New Roman" w:eastAsia="Times New Roman" w:hAnsi="Times New Roman" w:ascii="Times New Roman"/>
          <w:sz w:val="24"/>
          <w:szCs w:val="24"/>
          <w:lang w:eastAsia="hr-HR"/>
        </w:rPr>
        <w:tab/>
        <w:t xml:space="preserve">Brankica </w:t>
      </w:r>
      <w:proofErr w:type="spellStart"/>
      <w:r w:rsidRPr="00131A6B">
        <w:rPr>
          <w:rFonts w:cs="Times New Roman" w:eastAsia="Times New Roman" w:hAnsi="Times New Roman" w:ascii="Times New Roman"/>
          <w:sz w:val="24"/>
          <w:szCs w:val="24"/>
          <w:lang w:eastAsia="hr-HR"/>
        </w:rPr>
        <w:t>Curman</w:t>
      </w:r>
      <w:proofErr w:type="spellEnd"/>
    </w:p>
    <w:p w:rsidRDefault="000104E4" w:rsidR="000104E4"/>
    <w:sectPr w:rsidR="000104E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31A6B" w:rsidP="00131A6B" w:rsidR="00131A6B">
      <w:pPr>
        <w:spacing w:lineRule="auto" w:line="240" w:after="0"/>
      </w:pPr>
      <w:r>
        <w:separator/>
      </w:r>
    </w:p>
  </w:endnote>
  <w:endnote w:id="0" w:type="continuationSeparator">
    <w:p w:rsidRDefault="00131A6B" w:rsidP="00131A6B" w:rsidR="00131A6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31A6B" w:rsidP="00131A6B" w:rsidR="00131A6B">
      <w:pPr>
        <w:spacing w:lineRule="auto" w:line="240" w:after="0"/>
      </w:pPr>
      <w:r>
        <w:separator/>
      </w:r>
    </w:p>
  </w:footnote>
  <w:footnote w:id="0" w:type="continuationSeparator">
    <w:p w:rsidRDefault="00131A6B" w:rsidP="00131A6B" w:rsidR="00131A6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30A0" w:rsidP="00131A6B" w:rsidR="00131A6B">
    <w:pPr>
      <w:pStyle w:val="HeadereSPIS"/>
    </w:pPr>
    <w:sdt>
      <w:sdtPr>
        <w:rPr>
          <w:rStyle w:val="eSPISCCParagraphDefaultFont"/>
        </w:rPr>
        <w:alias w:val="Oznaka referade"/>
        <w:tag w:val="DomainObject.Predmet.Referada.Oznaka_1"/>
        <w:id w:val="2039546895"/>
        <w:placeholder>
          <w:docPart w:val="A7DC42A3AED34567B2F4E5C8055AA32B"/>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Pr="004B30A0">
          <w:rPr>
            <w:rStyle w:val="eSPISCCParagraphDefaultFont"/>
          </w:rPr>
          <w:t>3.St</w:t>
        </w:r>
      </w:sdtContent>
    </w:sdt>
    <w:r w:rsidR="00131A6B">
      <w:rPr>
        <w:rStyle w:val="PozadinaSvijetloCrvena"/>
      </w:rPr>
      <w:t xml:space="preserve"> </w:t>
    </w:r>
    <w:sdt>
      <w:sdtPr>
        <w:rPr>
          <w:rStyle w:val="eSPISCCParagraphDefaultFont"/>
          <w:rFonts w:eastAsia="Calibri"/>
        </w:rPr>
        <w:alias w:val="Poslovni broj dokumenta"/>
        <w:tag w:val="DomainObject.PoslovniBrojDokumenta"/>
        <w:id w:val="265122315"/>
        <w:placeholder>
          <w:docPart w:val="D9CC210FE9EE44B298DF50A5652E72D0"/>
        </w:placeholder>
        <w:showingPlcHdr/>
        <w:dataBinding w:storeItemID="{100293BC-3C9C-4740-99C7-73F5E9006100}" w:xpath="/icms/DomainObject.PoslovniBrojDokumenta/derivirana_varijabla[@naziv='DomainObject.PoslovniBrojDokumenta_1']"/>
        <w:text/>
      </w:sdtPr>
      <w:sdtEndPr>
        <w:rPr>
          <w:rStyle w:val="PozadinaSvijetloZelena"/>
          <w:rFonts w:cstheme="minorBidi"/>
          <w:noProof/>
          <w:bdr w:frame="true" w:space="0" w:sz="0" w:color="auto" w:val="none"/>
          <w:shd w:fill="CCFFCC" w:color="auto" w:val="clear"/>
        </w:rPr>
      </w:sdtEndPr>
      <w:sdtContent>
        <w:r w:rsidRPr="004B30A0">
          <w:rPr>
            <w:rStyle w:val="Tekstrezerviranogmjesta"/>
          </w:rPr>
          <w:t>.._.._.._.._.._.._.._..</w:t>
        </w:r>
      </w:sdtContent>
    </w:sdt>
  </w:p>
  <w:p w:rsidRDefault="00131A6B" w:rsidR="00131A6B">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1A6B"/>
    <w:rsid w:val="000104E4"/>
    <w:rsid w:val="00131A6B"/>
    <w:rsid w:val="004B30A0"/>
    <w:rsid w:val="007331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31A6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31A6B"/>
  </w:style>
  <w:style w:styleId="Podnoje" w:type="paragraph">
    <w:name w:val="footer"/>
    <w:basedOn w:val="Normal"/>
    <w:link w:val="PodnojeChar"/>
    <w:uiPriority w:val="99"/>
    <w:unhideWhenUsed/>
    <w:rsid w:val="00131A6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31A6B"/>
  </w:style>
  <w:style w:customStyle="true" w:styleId="HeadereSPIS" w:type="paragraph">
    <w:name w:val="Header_eSPIS"/>
    <w:basedOn w:val="Normal"/>
    <w:autoRedefine/>
    <w:qFormat/>
    <w:rsid w:val="00131A6B"/>
    <w:pPr>
      <w:spacing w:lineRule="auto" w:line="240" w:after="480"/>
      <w:ind w:firstLine="567"/>
      <w:jc w:val="right"/>
    </w:pPr>
    <w:rPr>
      <w:rFonts w:eastAsia="Times New Roman" w:hAnsi="Times New Roman" w:ascii="Times New Roman"/>
      <w:sz w:val="24"/>
      <w:szCs w:val="24"/>
      <w:lang w:eastAsia="hr-HR"/>
    </w:rPr>
  </w:style>
  <w:style w:customStyle="true" w:styleId="PozadinaSvijetloCrvena" w:type="character">
    <w:name w:val="Pozadina_SvijetloCrvena"/>
    <w:basedOn w:val="Zadanifontodlomka"/>
    <w:uiPriority w:val="3"/>
    <w:rsid w:val="00131A6B"/>
    <w:rPr>
      <w:noProof/>
      <w:bdr w:frame="true" w:space="0" w:sz="0" w:color="auto" w:val="none"/>
      <w:shd w:fill="FFCCCC" w:color="auto" w:val="clear"/>
      <w:lang w:val="hr-HR"/>
    </w:rPr>
  </w:style>
  <w:style w:customStyle="true" w:styleId="PozadinaSvijetloZelena" w:type="character">
    <w:name w:val="Pozadina_SvijetloZelena"/>
    <w:basedOn w:val="Zadanifontodlomka"/>
    <w:rsid w:val="00131A6B"/>
    <w:rPr>
      <w:noProof/>
      <w:bdr w:frame="true" w:space="0" w:sz="0" w:color="auto" w:val="none"/>
      <w:shd w:fill="CCFFCC" w:color="auto" w:val="clear"/>
      <w:lang w:val="hr-HR"/>
    </w:rPr>
  </w:style>
  <w:style w:styleId="Tekstrezerviranogmjesta" w:type="character">
    <w:name w:val="Placeholder Text"/>
    <w:basedOn w:val="Zadanifontodlomka"/>
    <w:uiPriority w:val="99"/>
    <w:semiHidden/>
    <w:rsid w:val="004B30A0"/>
    <w:rPr>
      <w:color w:val="808080"/>
      <w:bdr w:space="0" w:sz="0" w:color="auto" w:val="none"/>
      <w:shd w:fill="auto" w:color="auto" w:val="clear"/>
    </w:rPr>
  </w:style>
  <w:style w:customStyle="true" w:styleId="eSPISCCParagraphDefaultFont" w:type="character">
    <w:name w:val="eSPIS_CC_Paragraph Default Font"/>
    <w:basedOn w:val="Zadanifontodlomka"/>
    <w:rsid w:val="004B30A0"/>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B30A0"/>
    <w:rPr>
      <w:rFonts w:hAnsi="Times New Roman" w:ascii="Times New Roman"/>
      <w:sz w:val="24"/>
      <w:szCs w:val="24"/>
      <w:bdr w:space="0" w:sz="0" w:color="auto" w:val="none"/>
      <w:shd w:fill="FF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31A6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31A6B"/>
  </w:style>
  <w:style w:styleId="Podnoje" w:type="paragraph">
    <w:name w:val="footer"/>
    <w:basedOn w:val="Normal"/>
    <w:link w:val="PodnojeChar"/>
    <w:uiPriority w:val="99"/>
    <w:unhideWhenUsed/>
    <w:rsid w:val="00131A6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31A6B"/>
  </w:style>
  <w:style w:customStyle="1" w:styleId="HeadereSPIS" w:type="paragraph">
    <w:name w:val="Header_eSPIS"/>
    <w:basedOn w:val="Normal"/>
    <w:autoRedefine/>
    <w:qFormat/>
    <w:rsid w:val="00131A6B"/>
    <w:pPr>
      <w:spacing w:after="480" w:line="240" w:lineRule="auto"/>
      <w:ind w:firstLine="567"/>
      <w:jc w:val="right"/>
    </w:pPr>
    <w:rPr>
      <w:rFonts w:ascii="Times New Roman" w:eastAsia="Times New Roman" w:hAnsi="Times New Roman"/>
      <w:sz w:val="24"/>
      <w:szCs w:val="24"/>
      <w:lang w:eastAsia="hr-HR"/>
    </w:rPr>
  </w:style>
  <w:style w:customStyle="1" w:styleId="PozadinaSvijetloCrvena" w:type="character">
    <w:name w:val="Pozadina_SvijetloCrvena"/>
    <w:basedOn w:val="Zadanifontodlomka"/>
    <w:uiPriority w:val="3"/>
    <w:rsid w:val="00131A6B"/>
    <w:rPr>
      <w:noProof/>
      <w:bdr w:color="auto" w:frame="1" w:space="0" w:sz="0" w:val="none"/>
      <w:shd w:color="auto" w:fill="FFCCCC" w:val="clear"/>
      <w:lang w:val="hr-HR"/>
    </w:rPr>
  </w:style>
  <w:style w:customStyle="1" w:styleId="PozadinaSvijetloZelena" w:type="character">
    <w:name w:val="Pozadina_SvijetloZelena"/>
    <w:basedOn w:val="Zadanifontodlomka"/>
    <w:rsid w:val="00131A6B"/>
    <w:rPr>
      <w:noProof/>
      <w:bdr w:color="auto" w:frame="1" w:space="0" w:sz="0" w:val="none"/>
      <w:shd w:color="auto" w:fill="CCFFCC" w:val="clear"/>
      <w:lang w:val="hr-HR"/>
    </w:rPr>
  </w:style>
  <w:style w:styleId="Tekstrezerviranogmjesta" w:type="character">
    <w:name w:val="Placeholder Text"/>
    <w:basedOn w:val="Zadanifontodlomka"/>
    <w:uiPriority w:val="99"/>
    <w:semiHidden/>
    <w:rsid w:val="004B30A0"/>
    <w:rPr>
      <w:color w:val="808080"/>
      <w:bdr w:color="auto" w:space="0" w:sz="0" w:val="none"/>
      <w:shd w:color="auto" w:fill="auto" w:val="clear"/>
    </w:rPr>
  </w:style>
  <w:style w:customStyle="1" w:styleId="eSPISCCParagraphDefaultFont" w:type="character">
    <w:name w:val="eSPIS_CC_Paragraph Default Font"/>
    <w:basedOn w:val="Zadanifontodlomka"/>
    <w:rsid w:val="004B30A0"/>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B30A0"/>
    <w:rPr>
      <w:rFonts w:ascii="Times New Roman" w:hAnsi="Times New Roman"/>
      <w:sz w:val="24"/>
      <w:szCs w:val="24"/>
      <w:bdr w:color="auto" w:space="0" w:sz="0" w:val="none"/>
      <w:shd w:color="auto" w:fill="FF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07329902">
      <w:bodyDiv w:val="true"/>
      <w:marLeft w:val="0"/>
      <w:marRight w:val="0"/>
      <w:marTop w:val="0"/>
      <w:marBottom w:val="0"/>
      <w:divBdr>
        <w:top w:space="0" w:sz="0" w:color="auto" w:val="none"/>
        <w:left w:space="0" w:sz="0" w:color="auto" w:val="none"/>
        <w:bottom w:space="0" w:sz="0" w:color="auto" w:val="none"/>
        <w:right w:space="0" w:sz="0" w:color="auto" w:val="none"/>
      </w:divBdr>
    </w:div>
    <w:div w:id="15195398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2.jpg@01CCFBB1.81EABE90"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7DC42A3AED34567B2F4E5C8055AA32B"/>
        <w:category>
          <w:name w:val="Općenito"/>
          <w:gallery w:val="placeholder"/>
        </w:category>
        <w:types>
          <w:type w:val="bbPlcHdr"/>
        </w:types>
        <w:behaviors>
          <w:behavior w:val="content"/>
        </w:behaviors>
        <w:guid w:val="{D7B7EC92-D9C0-40C0-8A02-98F28075F0F7}"/>
      </w:docPartPr>
      <w:docPartBody>
        <w:p w:rsidRDefault="00850854" w:rsidP="00850854" w:rsidR="003B6C79">
          <w:pPr>
            <w:pStyle w:val="A7DC42A3AED34567B2F4E5C8055AA32B"/>
          </w:pPr>
          <w:r>
            <w:rPr>
              <w:rStyle w:val="Tekstrezerviranogmjesta"/>
            </w:rPr>
            <w:t>.._.._.._.._.._.._.._..</w:t>
          </w:r>
        </w:p>
      </w:docPartBody>
    </w:docPart>
    <w:docPart>
      <w:docPartPr>
        <w:name w:val="D9CC210FE9EE44B298DF50A5652E72D0"/>
        <w:category>
          <w:name w:val="Općenito"/>
          <w:gallery w:val="placeholder"/>
        </w:category>
        <w:types>
          <w:type w:val="bbPlcHdr"/>
        </w:types>
        <w:behaviors>
          <w:behavior w:val="content"/>
        </w:behaviors>
        <w:guid w:val="{ECF7CAB3-6C9F-4A9E-9032-A592B351A774}"/>
      </w:docPartPr>
      <w:docPartBody>
        <w:p w:rsidRDefault="00850854" w:rsidP="00850854" w:rsidR="003B6C79">
          <w:pPr>
            <w:pStyle w:val="D9CC210FE9EE44B298DF50A5652E72D0"/>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0854"/>
    <w:rsid w:val="003B6C79"/>
    <w:rsid w:val="008508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850854"/>
  </w:style>
  <w:style w:customStyle="true" w:styleId="A7DC42A3AED34567B2F4E5C8055AA32B" w:type="paragraph">
    <w:name w:val="A7DC42A3AED34567B2F4E5C8055AA32B"/>
    <w:rsid w:val="00850854"/>
  </w:style>
  <w:style w:customStyle="true" w:styleId="D9CC210FE9EE44B298DF50A5652E72D0" w:type="paragraph">
    <w:name w:val="D9CC210FE9EE44B298DF50A5652E72D0"/>
    <w:rsid w:val="00850854"/>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850854"/>
  </w:style>
  <w:style w:customStyle="1" w:styleId="A7DC42A3AED34567B2F4E5C8055AA32B" w:type="paragraph">
    <w:name w:val="A7DC42A3AED34567B2F4E5C8055AA32B"/>
    <w:rsid w:val="00850854"/>
  </w:style>
  <w:style w:customStyle="1" w:styleId="D9CC210FE9EE44B298DF50A5652E72D0" w:type="paragraph">
    <w:name w:val="D9CC210FE9EE44B298DF50A5652E72D0"/>
    <w:rsid w:val="00850854"/>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Pž-6201/2017 odbija se kao neosnovana žalba vj. Anke Lončar i potvrđuje tješenje -56 od 21.8.2017.</izvorni_sadrzaj>
    <derivirana_varijabla naziv="DomainObject.Primjedba_1">Pž-6201/2017 odbija se kao neosnovana žalba vj. Anke Lončar i potvrđuje tješenje -56 od 21.8.2017.</derivirana_varijabla>
  </DomainObject.Primjedba>
  <DomainObject.Oznaka>
    <izvorni_sadrzaj>St-207/2015-67</izvorni_sadrzaj>
    <derivirana_varijabla naziv="DomainObject.Oznaka_1">St-207/2015-67</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izvorni_sadrzaj>
    <derivirana_varijabla naziv="DomainObject.Predmet.Broj_1">207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2015.</izvorni_sadrzaj>
    <derivirana_varijabla naziv="DomainObject.Predmet.DatumOsnivanja_1">11.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St-207/2015</izvorni_sadrzaj>
    <derivirana_varijabla naziv="DomainObject.Predmet.OznakaBroj_1">St-207/2015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AETERNA ALEX d.o.o. za trgovinu i usluge zastupanog po punomoćniku OD BELOŠA &amp; JUKIĆ</izvorni_sadrzaj>
    <derivirana_varijabla naziv="DomainObject.Predmet.ProtustrankaFormated_1">  AETERNA ALEX d.o.o. za trgovinu i usluge zastupanog po punomoćniku OD BELOŠA &amp; JUKIĆ</derivirana_varijabla>
  </DomainObject.Predmet.ProtustrankaFormated>
  <DomainObject.Predmet.ProtustrankaFormatedOIB>
    <izvorni_sadrzaj>  AETERNA ALEX d.o.o. za trgovinu i usluge, OIB 27025040845 zastupanog po punomoćniku OD BELOŠA &amp; JUKIĆ</izvorni_sadrzaj>
    <derivirana_varijabla naziv="DomainObject.Predmet.ProtustrankaFormatedOIB_1">  AETERNA ALEX d.o.o. za trgovinu i usluge, OIB 27025040845 zastupanog po punomoćniku OD BELOŠA &amp; JUKIĆ</derivirana_varijabla>
  </DomainObject.Predmet.ProtustrankaFormatedOIB>
  <DomainObject.Predmet.ProtustrankaFormatedWithAdress>
    <izvorni_sadrzaj> AETERNA ALEX d.o.o. za trgovinu i usluge, Radnička cesta 80, 10000 Zagreb zastupanog po punomoćniku OD BELOŠA &amp; JUKIĆ</izvorni_sadrzaj>
    <derivirana_varijabla naziv="DomainObject.Predmet.ProtustrankaFormatedWithAdress_1"> AETERNA ALEX d.o.o. za trgovinu i usluge, Radnička cesta 80, 10000 Zagreb zastupanog po punomoćniku OD BELOŠA &amp; JUKIĆ</derivirana_varijabla>
  </DomainObject.Predmet.ProtustrankaFormatedWithAdress>
  <DomainObject.Predmet.ProtustrankaFormatedWithAdressOIB>
    <izvorni_sadrzaj> AETERNA ALEX d.o.o. za trgovinu i usluge, OIB 27025040845, Radnička cesta 80, 10000 Zagreb zastupanog po punomoćniku OD BELOŠA &amp; JUKIĆ</izvorni_sadrzaj>
    <derivirana_varijabla naziv="DomainObject.Predmet.ProtustrankaFormatedWithAdressOIB_1"> AETERNA ALEX d.o.o. za trgovinu i usluge, OIB 27025040845, Radnička cesta 80, 10000 Zagreb zastupanog po punomoćniku OD BELOŠA &amp; JUKIĆ</derivirana_varijabla>
  </DomainObject.Predmet.ProtustrankaFormatedWithAdressOIB>
  <DomainObject.Predmet.ProtustrankaWithAdress>
    <izvorni_sadrzaj>AETERNA ALEX d.o.o. za trgovinu i usluge Radnička cesta 80, 10000 Zagreb</izvorni_sadrzaj>
    <derivirana_varijabla naziv="DomainObject.Predmet.ProtustrankaWithAdress_1">AETERNA ALEX d.o.o. za trgovinu i usluge Radnička cesta 80, 10000 Zagreb</derivirana_varijabla>
  </DomainObject.Predmet.ProtustrankaWithAdress>
  <DomainObject.Predmet.ProtustrankaWithAdressOIB>
    <izvorni_sadrzaj>AETERNA ALEX d.o.o. za trgovinu i usluge, OIB 27025040845, Radnička cesta 80, 10000 Zagreb</izvorni_sadrzaj>
    <derivirana_varijabla naziv="DomainObject.Predmet.ProtustrankaWithAdressOIB_1">AETERNA ALEX d.o.o. za trgovinu i usluge, OIB 27025040845, Radnička cesta 80, 10000 Zagreb</derivirana_varijabla>
  </DomainObject.Predmet.ProtustrankaWithAdressOIB>
  <DomainObject.Predmet.ProtustrankaNazivFormated>
    <izvorni_sadrzaj>AETERNA ALEX d.o.o. za trgovinu i usluge</izvorni_sadrzaj>
    <derivirana_varijabla naziv="DomainObject.Predmet.ProtustrankaNazivFormated_1">AETERNA ALEX d.o.o. za trgovinu i usluge</derivirana_varijabla>
  </DomainObject.Predmet.ProtustrankaNazivFormated>
  <DomainObject.Predmet.ProtustrankaNazivFormatedOIB>
    <izvorni_sadrzaj>AETERNA ALEX d.o.o. za trgovinu i usluge, OIB 27025040845</izvorni_sadrzaj>
    <derivirana_varijabla naziv="DomainObject.Predmet.ProtustrankaNazivFormatedOIB_1">AETERNA ALEX d.o.o. za trgovinu i usluge, OIB 27025040845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EAST CONSTRUCTION &amp; ENGINEERING LLC</izvorni_sadrzaj>
    <derivirana_varijabla naziv="DomainObject.Predmet.StrankaFormated_1">  EAST CONSTRUCTION &amp; ENGINEERING LLC</derivirana_varijabla>
  </DomainObject.Predmet.StrankaFormated>
  <DomainObject.Predmet.StrankaFormatedOIB>
    <izvorni_sadrzaj>  EAST CONSTRUCTION &amp; ENGINEERING LLC, OIB 90273308033</izvorni_sadrzaj>
    <derivirana_varijabla naziv="DomainObject.Predmet.StrankaFormatedOIB_1">  EAST CONSTRUCTION &amp; ENGINEERING LLC, OIB 90273308033</derivirana_varijabla>
  </DomainObject.Predmet.StrankaFormatedOIB>
  <DomainObject.Predmet.StrankaFormatedWithAdress>
    <izvorni_sadrzaj> EAST CONSTRUCTION &amp; ENGINEERING LLC, Okrug Sussex, Deolaware</izvorni_sadrzaj>
    <derivirana_varijabla naziv="DomainObject.Predmet.StrankaFormatedWithAdress_1"> EAST CONSTRUCTION &amp; ENGINEERING LLC, Okrug Sussex, Deolaware</derivirana_varijabla>
  </DomainObject.Predmet.StrankaFormatedWithAdress>
  <DomainObject.Predmet.StrankaFormatedWithAdressOIB>
    <izvorni_sadrzaj> EAST CONSTRUCTION &amp; ENGINEERING LLC, OIB 90273308033, Okrug Sussex, Deolaware</izvorni_sadrzaj>
    <derivirana_varijabla naziv="DomainObject.Predmet.StrankaFormatedWithAdressOIB_1"> EAST CONSTRUCTION &amp; ENGINEERING LLC, OIB 90273308033, Okrug Sussex, Deolaware</derivirana_varijabla>
  </DomainObject.Predmet.StrankaFormatedWithAdressOIB>
  <DomainObject.Predmet.StrankaWithAdress>
    <izvorni_sadrzaj>EAST CONSTRUCTION &amp; ENGINEERING LLC Okrug Sussex,Deolaware</izvorni_sadrzaj>
    <derivirana_varijabla naziv="DomainObject.Predmet.StrankaWithAdress_1">EAST CONSTRUCTION &amp; ENGINEERING LLC Okrug Sussex,Deolaware</derivirana_varijabla>
  </DomainObject.Predmet.StrankaWithAdress>
  <DomainObject.Predmet.StrankaWithAdressOIB>
    <izvorni_sadrzaj>EAST CONSTRUCTION &amp; ENGINEERING LLC, OIB 90273308033, Okrug Sussex,Deolaware</izvorni_sadrzaj>
    <derivirana_varijabla naziv="DomainObject.Predmet.StrankaWithAdressOIB_1">EAST CONSTRUCTION &amp; ENGINEERING LLC, OIB 90273308033, Okrug Sussex,Deolaware</derivirana_varijabla>
  </DomainObject.Predmet.StrankaWithAdressOIB>
  <DomainObject.Predmet.StrankaNazivFormated>
    <izvorni_sadrzaj>EAST CONSTRUCTION &amp; ENGINEERING LLC</izvorni_sadrzaj>
    <derivirana_varijabla naziv="DomainObject.Predmet.StrankaNazivFormated_1">EAST CONSTRUCTION &amp; ENGINEERING LLC</derivirana_varijabla>
  </DomainObject.Predmet.StrankaNazivFormated>
  <DomainObject.Predmet.StrankaNazivFormatedOIB>
    <izvorni_sadrzaj>EAST CONSTRUCTION &amp; ENGINEERING LLC, OIB 90273308033</izvorni_sadrzaj>
    <derivirana_varijabla naziv="DomainObject.Predmet.StrankaNazivFormatedOIB_1">EAST CONSTRUCTION &amp; ENGINEERING LLC, OIB 90273308033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EAST CONSTRUCTION &amp; ENGINEERING LLC</item>
    </izvorni_sadrzaj>
    <derivirana_varijabla naziv="DomainObject.Predmet.StrankaListFormated_1">
      <item>EAST CONSTRUCTION &amp; ENGINEERING LLC</item>
    </derivirana_varijabla>
  </DomainObject.Predmet.StrankaListFormated>
  <DomainObject.Predmet.StrankaListFormatedOIB>
    <izvorni_sadrzaj>
      <item>EAST CONSTRUCTION &amp; ENGINEERING LLC, OIB 90273308033</item>
    </izvorni_sadrzaj>
    <derivirana_varijabla naziv="DomainObject.Predmet.StrankaListFormatedOIB_1">
      <item>EAST CONSTRUCTION &amp; ENGINEERING LLC, OIB 90273308033</item>
    </derivirana_varijabla>
  </DomainObject.Predmet.StrankaListFormatedOIB>
  <DomainObject.Predmet.StrankaListFormatedWithAdress>
    <izvorni_sadrzaj>
      <item>EAST CONSTRUCTION &amp; ENGINEERING LLC, Okrug Sussex, Deolaware</item>
    </izvorni_sadrzaj>
    <derivirana_varijabla naziv="DomainObject.Predmet.StrankaListFormatedWithAdress_1">
      <item>EAST CONSTRUCTION &amp; ENGINEERING LLC, Okrug Sussex, Deolaware</item>
    </derivirana_varijabla>
  </DomainObject.Predmet.StrankaListFormatedWithAdress>
  <DomainObject.Predmet.StrankaListFormatedWithAdressOIB>
    <izvorni_sadrzaj>
      <item>EAST CONSTRUCTION &amp; ENGINEERING LLC, OIB 90273308033, Okrug Sussex, Deolaware</item>
    </izvorni_sadrzaj>
    <derivirana_varijabla naziv="DomainObject.Predmet.StrankaListFormatedWithAdressOIB_1">
      <item>EAST CONSTRUCTION &amp; ENGINEERING LLC, OIB 90273308033, Okrug Sussex, Deolaware</item>
    </derivirana_varijabla>
  </DomainObject.Predmet.StrankaListFormatedWithAdressOIB>
  <DomainObject.Predmet.StrankaListNazivFormated>
    <izvorni_sadrzaj>
      <item>EAST CONSTRUCTION &amp; ENGINEERING LLC</item>
    </izvorni_sadrzaj>
    <derivirana_varijabla naziv="DomainObject.Predmet.StrankaListNazivFormated_1">
      <item>EAST CONSTRUCTION &amp; ENGINEERING LLC</item>
    </derivirana_varijabla>
  </DomainObject.Predmet.StrankaListNazivFormated>
  <DomainObject.Predmet.StrankaListNazivFormatedOIB>
    <izvorni_sadrzaj>
      <item>EAST CONSTRUCTION &amp; ENGINEERING LLC, OIB 90273308033</item>
    </izvorni_sadrzaj>
    <derivirana_varijabla naziv="DomainObject.Predmet.StrankaListNazivFormatedOIB_1">
      <item>EAST CONSTRUCTION &amp; ENGINEERING LLC, OIB 90273308033</item>
    </derivirana_varijabla>
  </DomainObject.Predmet.StrankaListNazivFormatedOIB>
  <DomainObject.Predmet.ProtuStrankaListFormated>
    <izvorni_sadrzaj>
      <item>AETERNA ALEX d.o.o. za trgovinu i usluge zastupanog po punomoćniku OD BELOŠA &amp; JUKIĆ</item>
    </izvorni_sadrzaj>
    <derivirana_varijabla naziv="DomainObject.Predmet.ProtuStrankaListFormated_1">
      <item>AETERNA ALEX d.o.o. za trgovinu i usluge zastupanog po punomoćniku OD BELOŠA &amp; JUKIĆ</item>
    </derivirana_varijabla>
  </DomainObject.Predmet.ProtuStrankaListFormated>
  <DomainObject.Predmet.ProtuStrankaListFormatedOIB>
    <izvorni_sadrzaj>
      <item>AETERNA ALEX d.o.o. za trgovinu i usluge, OIB 27025040845 zastupanog po punomoćniku OD BELOŠA &amp; JUKIĆ</item>
    </izvorni_sadrzaj>
    <derivirana_varijabla naziv="DomainObject.Predmet.ProtuStrankaListFormatedOIB_1">
      <item>AETERNA ALEX d.o.o. za trgovinu i usluge, OIB 27025040845 zastupanog po punomoćniku OD BELOŠA &amp; JUKIĆ</item>
    </derivirana_varijabla>
  </DomainObject.Predmet.ProtuStrankaListFormatedOIB>
  <DomainObject.Predmet.ProtuStrankaListFormatedWithAdress>
    <izvorni_sadrzaj>
      <item>AETERNA ALEX d.o.o. za trgovinu i usluge, Radnička cesta 80, 10000 Zagreb zastupanog po punomoćniku OD BELOŠA &amp; JUKIĆ</item>
    </izvorni_sadrzaj>
    <derivirana_varijabla naziv="DomainObject.Predmet.ProtuStrankaListFormatedWithAdress_1">
      <item>AETERNA ALEX d.o.o. za trgovinu i usluge, Radnička cesta 80, 10000 Zagreb zastupanog po punomoćniku OD BELOŠA &amp; JUKIĆ</item>
    </derivirana_varijabla>
  </DomainObject.Predmet.ProtuStrankaListFormatedWithAdress>
  <DomainObject.Predmet.ProtuStrankaListFormatedWithAdressOIB>
    <izvorni_sadrzaj>
      <item>AETERNA ALEX d.o.o. za trgovinu i usluge, OIB 27025040845, Radnička cesta 80, 10000 Zagreb zastupanog po punomoćniku OD BELOŠA &amp; JUKIĆ</item>
    </izvorni_sadrzaj>
    <derivirana_varijabla naziv="DomainObject.Predmet.ProtuStrankaListFormatedWithAdressOIB_1">
      <item>AETERNA ALEX d.o.o. za trgovinu i usluge, OIB 27025040845, Radnička cesta 80, 10000 Zagreb zastupanog po punomoćniku OD BELOŠA &amp; JUKIĆ</item>
    </derivirana_varijabla>
  </DomainObject.Predmet.ProtuStrankaListFormatedWithAdressOIB>
  <DomainObject.Predmet.ProtuStrankaListNazivFormated>
    <izvorni_sadrzaj>
      <item>AETERNA ALEX d.o.o. za trgovinu i usluge</item>
    </izvorni_sadrzaj>
    <derivirana_varijabla naziv="DomainObject.Predmet.ProtuStrankaListNazivFormated_1">
      <item>AETERNA ALEX d.o.o. za trgovinu i usluge</item>
    </derivirana_varijabla>
  </DomainObject.Predmet.ProtuStrankaListNazivFormated>
  <DomainObject.Predmet.ProtuStrankaListNazivFormatedOIB>
    <izvorni_sadrzaj>
      <item>AETERNA ALEX d.o.o. za trgovinu i usluge, OIB 27025040845</item>
    </izvorni_sadrzaj>
    <derivirana_varijabla naziv="DomainObject.Predmet.ProtuStrankaListNazivFormatedOIB_1">
      <item>AETERNA ALEX d.o.o. za trgovinu i usluge, OIB 27025040845</item>
    </derivirana_varijabla>
  </DomainObject.Predmet.ProtuStrankaListNazivFormatedOIB>
  <DomainObject.Predmet.OstaliListFormated>
    <izvorni_sadrzaj>
      <item>OD Gajski, Grlić, Prka, Saucha i partneri-OPOZIV PUNOMOĆI</item>
      <item>Ivica Restović</item>
      <item>OD HANŽEKOVIĆ I PARTNERI-OPOZIV PUNOMOĆI</item>
      <item>OD BELOŠA &amp; JUKIĆ punomoćnik sudionika u postupku AETERNA ALEX d.o.o. za trgovinu i usluge</item>
      <item>Zdravko Mitak</item>
    </izvorni_sadrzaj>
    <derivirana_varijabla naziv="DomainObject.Predmet.OstaliListFormated_1">
      <item>OD Gajski, Grlić, Prka, Saucha i partneri-OPOZIV PUNOMOĆI</item>
      <item>Ivica Restović</item>
      <item>OD HANŽEKOVIĆ I PARTNERI-OPOZIV PUNOMOĆI</item>
      <item>OD BELOŠA &amp; JUKIĆ punomoćnik sudionika u postupku AETERNA ALEX d.o.o. za trgovinu i usluge</item>
      <item>Zdravko Mitak</item>
    </derivirana_varijabla>
  </DomainObject.Predmet.OstaliListFormated>
  <DomainObject.Predmet.OstaliListFormatedOIB>
    <izvorni_sadrzaj>
      <item>OD Gajski, Grlić, Prka, Saucha i partneri-OPOZIV PUNOMOĆI</item>
      <item>Ivica Restović</item>
      <item>OD HANŽEKOVIĆ I PARTNERI-OPOZIV PUNOMOĆI</item>
      <item>OD BELOŠA &amp; JUKIĆ punomoćnik sudionika u postupku AETERNA ALEX d.o.o. za trgovinu i usluge</item>
      <item>Zdravko Mitak, OIB 25916717450</item>
    </izvorni_sadrzaj>
    <derivirana_varijabla naziv="DomainObject.Predmet.OstaliListFormatedOIB_1">
      <item>OD Gajski, Grlić, Prka, Saucha i partneri-OPOZIV PUNOMOĆI</item>
      <item>Ivica Restović</item>
      <item>OD HANŽEKOVIĆ I PARTNERI-OPOZIV PUNOMOĆI</item>
      <item>OD BELOŠA &amp; JUKIĆ punomoćnik sudionika u postupku AETERNA ALEX d.o.o. za trgovinu i usluge</item>
      <item>Zdravko Mitak, OIB 25916717450</item>
    </derivirana_varijabla>
  </DomainObject.Predmet.OstaliListFormatedOIB>
  <DomainObject.Predmet.OstaliListFormatedWithAdress>
    <izvorni_sadrzaj>
      <item>OD Gajski, Grlić, Prka, Saucha i partneri-OPOZIV PUNOMOĆI, Dalmatinska 10, 10000 Zagreb</item>
      <item>Ivica Restović, Gorička 12, 21000 Split</item>
      <item>OD HANŽEKOVIĆ I PARTNERI-OPOZIV PUNOMOĆI, RADNIČKA CESTA 22, 10000 Zagreb</item>
      <item>OD BELOŠA &amp; JUKIĆ, Martićeva 31c, 10000 Zagreb punomoćnik sudionika u postupku AETERNA ALEX d.o.o. za trgovinu i usluge</item>
      <item>Zdravko Mitak, Zelenjak 53, 10000 Zagreb</item>
    </izvorni_sadrzaj>
    <derivirana_varijabla naziv="DomainObject.Predmet.OstaliListFormatedWithAdress_1">
      <item>OD Gajski, Grlić, Prka, Saucha i partneri-OPOZIV PUNOMOĆI, Dalmatinska 10, 10000 Zagreb</item>
      <item>Ivica Restović, Gorička 12, 21000 Split</item>
      <item>OD HANŽEKOVIĆ I PARTNERI-OPOZIV PUNOMOĆI, RADNIČKA CESTA 22, 10000 Zagreb</item>
      <item>OD BELOŠA &amp; JUKIĆ, Martićeva 31c, 10000 Zagreb punomoćnik sudionika u postupku AETERNA ALEX d.o.o. za trgovinu i usluge</item>
      <item>Zdravko Mitak, Zelenjak 53, 10000 Zagreb</item>
    </derivirana_varijabla>
  </DomainObject.Predmet.OstaliListFormatedWithAdress>
  <DomainObject.Predmet.OstaliListFormatedWithAdressOIB>
    <izvorni_sadrzaj>
      <item>OD Gajski, Grlić, Prka, Saucha i partneri-OPOZIV PUNOMOĆI, Dalmatinska 10, 10000 Zagreb</item>
      <item>Ivica Restović, Gorička 12, 21000 Split</item>
      <item>OD HANŽEKOVIĆ I PARTNERI-OPOZIV PUNOMOĆI, RADNIČKA CESTA 22, 10000 Zagreb</item>
      <item>OD BELOŠA &amp; JUKIĆ, Martićeva 31c, 10000 Zagreb punomoćnik sudionika u postupku AETERNA ALEX d.o.o. za trgovinu i usluge</item>
      <item>Zdravko Mitak, OIB 25916717450, Zelenjak 53, 10000 Zagreb</item>
    </izvorni_sadrzaj>
    <derivirana_varijabla naziv="DomainObject.Predmet.OstaliListFormatedWithAdressOIB_1">
      <item>OD Gajski, Grlić, Prka, Saucha i partneri-OPOZIV PUNOMOĆI, Dalmatinska 10, 10000 Zagreb</item>
      <item>Ivica Restović, Gorička 12, 21000 Split</item>
      <item>OD HANŽEKOVIĆ I PARTNERI-OPOZIV PUNOMOĆI, RADNIČKA CESTA 22, 10000 Zagreb</item>
      <item>OD BELOŠA &amp; JUKIĆ, Martićeva 31c, 10000 Zagreb punomoćnik sudionika u postupku AETERNA ALEX d.o.o. za trgovinu i usluge</item>
      <item>Zdravko Mitak, OIB 25916717450, Zelenjak 53, 10000 Zagreb</item>
    </derivirana_varijabla>
  </DomainObject.Predmet.OstaliListFormatedWithAdressOIB>
  <DomainObject.Predmet.OstaliListNazivFormated>
    <izvorni_sadrzaj>
      <item>OD Gajski, Grlić, Prka, Saucha i partneri-OPOZIV PUNOMOĆI</item>
      <item>Ivica Restović</item>
      <item>OD HANŽEKOVIĆ I PARTNERI-OPOZIV PUNOMOĆI</item>
      <item>OD BELOŠA &amp; JUKIĆ</item>
      <item>Zdravko Mitak</item>
    </izvorni_sadrzaj>
    <derivirana_varijabla naziv="DomainObject.Predmet.OstaliListNazivFormated_1">
      <item>OD Gajski, Grlić, Prka, Saucha i partneri-OPOZIV PUNOMOĆI</item>
      <item>Ivica Restović</item>
      <item>OD HANŽEKOVIĆ I PARTNERI-OPOZIV PUNOMOĆI</item>
      <item>OD BELOŠA &amp; JUKIĆ</item>
      <item>Zdravko Mitak</item>
    </derivirana_varijabla>
  </DomainObject.Predmet.OstaliListNazivFormated>
  <DomainObject.Predmet.OstaliListNazivFormatedOIB>
    <izvorni_sadrzaj>
      <item>OD Gajski, Grlić, Prka, Saucha i partneri-OPOZIV PUNOMOĆI</item>
      <item>Ivica Restović</item>
      <item>OD HANŽEKOVIĆ I PARTNERI-OPOZIV PUNOMOĆI</item>
      <item>OD BELOŠA &amp; JUKIĆ</item>
      <item>Zdravko Mitak, OIB 25916717450</item>
    </izvorni_sadrzaj>
    <derivirana_varijabla naziv="DomainObject.Predmet.OstaliListNazivFormatedOIB_1">
      <item>OD Gajski, Grlić, Prka, Saucha i partneri-OPOZIV PUNOMOĆI</item>
      <item>Ivica Restović</item>
      <item>OD HANŽEKOVIĆ I PARTNERI-OPOZIV PUNOMOĆI</item>
      <item>OD BELOŠA &amp; JUKIĆ</item>
      <item>Zdravko Mitak, OIB 25916717450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
    <derivirana_varijabla naziv="DomainObject.PoslovniBrojDokumenta_1"/>
  </DomainObject.PoslovniBrojDokumenta>
  <DomainObject.Predmet.StrankaIDrugi>
    <izvorni_sadrzaj>EAST CONSTRUCTION &amp; ENGINEERING LLC</izvorni_sadrzaj>
    <derivirana_varijabla naziv="DomainObject.Predmet.StrankaIDrugi_1">EAST CONSTRUCTION &amp; ENGINEERING LLC</derivirana_varijabla>
  </DomainObject.Predmet.StrankaIDrugi>
  <DomainObject.Predmet.ProtustrankaIDrugi>
    <izvorni_sadrzaj>AETERNA ALEX d.o.o. za trgovinu i usluge</izvorni_sadrzaj>
    <derivirana_varijabla naziv="DomainObject.Predmet.ProtustrankaIDrugi_1">AETERNA ALEX d.o.o. za trgovinu i usluge</derivirana_varijabla>
  </DomainObject.Predmet.ProtustrankaIDrugi>
  <DomainObject.Predmet.StrankaIDrugiAdressOIB>
    <izvorni_sadrzaj>EAST CONSTRUCTION &amp; ENGINEERING LLC, OIB 90273308033, Okrug Sussex, Deolaware</izvorni_sadrzaj>
    <derivirana_varijabla naziv="DomainObject.Predmet.StrankaIDrugiAdressOIB_1">EAST CONSTRUCTION &amp; ENGINEERING LLC, OIB 90273308033, Okrug Sussex, Deolaware</derivirana_varijabla>
  </DomainObject.Predmet.StrankaIDrugiAdressOIB>
  <DomainObject.Predmet.ProtustrankaIDrugiAdressOIB>
    <izvorni_sadrzaj>AETERNA ALEX d.o.o. za trgovinu i usluge, OIB 27025040845, Radnička cesta 80, 10000 Zagreb</izvorni_sadrzaj>
    <derivirana_varijabla naziv="DomainObject.Predmet.ProtustrankaIDrugiAdressOIB_1">AETERNA ALEX d.o.o. za trgovinu i usluge, OIB 27025040845, Radnička cesta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 Gajski, Grlić, Prka, Saucha i partneri-OPOZIV PUNOMOĆI</item>
      <item>EAST CONSTRUCTION &amp; ENGINEERING LLC</item>
      <item>AETERNA ALEX d.o.o. za trgovinu i usluge</item>
      <item>Ivica Restović</item>
      <item>OD HANŽEKOVIĆ I PARTNERI-OPOZIV PUNOMOĆI</item>
      <item>OD BELOŠA &amp; JUKIĆ</item>
      <item>Zdravko Mitak</item>
    </izvorni_sadrzaj>
    <derivirana_varijabla naziv="DomainObject.Predmet.SudioniciListNaziv_1">
      <item>OD Gajski, Grlić, Prka, Saucha i partneri-OPOZIV PUNOMOĆI</item>
      <item>EAST CONSTRUCTION &amp; ENGINEERING LLC</item>
      <item>AETERNA ALEX d.o.o. za trgovinu i usluge</item>
      <item>Ivica Restović</item>
      <item>OD HANŽEKOVIĆ I PARTNERI-OPOZIV PUNOMOĆI</item>
      <item>OD BELOŠA &amp; JUKIĆ</item>
      <item>Zdravko Mitak</item>
    </derivirana_varijabla>
  </DomainObject.Predmet.SudioniciListNaziv>
  <DomainObject.Predmet.SudioniciListAdressOIB>
    <izvorni_sadrzaj>
      <item>OD Gajski, Grlić, Prka, Saucha i partneri-OPOZIV PUNOMOĆI, Dalmatinska 10,10000 Zagreb</item>
      <item>EAST CONSTRUCTION &amp; ENGINEERING LLC, OIB 90273308033, Okrug Sussex,Deolaware</item>
      <item>AETERNA ALEX d.o.o. za trgovinu i usluge, OIB 27025040845, Radnička cesta 80,10000 Zagreb</item>
      <item>Ivica Restović, Gorička 12,21000 Split</item>
      <item>OD HANŽEKOVIĆ I PARTNERI-OPOZIV PUNOMOĆI, RADNIČKA CESTA 22,10000 Zagreb</item>
      <item>OD BELOŠA &amp; JUKIĆ, Martićeva 31c,10000 Zagreb</item>
      <item>Zdravko Mitak, OIB 25916717450, Zelenjak 53,10000 Zagreb</item>
    </izvorni_sadrzaj>
    <derivirana_varijabla naziv="DomainObject.Predmet.SudioniciListAdressOIB_1">
      <item>OD Gajski, Grlić, Prka, Saucha i partneri-OPOZIV PUNOMOĆI, Dalmatinska 10,10000 Zagreb</item>
      <item>EAST CONSTRUCTION &amp; ENGINEERING LLC, OIB 90273308033, Okrug Sussex,Deolaware</item>
      <item>AETERNA ALEX d.o.o. za trgovinu i usluge, OIB 27025040845, Radnička cesta 80,10000 Zagreb</item>
      <item>Ivica Restović, Gorička 12,21000 Split</item>
      <item>OD HANŽEKOVIĆ I PARTNERI-OPOZIV PUNOMOĆI, RADNIČKA CESTA 22,10000 Zagreb</item>
      <item>OD BELOŠA &amp; JUKIĆ, Martićeva 31c,10000 Zagreb</item>
      <item>Zdravko Mitak, OIB 25916717450, Zelenjak 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90273308033</item>
      <item>, OIB 27025040845</item>
      <item>, OIB null</item>
      <item>, OIB null</item>
      <item>, OIB null</item>
      <item>, OIB 25916717450</item>
    </izvorni_sadrzaj>
    <derivirana_varijabla naziv="DomainObject.Predmet.SudioniciListNazivOIB_1">
      <item>, OIB null</item>
      <item>, OIB 90273308033</item>
      <item>, OIB 27025040845</item>
      <item>, OIB null</item>
      <item>, OIB null</item>
      <item>, OIB null</item>
      <item>, OIB 25916717450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1028</properties:Words>
  <properties:Characters>5602</properties:Characters>
  <properties:Lines>119</properties:Lines>
  <properties:Paragraphs>28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2017-10-23T10:37:00Z</dcterms:created>
  <dc:creator>Sonja Pilić</dc:creator>
  <cp:lastModifiedBy>Sonja Pilić</cp:lastModifiedBy>
  <dcterms:modified xmlns:xsi="http://www.w3.org/2001/XMLSchema-instance" xsi:type="dcterms:W3CDTF">2017-10-23T10:44:00Z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St-207/2015-67 / Podnesak - Rješenje - odbijena žalba kao neosnovana - potvrđeno rješenje 1.st.</vt:lpwstr>
  </prop:property>
  <prop:property name="CC_coloring" pid="4" fmtid="{D5CDD505-2E9C-101B-9397-08002B2CF9AE}">
    <vt:bool>false</vt:bool>
  </prop:property>
  <prop:property name="eSPIS_CC_ID" pid="5" fmtid="{D5CDD505-2E9C-101B-9397-08002B2CF9AE}">
    <vt:lpwstr>265122315</vt:lpwstr>
  </prop:property>
  <prop:property name="BrojStranica" pid="6" fmtid="{D5CDD505-2E9C-101B-9397-08002B2CF9AE}">
    <vt:i4>3</vt:i4>
  </prop:property>
</prop:Properties>
</file>