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36b0c" w14:paraId="6336b0c" w:rsidRDefault="00752CEE" w:rsidP="00752CEE" w:rsidR="00752CEE" w:rsidRPr="00752CEE">
      <w:pPr>
        <w:spacing w:lineRule="auto" w:line="240" w:after="0"/>
        <w15:collapsed w:val="false"/>
        <w:rPr>
          <w:rFonts w:cs="Times New Roman" w:eastAsia="Times New Roman" w:hAnsi="Times New Roman" w:ascii="Times New Roman"/>
          <w:sz w:val="24"/>
          <w:szCs w:val="20"/>
          <w:lang w:eastAsia="hr-HR"/>
        </w:rPr>
      </w:pPr>
      <w:bookmarkStart w:name="_GoBack" w:id="0"/>
      <w:bookmarkEnd w:id="0"/>
      <w:r w:rsidRPr="00752CEE">
        <w:rPr>
          <w:rFonts w:cs="Times New Roman" w:eastAsia="Times New Roman" w:hAnsi="Times New Roman" w:ascii="Times New Roman"/>
          <w:sz w:val="24"/>
          <w:szCs w:val="20"/>
          <w:lang w:eastAsia="hr-HR"/>
        </w:rPr>
        <w:t>MGTd.o.o. u stečaju                                                     St-621/13</w:t>
      </w:r>
    </w:p>
    <w:p w:rsidRDefault="00752CEE" w:rsidP="00752CEE" w:rsidR="00752CEE" w:rsidRPr="00752CEE">
      <w:pPr>
        <w:spacing w:lineRule="auto" w:line="240" w:after="0"/>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OIB 40418183801</w:t>
      </w:r>
    </w:p>
    <w:p w:rsidRDefault="00752CEE" w:rsidP="00752CEE" w:rsidR="00752CEE" w:rsidRPr="00752CEE">
      <w:pPr>
        <w:spacing w:lineRule="auto" w:line="240" w:after="0"/>
        <w:rPr>
          <w:rFonts w:cs="Times New Roman" w:eastAsia="Times New Roman" w:hAnsi="Times New Roman" w:ascii="Times New Roman"/>
          <w:sz w:val="24"/>
          <w:szCs w:val="20"/>
          <w:lang w:eastAsia="hr-HR"/>
        </w:rPr>
      </w:pPr>
    </w:p>
    <w:p w:rsidRDefault="00752CEE" w:rsidP="00752CEE" w:rsidR="00752CEE" w:rsidRPr="00752CEE">
      <w:pPr>
        <w:spacing w:lineRule="auto" w:line="240" w:after="0"/>
        <w:rPr>
          <w:rFonts w:cs="Times New Roman" w:eastAsia="Times New Roman" w:hAnsi="Times New Roman" w:ascii="Times New Roman"/>
          <w:sz w:val="24"/>
          <w:szCs w:val="20"/>
          <w:lang w:eastAsia="hr-HR"/>
        </w:rPr>
      </w:pPr>
    </w:p>
    <w:p w:rsidRDefault="00752CEE" w:rsidP="00752CEE" w:rsidR="00752CEE" w:rsidRPr="00752CEE">
      <w:pPr>
        <w:spacing w:lineRule="auto" w:line="240" w:after="0"/>
        <w:rPr>
          <w:rFonts w:cs="Times New Roman" w:eastAsia="Times New Roman" w:hAnsi="Times New Roman" w:ascii="Times New Roman"/>
          <w:sz w:val="24"/>
          <w:szCs w:val="20"/>
          <w:lang w:eastAsia="hr-HR"/>
        </w:rPr>
      </w:pPr>
    </w:p>
    <w:p w:rsidRDefault="00752CEE" w:rsidP="00752CEE" w:rsidR="00752CEE" w:rsidRPr="00752CEE">
      <w:pPr>
        <w:spacing w:lineRule="auto" w:line="240" w:after="0"/>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Trgovački sud u Zagrebu</w:t>
      </w:r>
    </w:p>
    <w:p w:rsidRDefault="00752CEE" w:rsidP="00752CEE" w:rsidR="00752CEE" w:rsidRPr="00752CEE">
      <w:pPr>
        <w:spacing w:lineRule="auto" w:line="240" w:after="0"/>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Broj predmeta: St-621/13</w:t>
      </w:r>
    </w:p>
    <w:p w:rsidRDefault="00752CEE" w:rsidP="00752CEE" w:rsidR="00752CEE" w:rsidRPr="00752CEE">
      <w:pPr>
        <w:spacing w:lineRule="auto" w:line="240" w:after="0"/>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Stečajni dužnik: MGT d.o.o. u stečaju, OIB 40418183801</w:t>
      </w:r>
    </w:p>
    <w:p w:rsidRDefault="00752CEE" w:rsidP="00752CEE" w:rsidR="00752CEE" w:rsidRPr="00752CEE">
      <w:pPr>
        <w:spacing w:lineRule="auto" w:line="240" w:after="0"/>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 xml:space="preserve">                           Kumrovec, Cesta Lijepe Naše 5</w:t>
      </w:r>
    </w:p>
    <w:p w:rsidRDefault="00752CEE" w:rsidP="00752CEE" w:rsidR="00752CEE" w:rsidRPr="00752CEE">
      <w:pPr>
        <w:spacing w:lineRule="auto" w:line="240" w:after="0"/>
        <w:rPr>
          <w:rFonts w:cs="Times New Roman" w:eastAsia="Times New Roman" w:hAnsi="Times New Roman" w:ascii="Times New Roman"/>
          <w:sz w:val="24"/>
          <w:szCs w:val="20"/>
          <w:lang w:eastAsia="hr-HR"/>
        </w:rPr>
      </w:pPr>
    </w:p>
    <w:p w:rsidRDefault="00752CEE" w:rsidP="00752CEE" w:rsidR="00752CEE" w:rsidRPr="00752CEE">
      <w:pPr>
        <w:spacing w:lineRule="auto" w:line="240" w:after="0"/>
        <w:rPr>
          <w:rFonts w:cs="Times New Roman" w:eastAsia="Times New Roman" w:hAnsi="Times New Roman" w:ascii="Times New Roman"/>
          <w:sz w:val="24"/>
          <w:szCs w:val="20"/>
          <w:lang w:eastAsia="hr-HR"/>
        </w:rPr>
      </w:pPr>
    </w:p>
    <w:p w:rsidRDefault="00752CEE" w:rsidP="00752CEE" w:rsidR="00752CEE" w:rsidRPr="00752CEE">
      <w:pPr>
        <w:spacing w:lineRule="auto" w:line="240" w:after="0"/>
        <w:rPr>
          <w:rFonts w:cs="Times New Roman" w:eastAsia="Times New Roman" w:hAnsi="Times New Roman" w:ascii="Times New Roman"/>
          <w:sz w:val="24"/>
          <w:szCs w:val="20"/>
          <w:lang w:eastAsia="hr-HR"/>
        </w:rPr>
      </w:pPr>
    </w:p>
    <w:p w:rsidRDefault="00752CEE" w:rsidP="00752CEE" w:rsidR="00752CEE" w:rsidRPr="00752CEE">
      <w:pPr>
        <w:spacing w:lineRule="auto" w:line="240" w:after="0"/>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 xml:space="preserve">                                                  OBRAZAC 22</w:t>
      </w:r>
    </w:p>
    <w:p w:rsidRDefault="00752CEE" w:rsidP="00752CEE" w:rsidR="00752CEE" w:rsidRPr="00752CEE">
      <w:pPr>
        <w:spacing w:lineRule="auto" w:line="240" w:after="0"/>
        <w:rPr>
          <w:rFonts w:cs="Times New Roman" w:eastAsia="Times New Roman" w:hAnsi="Times New Roman" w:ascii="Times New Roman"/>
          <w:sz w:val="24"/>
          <w:szCs w:val="20"/>
          <w:lang w:eastAsia="hr-HR"/>
        </w:rPr>
      </w:pPr>
    </w:p>
    <w:p w:rsidRDefault="00752CEE" w:rsidP="00752CEE" w:rsidR="00752CEE" w:rsidRPr="00752CEE">
      <w:pPr>
        <w:spacing w:lineRule="auto" w:line="240" w:after="0"/>
        <w:rPr>
          <w:rFonts w:cs="Times New Roman" w:eastAsia="Times New Roman" w:hAnsi="Times New Roman" w:ascii="Times New Roman"/>
          <w:sz w:val="24"/>
          <w:szCs w:val="24"/>
          <w:lang w:eastAsia="hr-HR"/>
        </w:rPr>
      </w:pPr>
      <w:r w:rsidRPr="00752CEE">
        <w:rPr>
          <w:rFonts w:cs="Times New Roman" w:eastAsia="Times New Roman" w:hAnsi="Times New Roman" w:ascii="Times New Roman"/>
          <w:sz w:val="24"/>
          <w:szCs w:val="24"/>
          <w:lang w:eastAsia="hr-HR"/>
        </w:rPr>
        <w:t xml:space="preserve">                                  ZAVRŠNI RAČUN STEČAJNOG UPRAVITELJA</w:t>
      </w:r>
    </w:p>
    <w:p w:rsidRDefault="00752CEE" w:rsidP="00752CEE" w:rsidR="00752CEE" w:rsidRPr="00752CEE">
      <w:pPr>
        <w:spacing w:lineRule="auto" w:line="240" w:after="0"/>
        <w:rPr>
          <w:rFonts w:cs="Times New Roman" w:eastAsia="Times New Roman" w:hAnsi="Times New Roman" w:ascii="Times New Roman"/>
          <w:sz w:val="24"/>
          <w:szCs w:val="20"/>
          <w:lang w:eastAsia="hr-HR"/>
        </w:rPr>
      </w:pPr>
    </w:p>
    <w:p w:rsidRDefault="00752CEE" w:rsidP="00752CEE" w:rsidR="00752CEE" w:rsidRPr="00752CEE">
      <w:pPr>
        <w:spacing w:lineRule="auto" w:line="240" w:after="0"/>
        <w:rPr>
          <w:rFonts w:cs="Times New Roman" w:eastAsia="Times New Roman" w:hAnsi="Times New Roman" w:ascii="Times New Roman"/>
          <w:sz w:val="24"/>
          <w:szCs w:val="20"/>
          <w:lang w:eastAsia="hr-HR"/>
        </w:rPr>
      </w:pPr>
    </w:p>
    <w:p w:rsidRDefault="00752CEE" w:rsidP="00752CEE" w:rsidR="00752CEE" w:rsidRPr="00752CEE">
      <w:pPr>
        <w:keepNext/>
        <w:tabs>
          <w:tab w:pos="708" w:val="left"/>
        </w:tabs>
        <w:spacing w:lineRule="auto" w:line="240" w:after="0"/>
        <w:outlineLvl w:val="1"/>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 xml:space="preserve">I     RAČUN PRIHODA I RASHODA    </w:t>
      </w:r>
    </w:p>
    <w:p w:rsidRDefault="00752CEE" w:rsidP="00752CEE" w:rsidR="00752CEE" w:rsidRPr="00752CEE">
      <w:pPr>
        <w:spacing w:lineRule="auto" w:line="240" w:after="0"/>
        <w:rPr>
          <w:rFonts w:cs="Times New Roman" w:eastAsia="Times New Roman" w:hAnsi="Times New Roman" w:ascii="Times New Roman"/>
          <w:sz w:val="20"/>
          <w:szCs w:val="20"/>
          <w:lang w:eastAsia="hr-HR"/>
        </w:rPr>
      </w:pPr>
    </w:p>
    <w:p w:rsidRDefault="00752CEE" w:rsidP="00752CEE" w:rsidR="00752CEE" w:rsidRPr="00752CEE">
      <w:pPr>
        <w:spacing w:lineRule="auto" w:line="240" w:after="0"/>
        <w:rPr>
          <w:rFonts w:cs="Times New Roman" w:eastAsia="Times New Roman" w:hAnsi="Times New Roman" w:ascii="Times New Roman"/>
          <w:sz w:val="20"/>
          <w:szCs w:val="20"/>
          <w:lang w:eastAsia="hr-HR"/>
        </w:rPr>
      </w:pPr>
    </w:p>
    <w:p w:rsidRDefault="00752CEE" w:rsidP="00752CEE" w:rsidR="00752CEE" w:rsidRPr="00752CEE">
      <w:pPr>
        <w:spacing w:lineRule="auto" w:line="240" w:after="0"/>
        <w:ind w:left="567"/>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 xml:space="preserve">A/ OSTVARENI PRILIVI NOVČANIH SREDSTAVA </w:t>
      </w:r>
    </w:p>
    <w:p w:rsidRDefault="00752CEE" w:rsidP="00752CEE" w:rsidR="00752CEE" w:rsidRPr="00752CEE">
      <w:pPr>
        <w:spacing w:lineRule="auto" w:line="240" w:after="0"/>
        <w:ind w:left="567"/>
        <w:rPr>
          <w:rFonts w:cs="Times New Roman" w:eastAsia="Times New Roman" w:hAnsi="Times New Roman" w:ascii="Times New Roman"/>
          <w:sz w:val="24"/>
          <w:szCs w:val="20"/>
          <w:lang w:eastAsia="hr-HR"/>
        </w:rPr>
      </w:pPr>
    </w:p>
    <w:p w:rsidRDefault="00752CEE" w:rsidP="00752CEE" w:rsidR="00752CEE" w:rsidRPr="00752CEE">
      <w:pPr>
        <w:spacing w:lineRule="auto" w:line="240" w:after="0"/>
        <w:ind w:left="567"/>
        <w:rPr>
          <w:rFonts w:cs="Times New Roman" w:eastAsia="Times New Roman" w:hAnsi="Times New Roman" w:ascii="Times New Roman"/>
          <w:sz w:val="24"/>
          <w:szCs w:val="20"/>
          <w:lang w:eastAsia="hr-HR"/>
        </w:rPr>
      </w:pPr>
    </w:p>
    <w:tbl>
      <w:tblPr>
        <w:tblStyle w:val="Reetkatablice"/>
        <w:tblW w:type="auto" w:w="0"/>
        <w:tblInd w:type="dxa" w:w="675"/>
        <w:tblLayout w:type="fixed"/>
        <w:tblLook w:val="04A0" w:noVBand="1" w:noHBand="0" w:lastColumn="0" w:firstColumn="1" w:lastRow="0" w:firstRow="1"/>
      </w:tblPr>
      <w:tblGrid>
        <w:gridCol w:w="5562"/>
        <w:gridCol w:w="1610"/>
      </w:tblGrid>
      <w:tr w:rsidTr="00950E72" w:rsidR="00752CEE" w:rsidRPr="00752CEE">
        <w:tc>
          <w:tcPr>
            <w:tcW w:type="dxa" w:w="5562"/>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xml:space="preserve">      Vrsta primitka</w:t>
            </w:r>
          </w:p>
        </w:tc>
        <w:tc>
          <w:tcPr>
            <w:tcW w:type="dxa" w:w="1610"/>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jc w:val="center"/>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xml:space="preserve">kn          </w:t>
            </w:r>
          </w:p>
        </w:tc>
      </w:tr>
      <w:tr w:rsidTr="00950E72" w:rsidR="00752CEE" w:rsidRPr="00752CEE">
        <w:tc>
          <w:tcPr>
            <w:tcW w:type="dxa" w:w="5562"/>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rPr>
                <w:rFonts w:cs="Times New Roman"/>
                <w:sz w:val="20"/>
                <w:szCs w:val="20"/>
              </w:rPr>
            </w:pPr>
          </w:p>
        </w:tc>
        <w:tc>
          <w:tcPr>
            <w:tcW w:type="dxa" w:w="1610"/>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jc w:val="center"/>
              <w:rPr>
                <w:rFonts w:cs="Times New Roman" w:eastAsia="Times New Roman" w:hAnsi="Times New Roman" w:ascii="Times New Roman"/>
                <w:sz w:val="24"/>
                <w:szCs w:val="20"/>
              </w:rPr>
            </w:pPr>
          </w:p>
        </w:tc>
      </w:tr>
      <w:tr w:rsidTr="00950E72" w:rsidR="00752CEE" w:rsidRPr="00752CEE">
        <w:tc>
          <w:tcPr>
            <w:tcW w:type="dxa" w:w="5562"/>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prilivi od prodaje nekretnine</w:t>
            </w:r>
          </w:p>
        </w:tc>
        <w:tc>
          <w:tcPr>
            <w:tcW w:type="dxa" w:w="1610"/>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jc w:val="right"/>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4.249.839,51</w:t>
            </w:r>
          </w:p>
        </w:tc>
      </w:tr>
      <w:tr w:rsidTr="00950E72" w:rsidR="00752CEE" w:rsidRPr="00752CEE">
        <w:tc>
          <w:tcPr>
            <w:tcW w:type="dxa" w:w="5562"/>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prilivi od prodaje pokretnina, naplata od kupaca i sl.</w:t>
            </w:r>
          </w:p>
        </w:tc>
        <w:tc>
          <w:tcPr>
            <w:tcW w:type="dxa" w:w="1610"/>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jc w:val="center"/>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3.968.839,51       </w:t>
            </w:r>
          </w:p>
        </w:tc>
      </w:tr>
      <w:tr w:rsidTr="00950E72" w:rsidR="00752CEE" w:rsidRPr="00752CEE">
        <w:tc>
          <w:tcPr>
            <w:tcW w:type="dxa" w:w="5562"/>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rPr>
                <w:rFonts w:cs="Times New Roman" w:eastAsia="Times New Roman" w:hAnsi="Times New Roman" w:ascii="Times New Roman"/>
                <w:b/>
                <w:sz w:val="24"/>
                <w:szCs w:val="20"/>
              </w:rPr>
            </w:pPr>
            <w:r w:rsidRPr="00752CEE">
              <w:rPr>
                <w:rFonts w:cs="Times New Roman" w:eastAsia="Times New Roman" w:hAnsi="Times New Roman" w:ascii="Times New Roman"/>
                <w:b/>
                <w:sz w:val="24"/>
                <w:szCs w:val="20"/>
              </w:rPr>
              <w:t>Ukupno ostvareni prilivi novčanih sredstava:</w:t>
            </w:r>
          </w:p>
        </w:tc>
        <w:tc>
          <w:tcPr>
            <w:tcW w:type="dxa" w:w="1610"/>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rPr>
                <w:rFonts w:cs="Times New Roman" w:eastAsia="Times New Roman" w:hAnsi="Times New Roman" w:ascii="Times New Roman"/>
                <w:b/>
                <w:sz w:val="20"/>
                <w:szCs w:val="20"/>
              </w:rPr>
            </w:pPr>
            <w:r w:rsidRPr="00752CEE">
              <w:rPr>
                <w:rFonts w:cs="Times New Roman" w:eastAsia="Times New Roman" w:hAnsi="Times New Roman" w:ascii="Times New Roman"/>
                <w:b/>
                <w:sz w:val="20"/>
                <w:szCs w:val="20"/>
              </w:rPr>
              <w:t xml:space="preserve">      8.218.440,66</w:t>
            </w:r>
          </w:p>
        </w:tc>
      </w:tr>
      <w:tr w:rsidTr="00950E72" w:rsidR="00752CEE" w:rsidRPr="00752CEE">
        <w:tc>
          <w:tcPr>
            <w:tcW w:type="dxa" w:w="5562"/>
            <w:tcBorders>
              <w:top w:space="0" w:sz="4" w:color="auto" w:val="single"/>
              <w:left w:space="0" w:sz="4" w:color="auto" w:val="single"/>
              <w:bottom w:space="0" w:sz="4" w:color="auto" w:val="single"/>
              <w:right w:space="0" w:sz="4" w:color="auto" w:val="single"/>
            </w:tcBorders>
          </w:tcPr>
          <w:p w:rsidRDefault="00752CEE" w:rsidP="00752CEE" w:rsidR="00752CEE" w:rsidRPr="00752CEE">
            <w:pPr>
              <w:rPr>
                <w:rFonts w:cs="Times New Roman" w:eastAsia="Times New Roman" w:hAnsi="Times New Roman" w:ascii="Times New Roman"/>
                <w:b/>
                <w:sz w:val="24"/>
                <w:szCs w:val="20"/>
              </w:rPr>
            </w:pPr>
          </w:p>
        </w:tc>
        <w:tc>
          <w:tcPr>
            <w:tcW w:type="dxa" w:w="1610"/>
            <w:tcBorders>
              <w:top w:space="0" w:sz="4" w:color="auto" w:val="single"/>
              <w:left w:space="0" w:sz="4" w:color="auto" w:val="single"/>
              <w:bottom w:space="0" w:sz="4" w:color="auto" w:val="single"/>
              <w:right w:space="0" w:sz="4" w:color="auto" w:val="single"/>
            </w:tcBorders>
          </w:tcPr>
          <w:p w:rsidRDefault="00752CEE" w:rsidP="00752CEE" w:rsidR="00752CEE" w:rsidRPr="00752CEE">
            <w:pPr>
              <w:rPr>
                <w:rFonts w:cs="Times New Roman" w:eastAsia="Times New Roman" w:hAnsi="Times New Roman" w:ascii="Times New Roman"/>
                <w:b/>
                <w:sz w:val="20"/>
                <w:szCs w:val="20"/>
              </w:rPr>
            </w:pPr>
          </w:p>
        </w:tc>
      </w:tr>
      <w:tr w:rsidTr="00950E72" w:rsidR="00752CEE" w:rsidRPr="00752CEE">
        <w:tc>
          <w:tcPr>
            <w:tcW w:type="dxa" w:w="5562"/>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rPr>
                <w:rFonts w:cs="Times New Roman" w:eastAsia="Times New Roman" w:hAnsi="Times New Roman" w:ascii="Times New Roman"/>
                <w:b/>
                <w:sz w:val="24"/>
                <w:szCs w:val="20"/>
              </w:rPr>
            </w:pPr>
            <w:r w:rsidRPr="00752CEE">
              <w:rPr>
                <w:rFonts w:cs="Times New Roman" w:eastAsia="Times New Roman" w:hAnsi="Times New Roman" w:ascii="Times New Roman"/>
                <w:b/>
                <w:sz w:val="24"/>
                <w:szCs w:val="20"/>
              </w:rPr>
              <w:t>- sredstva AORPS za isplatu osig. potr. radnika</w:t>
            </w:r>
          </w:p>
        </w:tc>
        <w:tc>
          <w:tcPr>
            <w:tcW w:type="dxa" w:w="1610"/>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rPr>
                <w:rFonts w:cs="Times New Roman" w:eastAsia="Times New Roman" w:hAnsi="Times New Roman" w:ascii="Times New Roman"/>
                <w:b/>
                <w:sz w:val="20"/>
                <w:szCs w:val="20"/>
              </w:rPr>
            </w:pPr>
            <w:r w:rsidRPr="00752CEE">
              <w:rPr>
                <w:rFonts w:cs="Times New Roman" w:eastAsia="Times New Roman" w:hAnsi="Times New Roman" w:ascii="Times New Roman"/>
                <w:b/>
                <w:sz w:val="20"/>
                <w:szCs w:val="20"/>
              </w:rPr>
              <w:t xml:space="preserve">         287.010,73</w:t>
            </w:r>
          </w:p>
        </w:tc>
      </w:tr>
    </w:tbl>
    <w:p w:rsidRDefault="00752CEE" w:rsidP="00752CEE" w:rsidR="00752CEE" w:rsidRPr="00752CEE">
      <w:pPr>
        <w:spacing w:lineRule="auto" w:line="240" w:after="0"/>
        <w:ind w:left="567"/>
        <w:rPr>
          <w:rFonts w:cs="Times New Roman" w:eastAsia="Times New Roman" w:hAnsi="Times New Roman" w:ascii="Times New Roman"/>
          <w:sz w:val="24"/>
          <w:szCs w:val="20"/>
          <w:lang w:eastAsia="hr-HR"/>
        </w:rPr>
      </w:pPr>
    </w:p>
    <w:p w:rsidRDefault="00752CEE" w:rsidP="00752CEE" w:rsidR="00752CEE" w:rsidRPr="00752CEE">
      <w:pPr>
        <w:spacing w:lineRule="auto" w:line="240" w:after="0"/>
        <w:ind w:left="567"/>
        <w:rPr>
          <w:rFonts w:cs="Times New Roman" w:eastAsia="Times New Roman" w:hAnsi="Times New Roman" w:ascii="Times New Roman"/>
          <w:sz w:val="24"/>
          <w:szCs w:val="20"/>
          <w:lang w:eastAsia="hr-HR"/>
        </w:rPr>
      </w:pPr>
    </w:p>
    <w:p w:rsidRDefault="00752CEE" w:rsidP="00752CEE" w:rsidR="00752CEE" w:rsidRPr="00752CEE">
      <w:pPr>
        <w:spacing w:lineRule="auto" w:line="240" w:after="0"/>
        <w:ind w:left="567"/>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 xml:space="preserve">B/ OSTVARENI ODLIVI NOVČANIH SREDSTAVA  </w:t>
      </w:r>
    </w:p>
    <w:p w:rsidRDefault="00752CEE" w:rsidP="00752CEE" w:rsidR="00752CEE" w:rsidRPr="00752CEE">
      <w:pPr>
        <w:spacing w:lineRule="auto" w:line="240" w:after="0"/>
        <w:ind w:left="567"/>
        <w:rPr>
          <w:rFonts w:cs="Times New Roman" w:eastAsia="Times New Roman" w:hAnsi="Times New Roman" w:ascii="Times New Roman"/>
          <w:sz w:val="24"/>
          <w:szCs w:val="20"/>
          <w:lang w:eastAsia="hr-HR"/>
        </w:rPr>
      </w:pPr>
    </w:p>
    <w:p w:rsidRDefault="00752CEE" w:rsidP="00752CEE" w:rsidR="00752CEE" w:rsidRPr="00752CEE">
      <w:pPr>
        <w:spacing w:lineRule="auto" w:line="240" w:after="0"/>
        <w:ind w:left="567"/>
        <w:rPr>
          <w:rFonts w:cs="Times New Roman" w:eastAsia="Times New Roman" w:hAnsi="Times New Roman" w:ascii="Times New Roman"/>
          <w:sz w:val="24"/>
          <w:szCs w:val="20"/>
          <w:lang w:eastAsia="hr-HR"/>
        </w:rPr>
      </w:pPr>
    </w:p>
    <w:tbl>
      <w:tblPr>
        <w:tblW w:type="auto" w:w="0"/>
        <w:tblInd w:type="dxa" w:w="67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3969"/>
        <w:gridCol w:w="3261"/>
      </w:tblGrid>
      <w:tr w:rsidTr="00950E72" w:rsidR="00752CEE" w:rsidRPr="00752CEE">
        <w:tc>
          <w:tcPr>
            <w:tcW w:type="dxa" w:w="3969"/>
            <w:tcBorders>
              <w:top w:space="0" w:sz="4" w:color="auto" w:val="single"/>
              <w:left w:space="0" w:sz="4" w:color="auto" w:val="single"/>
              <w:bottom w:space="0" w:sz="4" w:color="auto" w:val="single"/>
              <w:right w:space="0" w:sz="4" w:color="auto" w:val="single"/>
            </w:tcBorders>
            <w:vAlign w:val="center"/>
            <w:hideMark/>
          </w:tcPr>
          <w:p w:rsidRDefault="00752CEE" w:rsidP="00752CEE" w:rsidR="00752CEE" w:rsidRPr="00752CEE">
            <w:pPr>
              <w:spacing w:after="0"/>
              <w:jc w:val="center"/>
              <w:rPr>
                <w:rFonts w:cs="Times New Roman" w:eastAsia="Times New Roman" w:hAnsi="Times New Roman" w:ascii="Times New Roman"/>
                <w:b/>
                <w:sz w:val="20"/>
                <w:szCs w:val="20"/>
              </w:rPr>
            </w:pPr>
            <w:r w:rsidRPr="00752CEE">
              <w:rPr>
                <w:rFonts w:cs="Times New Roman" w:eastAsia="Times New Roman" w:hAnsi="Times New Roman" w:ascii="Times New Roman"/>
                <w:b/>
                <w:sz w:val="20"/>
                <w:szCs w:val="20"/>
              </w:rPr>
              <w:t>Vrsta troška</w:t>
            </w:r>
          </w:p>
        </w:tc>
        <w:tc>
          <w:tcPr>
            <w:tcW w:type="dxa" w:w="3261"/>
            <w:tcBorders>
              <w:top w:space="0" w:sz="4" w:color="auto" w:val="single"/>
              <w:left w:space="0" w:sz="4" w:color="auto" w:val="single"/>
              <w:bottom w:space="0" w:sz="4" w:color="auto" w:val="single"/>
              <w:right w:space="0" w:sz="4" w:color="auto" w:val="single"/>
            </w:tcBorders>
            <w:vAlign w:val="center"/>
            <w:hideMark/>
          </w:tcPr>
          <w:p w:rsidRDefault="00752CEE" w:rsidP="00752CEE" w:rsidR="00752CEE" w:rsidRPr="00752CEE">
            <w:pPr>
              <w:spacing w:after="0"/>
              <w:jc w:val="center"/>
              <w:rPr>
                <w:rFonts w:cs="Times New Roman" w:eastAsia="Times New Roman" w:hAnsi="Times New Roman" w:ascii="Times New Roman"/>
                <w:b/>
                <w:sz w:val="20"/>
                <w:szCs w:val="20"/>
              </w:rPr>
            </w:pPr>
            <w:r w:rsidRPr="00752CEE">
              <w:rPr>
                <w:rFonts w:cs="Times New Roman" w:eastAsia="Times New Roman" w:hAnsi="Times New Roman" w:ascii="Times New Roman"/>
                <w:b/>
                <w:sz w:val="20"/>
                <w:szCs w:val="20"/>
              </w:rPr>
              <w:t>Ukupno</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 trošak bankarske naknade i FINA</w:t>
            </w:r>
          </w:p>
        </w:tc>
        <w:tc>
          <w:tcPr>
            <w:tcW w:type="dxa" w:w="326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13.082,37</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 ostali režijski troškovi nekretnina, prijevoz i čuvanje pokretnina ( voda, čistoća, pričuva, troškovi zbrinjavanja pokretnina sa gradilišta, čuvanja i sl.)</w:t>
            </w:r>
          </w:p>
        </w:tc>
        <w:tc>
          <w:tcPr>
            <w:tcW w:type="dxa" w:w="326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0"/>
                <w:szCs w:val="20"/>
              </w:rPr>
            </w:pPr>
          </w:p>
          <w:p w:rsidRDefault="00752CEE" w:rsidP="00752CEE" w:rsidR="00752CEE" w:rsidRPr="00752CEE">
            <w:pPr>
              <w:spacing w:after="0"/>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185.967,71</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 xml:space="preserve">- bruto plaće radnika i suradnika </w:t>
            </w:r>
          </w:p>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 sa otkaznim rokom)</w:t>
            </w:r>
          </w:p>
        </w:tc>
        <w:tc>
          <w:tcPr>
            <w:tcW w:type="dxa" w:w="326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367.866,52</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 troškovi premještanja/prijevoza arhive nakon prodaje nekretnina</w:t>
            </w:r>
          </w:p>
        </w:tc>
        <w:tc>
          <w:tcPr>
            <w:tcW w:type="dxa" w:w="326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8.125,00</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 troškovi  vještaka za procjenu imovine</w:t>
            </w:r>
          </w:p>
        </w:tc>
        <w:tc>
          <w:tcPr>
            <w:tcW w:type="dxa" w:w="326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43.791,67</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 troškovi sudskih pristojbi, vještaka i drugih troškova parnica</w:t>
            </w:r>
          </w:p>
        </w:tc>
        <w:tc>
          <w:tcPr>
            <w:tcW w:type="dxa" w:w="326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center"/>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110.417,80</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lastRenderedPageBreak/>
              <w:t>- troškovi odvjetnika i bilježnika</w:t>
            </w:r>
          </w:p>
        </w:tc>
        <w:tc>
          <w:tcPr>
            <w:tcW w:type="dxa" w:w="326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270.785,71     </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-plaćeni PDV, članarine, naknade i dr.  Republici Hrvatskoj</w:t>
            </w:r>
          </w:p>
        </w:tc>
        <w:tc>
          <w:tcPr>
            <w:tcW w:type="dxa" w:w="326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center"/>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281.711,20</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 troškovi osiguranja</w:t>
            </w:r>
          </w:p>
        </w:tc>
        <w:tc>
          <w:tcPr>
            <w:tcW w:type="dxa" w:w="326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center"/>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86.972,39</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 troškovi oglašavanja prodaje imovine</w:t>
            </w:r>
          </w:p>
        </w:tc>
        <w:tc>
          <w:tcPr>
            <w:tcW w:type="dxa" w:w="326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center"/>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112.797,97</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 troškovi knjigovodstva</w:t>
            </w:r>
          </w:p>
        </w:tc>
        <w:tc>
          <w:tcPr>
            <w:tcW w:type="dxa" w:w="326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152.875,00</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 prisilna naplata po nalogu prekršajnog suda u postupku žalbe</w:t>
            </w:r>
          </w:p>
        </w:tc>
        <w:tc>
          <w:tcPr>
            <w:tcW w:type="dxa" w:w="326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center"/>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753.180,00</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 ostali troškovi</w:t>
            </w:r>
          </w:p>
          <w:p w:rsidRDefault="00752CEE" w:rsidP="00752CEE" w:rsidR="00752CEE" w:rsidRPr="00752CEE">
            <w:pPr>
              <w:spacing w:after="0"/>
              <w:rPr>
                <w:rFonts w:cs="Times New Roman" w:eastAsia="Times New Roman" w:hAnsi="Times New Roman" w:ascii="Times New Roman"/>
                <w:sz w:val="24"/>
                <w:szCs w:val="24"/>
              </w:rPr>
            </w:pPr>
          </w:p>
        </w:tc>
        <w:tc>
          <w:tcPr>
            <w:tcW w:type="dxa" w:w="326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center"/>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48.846,28</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 xml:space="preserve">- namirenje razlučnog prava </w:t>
            </w:r>
          </w:p>
        </w:tc>
        <w:tc>
          <w:tcPr>
            <w:tcW w:type="dxa" w:w="326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3.886.037,73</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 isplata u djelomičnoj diobi i čl. 86.st.2. SZ-a – I viši isplatni red</w:t>
            </w:r>
          </w:p>
        </w:tc>
        <w:tc>
          <w:tcPr>
            <w:tcW w:type="dxa" w:w="326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center"/>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544.468,43</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b/>
                <w:sz w:val="24"/>
                <w:szCs w:val="24"/>
              </w:rPr>
            </w:pPr>
            <w:r w:rsidRPr="00752CEE">
              <w:rPr>
                <w:rFonts w:cs="Times New Roman" w:eastAsia="Times New Roman" w:hAnsi="Times New Roman" w:ascii="Times New Roman"/>
                <w:b/>
                <w:sz w:val="24"/>
                <w:szCs w:val="24"/>
              </w:rPr>
              <w:t>Ukupno rashodi i odlivi postupka</w:t>
            </w:r>
          </w:p>
        </w:tc>
        <w:tc>
          <w:tcPr>
            <w:tcW w:type="dxa" w:w="326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b/>
                <w:sz w:val="20"/>
                <w:szCs w:val="20"/>
              </w:rPr>
            </w:pPr>
            <w:r w:rsidRPr="00752CEE">
              <w:rPr>
                <w:rFonts w:cs="Times New Roman" w:eastAsia="Times New Roman" w:hAnsi="Times New Roman" w:ascii="Times New Roman"/>
                <w:b/>
                <w:sz w:val="20"/>
                <w:szCs w:val="20"/>
              </w:rPr>
              <w:t xml:space="preserve">                                  6.866.925,78</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w:t>
            </w:r>
          </w:p>
        </w:tc>
        <w:tc>
          <w:tcPr>
            <w:tcW w:type="dxa" w:w="326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b/>
                <w:sz w:val="20"/>
                <w:szCs w:val="20"/>
              </w:rPr>
            </w:pPr>
            <w:r w:rsidRPr="00752CEE">
              <w:rPr>
                <w:rFonts w:cs="Times New Roman" w:eastAsia="Times New Roman" w:hAnsi="Times New Roman" w:ascii="Times New Roman"/>
                <w:b/>
                <w:sz w:val="20"/>
                <w:szCs w:val="20"/>
              </w:rPr>
              <w:t>////////////////////////////////////////////</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b/>
                <w:sz w:val="24"/>
                <w:szCs w:val="24"/>
              </w:rPr>
            </w:pPr>
            <w:r w:rsidRPr="00752CEE">
              <w:rPr>
                <w:rFonts w:cs="Times New Roman" w:eastAsia="Times New Roman" w:hAnsi="Times New Roman" w:ascii="Times New Roman"/>
                <w:b/>
                <w:sz w:val="24"/>
                <w:szCs w:val="24"/>
              </w:rPr>
              <w:t xml:space="preserve">Stanje novčanih sredstava </w:t>
            </w:r>
          </w:p>
        </w:tc>
        <w:tc>
          <w:tcPr>
            <w:tcW w:type="dxa" w:w="326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b/>
                <w:sz w:val="20"/>
                <w:szCs w:val="20"/>
              </w:rPr>
            </w:pPr>
            <w:r w:rsidRPr="00752CEE">
              <w:rPr>
                <w:rFonts w:cs="Times New Roman" w:eastAsia="Times New Roman" w:hAnsi="Times New Roman" w:ascii="Times New Roman"/>
                <w:b/>
                <w:sz w:val="20"/>
                <w:szCs w:val="20"/>
              </w:rPr>
              <w:t xml:space="preserve">                                  1.351.514,88</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rPr>
                <w:rFonts w:cs="Times New Roman" w:eastAsia="Times New Roman" w:hAnsi="Times New Roman" w:ascii="Times New Roman"/>
                <w:b/>
                <w:sz w:val="24"/>
                <w:szCs w:val="24"/>
              </w:rPr>
            </w:pPr>
            <w:r w:rsidRPr="00752CEE">
              <w:rPr>
                <w:rFonts w:cs="Times New Roman" w:eastAsia="Times New Roman" w:hAnsi="Times New Roman" w:ascii="Times New Roman"/>
                <w:b/>
                <w:sz w:val="24"/>
                <w:szCs w:val="24"/>
              </w:rPr>
              <w:t>/////////////////////////////////////////////////////</w:t>
            </w:r>
          </w:p>
        </w:tc>
        <w:tc>
          <w:tcPr>
            <w:tcW w:type="dxa" w:w="326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rPr>
                <w:rFonts w:cs="Times New Roman" w:eastAsia="Times New Roman" w:hAnsi="Times New Roman" w:ascii="Times New Roman"/>
                <w:b/>
                <w:sz w:val="20"/>
                <w:szCs w:val="20"/>
              </w:rPr>
            </w:pPr>
            <w:r w:rsidRPr="00752CEE">
              <w:rPr>
                <w:rFonts w:cs="Times New Roman" w:eastAsia="Times New Roman" w:hAnsi="Times New Roman" w:ascii="Times New Roman"/>
                <w:b/>
                <w:sz w:val="20"/>
                <w:szCs w:val="20"/>
              </w:rPr>
              <w:t>////////////////////////////////////////////</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b/>
                <w:sz w:val="24"/>
                <w:szCs w:val="24"/>
              </w:rPr>
            </w:pPr>
            <w:r w:rsidRPr="00752CEE">
              <w:rPr>
                <w:rFonts w:cs="Times New Roman" w:eastAsia="Times New Roman" w:hAnsi="Times New Roman" w:ascii="Times New Roman"/>
                <w:b/>
                <w:sz w:val="24"/>
                <w:szCs w:val="24"/>
              </w:rPr>
              <w:t>- Isplate radničkih potraživanja iz sredstava AORPS – poseban račun</w:t>
            </w:r>
          </w:p>
        </w:tc>
        <w:tc>
          <w:tcPr>
            <w:tcW w:type="dxa" w:w="326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b/>
                <w:sz w:val="20"/>
                <w:szCs w:val="20"/>
              </w:rPr>
            </w:pPr>
            <w:r w:rsidRPr="00752CEE">
              <w:rPr>
                <w:rFonts w:cs="Times New Roman" w:eastAsia="Times New Roman" w:hAnsi="Times New Roman" w:ascii="Times New Roman"/>
                <w:b/>
                <w:sz w:val="20"/>
                <w:szCs w:val="20"/>
              </w:rPr>
              <w:t xml:space="preserve">                                     287.010,73</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b/>
                <w:sz w:val="24"/>
                <w:szCs w:val="24"/>
              </w:rPr>
            </w:pPr>
            <w:r w:rsidRPr="00752CEE">
              <w:rPr>
                <w:rFonts w:cs="Times New Roman" w:eastAsia="Times New Roman" w:hAnsi="Times New Roman" w:ascii="Times New Roman"/>
                <w:b/>
                <w:sz w:val="24"/>
                <w:szCs w:val="24"/>
              </w:rPr>
              <w:t>/////////////////////////////////////////////////////</w:t>
            </w:r>
          </w:p>
        </w:tc>
        <w:tc>
          <w:tcPr>
            <w:tcW w:type="dxa" w:w="326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b/>
                <w:sz w:val="20"/>
                <w:szCs w:val="20"/>
              </w:rPr>
            </w:pPr>
            <w:r w:rsidRPr="00752CEE">
              <w:rPr>
                <w:rFonts w:cs="Times New Roman" w:eastAsia="Times New Roman" w:hAnsi="Times New Roman" w:ascii="Times New Roman"/>
                <w:b/>
                <w:sz w:val="20"/>
                <w:szCs w:val="20"/>
              </w:rPr>
              <w:t>/////////////////////////////////////////////</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b/>
                <w:sz w:val="24"/>
                <w:szCs w:val="24"/>
              </w:rPr>
            </w:pPr>
            <w:r w:rsidRPr="00752CEE">
              <w:rPr>
                <w:rFonts w:cs="Times New Roman" w:eastAsia="Times New Roman" w:hAnsi="Times New Roman" w:ascii="Times New Roman"/>
                <w:b/>
                <w:sz w:val="24"/>
                <w:szCs w:val="24"/>
              </w:rPr>
              <w:t>Rezervacije troškova čl. 86./ 87. SZ</w:t>
            </w:r>
          </w:p>
        </w:tc>
        <w:tc>
          <w:tcPr>
            <w:tcW w:type="dxa" w:w="326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right"/>
              <w:rPr>
                <w:rFonts w:cs="Times New Roman" w:eastAsia="Times New Roman" w:hAnsi="Times New Roman" w:ascii="Times New Roman"/>
                <w:sz w:val="20"/>
                <w:szCs w:val="20"/>
              </w:rPr>
            </w:pP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Neisplaćena nagrada privremenog stečajnog upravitelja po rješenju suda sukladno Uredi NN 189/03-bruto trošak</w:t>
            </w:r>
          </w:p>
        </w:tc>
        <w:tc>
          <w:tcPr>
            <w:tcW w:type="dxa" w:w="326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right"/>
              <w:rPr>
                <w:rFonts w:cs="Times New Roman" w:eastAsia="Times New Roman" w:hAnsi="Times New Roman" w:ascii="Times New Roman"/>
                <w:sz w:val="20"/>
                <w:szCs w:val="20"/>
              </w:rPr>
            </w:pPr>
          </w:p>
          <w:p w:rsidRDefault="00752CEE" w:rsidP="00752CEE" w:rsidR="00752CEE" w:rsidRPr="00752CEE">
            <w:pPr>
              <w:spacing w:after="0"/>
              <w:jc w:val="right"/>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16.663,55</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Rezervacija za neisplaćenu neto nagradu po rješenju suda – Uredba NN189/03</w:t>
            </w:r>
          </w:p>
        </w:tc>
        <w:tc>
          <w:tcPr>
            <w:tcW w:type="dxa" w:w="326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right"/>
              <w:rPr>
                <w:rFonts w:cs="Times New Roman" w:eastAsia="Times New Roman" w:hAnsi="Times New Roman" w:ascii="Times New Roman"/>
                <w:sz w:val="20"/>
                <w:szCs w:val="20"/>
              </w:rPr>
            </w:pPr>
          </w:p>
          <w:p w:rsidRDefault="00752CEE" w:rsidP="00752CEE" w:rsidR="00752CEE" w:rsidRPr="00752CEE">
            <w:pPr>
              <w:spacing w:after="0"/>
              <w:jc w:val="right"/>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232.008,95</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Porezi i doprinosi na net nagradu – čl. 19. Uredbe NN 189/03</w:t>
            </w:r>
          </w:p>
        </w:tc>
        <w:tc>
          <w:tcPr>
            <w:tcW w:type="dxa" w:w="326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right"/>
              <w:rPr>
                <w:rFonts w:cs="Times New Roman" w:eastAsia="Times New Roman" w:hAnsi="Times New Roman" w:ascii="Times New Roman"/>
                <w:sz w:val="20"/>
                <w:szCs w:val="20"/>
              </w:rPr>
            </w:pPr>
          </w:p>
          <w:p w:rsidRDefault="00752CEE" w:rsidP="00752CEE" w:rsidR="00752CEE" w:rsidRPr="00752CEE">
            <w:pPr>
              <w:spacing w:after="0"/>
              <w:jc w:val="right"/>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154.600,71</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Bruto nagrada po rješenju suda sukladno Uredbi NN 105/2015</w:t>
            </w:r>
          </w:p>
        </w:tc>
        <w:tc>
          <w:tcPr>
            <w:tcW w:type="dxa" w:w="326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right"/>
              <w:rPr>
                <w:rFonts w:cs="Times New Roman" w:eastAsia="Times New Roman" w:hAnsi="Times New Roman" w:ascii="Times New Roman"/>
                <w:sz w:val="20"/>
                <w:szCs w:val="20"/>
              </w:rPr>
            </w:pPr>
          </w:p>
          <w:p w:rsidRDefault="00752CEE" w:rsidP="00752CEE" w:rsidR="00752CEE" w:rsidRPr="00752CEE">
            <w:pPr>
              <w:spacing w:after="0"/>
              <w:jc w:val="right"/>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287.543,73</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Rezervacija za neisplaćene tražbine u I djelomičnoj diobi – nepoznat račun</w:t>
            </w:r>
          </w:p>
        </w:tc>
        <w:tc>
          <w:tcPr>
            <w:tcW w:type="dxa" w:w="326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right"/>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21.109,09</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rPr>
            </w:pPr>
          </w:p>
        </w:tc>
        <w:tc>
          <w:tcPr>
            <w:tcW w:type="dxa" w:w="326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sz w:val="20"/>
                <w:szCs w:val="20"/>
              </w:rPr>
            </w:pP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 rezervacija za parnicu OD Maržić</w:t>
            </w:r>
          </w:p>
        </w:tc>
        <w:tc>
          <w:tcPr>
            <w:tcW w:type="dxa" w:w="326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sz w:val="20"/>
                <w:szCs w:val="20"/>
              </w:rPr>
            </w:pPr>
            <w:r w:rsidRPr="00752CEE">
              <w:rPr>
                <w:rFonts w:cs="Times New Roman" w:eastAsia="Times New Roman" w:hAnsi="Times New Roman" w:ascii="Times New Roman"/>
                <w:sz w:val="20"/>
                <w:szCs w:val="20"/>
                <w:lang w:eastAsia="hr-HR" w:val="en-US"/>
              </w:rPr>
              <w:t xml:space="preserve">                                          261.395,35 </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Rezervacija za sporni iznos sa tuženikom Micheli Tomić sa zzk</w:t>
            </w:r>
          </w:p>
        </w:tc>
        <w:tc>
          <w:tcPr>
            <w:tcW w:type="dxa" w:w="326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rPr>
                <w:rFonts w:cs="Times New Roman"/>
                <w:sz w:val="20"/>
                <w:szCs w:val="20"/>
              </w:rPr>
            </w:pPr>
          </w:p>
          <w:p w:rsidRDefault="00752CEE" w:rsidP="00752CEE" w:rsidR="00752CEE" w:rsidRPr="00752CEE">
            <w:pPr>
              <w:spacing w:after="0"/>
              <w:rPr>
                <w:rFonts w:cs="Times New Roman"/>
                <w:sz w:val="20"/>
                <w:szCs w:val="20"/>
              </w:rPr>
            </w:pPr>
            <w:r w:rsidRPr="00752CEE">
              <w:rPr>
                <w:rFonts w:cs="Times New Roman"/>
                <w:sz w:val="20"/>
                <w:szCs w:val="20"/>
              </w:rPr>
              <w:t xml:space="preserve">                                              150.000,00</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Rezervacija za predvidive troškove do zaključenja postupka i brisanja  (troškovi platnog prometa,  bankarska naknade, HP, knjigovodstvo i dr. troš)</w:t>
            </w:r>
          </w:p>
        </w:tc>
        <w:tc>
          <w:tcPr>
            <w:tcW w:type="dxa" w:w="326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rPr>
                <w:rFonts w:cs="Times New Roman"/>
                <w:sz w:val="20"/>
                <w:szCs w:val="20"/>
              </w:rPr>
            </w:pPr>
          </w:p>
          <w:p w:rsidRDefault="00752CEE" w:rsidP="00752CEE" w:rsidR="00752CEE" w:rsidRPr="00752CEE">
            <w:pPr>
              <w:spacing w:after="0"/>
              <w:rPr>
                <w:rFonts w:cs="Times New Roman"/>
                <w:sz w:val="20"/>
                <w:szCs w:val="20"/>
              </w:rPr>
            </w:pPr>
          </w:p>
          <w:p w:rsidRDefault="00752CEE" w:rsidP="00752CEE" w:rsidR="00752CEE" w:rsidRPr="00752CEE">
            <w:pPr>
              <w:spacing w:after="0"/>
              <w:rPr>
                <w:rFonts w:cs="Times New Roman"/>
                <w:sz w:val="20"/>
                <w:szCs w:val="20"/>
              </w:rPr>
            </w:pPr>
            <w:r w:rsidRPr="00752CEE">
              <w:rPr>
                <w:rFonts w:cs="Times New Roman"/>
                <w:sz w:val="20"/>
                <w:szCs w:val="20"/>
              </w:rPr>
              <w:t xml:space="preserve">                                                22.200,00</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 xml:space="preserve">- rezervacija za predvidive troškove trajnog zbrinjavanja arhive </w:t>
            </w:r>
          </w:p>
        </w:tc>
        <w:tc>
          <w:tcPr>
            <w:tcW w:type="dxa" w:w="326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color w:val="FF0000"/>
                <w:sz w:val="20"/>
                <w:szCs w:val="20"/>
              </w:rPr>
            </w:pPr>
          </w:p>
          <w:p w:rsidRDefault="00752CEE" w:rsidP="00752CEE" w:rsidR="00752CEE" w:rsidRPr="00752CEE">
            <w:pPr>
              <w:spacing w:after="0"/>
              <w:rPr>
                <w:rFonts w:cs="Times New Roman"/>
                <w:color w:val="FF0000"/>
                <w:sz w:val="20"/>
                <w:szCs w:val="20"/>
              </w:rPr>
            </w:pPr>
            <w:r w:rsidRPr="00752CEE">
              <w:rPr>
                <w:rFonts w:cs="Times New Roman"/>
                <w:color w:val="FF0000"/>
                <w:sz w:val="20"/>
                <w:szCs w:val="20"/>
              </w:rPr>
              <w:t xml:space="preserve">                                             135.000,00 </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lastRenderedPageBreak/>
              <w:t>- rezervacija za troškove režija neunovčene nekretnine D. Selo</w:t>
            </w:r>
          </w:p>
        </w:tc>
        <w:tc>
          <w:tcPr>
            <w:tcW w:type="dxa" w:w="326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rPr>
                <w:rFonts w:cs="Times New Roman"/>
                <w:sz w:val="20"/>
                <w:szCs w:val="20"/>
              </w:rPr>
            </w:pPr>
            <w:r w:rsidRPr="00752CEE">
              <w:rPr>
                <w:rFonts w:cs="Times New Roman"/>
                <w:sz w:val="20"/>
                <w:szCs w:val="20"/>
              </w:rPr>
              <w:t xml:space="preserve">                                             6.000,00</w:t>
            </w:r>
          </w:p>
        </w:tc>
      </w:tr>
      <w:tr w:rsidTr="00950E72" w:rsidR="00752CEE" w:rsidRPr="00752CEE">
        <w:tc>
          <w:tcPr>
            <w:tcW w:type="dxa" w:w="3969"/>
            <w:tcBorders>
              <w:top w:space="0" w:sz="4" w:color="auto" w:val="single"/>
              <w:left w:space="0" w:sz="4" w:color="auto" w:val="single"/>
              <w:bottom w:val="nil"/>
              <w:right w:space="0" w:sz="4" w:color="auto" w:val="single"/>
            </w:tcBorders>
            <w:hideMark/>
          </w:tcPr>
          <w:p w:rsidRDefault="00752CEE" w:rsidP="00752CEE" w:rsidR="00752CEE" w:rsidRPr="00752CEE">
            <w:pPr>
              <w:spacing w:after="0"/>
              <w:rPr>
                <w:rFonts w:cs="Times New Roman"/>
              </w:rPr>
            </w:pPr>
          </w:p>
        </w:tc>
        <w:tc>
          <w:tcPr>
            <w:tcW w:type="dxa" w:w="3261"/>
            <w:tcBorders>
              <w:top w:space="0" w:sz="4" w:color="auto" w:val="single"/>
              <w:left w:space="0" w:sz="4" w:color="auto" w:val="single"/>
              <w:bottom w:val="nil"/>
              <w:right w:space="0" w:sz="4" w:color="auto" w:val="single"/>
            </w:tcBorders>
            <w:hideMark/>
          </w:tcPr>
          <w:p w:rsidRDefault="00752CEE" w:rsidP="00752CEE" w:rsidR="00752CEE" w:rsidRPr="00752CEE">
            <w:pPr>
              <w:spacing w:after="0"/>
              <w:rPr>
                <w:rFonts w:cs="Times New Roman"/>
                <w:sz w:val="20"/>
                <w:szCs w:val="20"/>
              </w:rPr>
            </w:pPr>
          </w:p>
        </w:tc>
      </w:tr>
      <w:tr w:rsidTr="00950E72" w:rsidR="00752CEE" w:rsidRPr="00752CEE">
        <w:tc>
          <w:tcPr>
            <w:tcW w:type="dxa" w:w="3969"/>
            <w:tcBorders>
              <w:top w:space="0" w:sz="4" w:color="auto" w:val="single"/>
              <w:left w:space="0" w:sz="4" w:color="auto" w:val="single"/>
              <w:bottom w:val="nil"/>
              <w:right w:space="0" w:sz="4" w:color="auto" w:val="single"/>
            </w:tcBorders>
            <w:hideMark/>
          </w:tcPr>
          <w:p w:rsidRDefault="00752CEE" w:rsidP="00752CEE" w:rsidR="00752CEE" w:rsidRPr="00752CEE">
            <w:pPr>
              <w:spacing w:after="0"/>
              <w:rPr>
                <w:rFonts w:cs="Times New Roman" w:eastAsia="Times New Roman" w:hAnsi="Times New Roman" w:ascii="Times New Roman"/>
                <w:sz w:val="24"/>
                <w:szCs w:val="24"/>
              </w:rPr>
            </w:pPr>
            <w:r w:rsidRPr="00752CEE">
              <w:rPr>
                <w:rFonts w:cs="Times New Roman" w:eastAsia="Times New Roman" w:hAnsi="Times New Roman" w:ascii="Times New Roman"/>
                <w:sz w:val="24"/>
                <w:szCs w:val="24"/>
              </w:rPr>
              <w:t>- rezervacija za troškove ostalih parnica u tijeku</w:t>
            </w:r>
          </w:p>
        </w:tc>
        <w:tc>
          <w:tcPr>
            <w:tcW w:type="dxa" w:w="3261"/>
            <w:tcBorders>
              <w:top w:space="0" w:sz="4" w:color="auto" w:val="single"/>
              <w:left w:space="0" w:sz="4" w:color="auto" w:val="single"/>
              <w:bottom w:val="nil"/>
              <w:right w:space="0" w:sz="4" w:color="auto" w:val="single"/>
            </w:tcBorders>
            <w:hideMark/>
          </w:tcPr>
          <w:p w:rsidRDefault="00752CEE" w:rsidP="00752CEE" w:rsidR="00752CEE" w:rsidRPr="00752CEE">
            <w:pPr>
              <w:spacing w:after="0"/>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60.993,50</w:t>
            </w:r>
          </w:p>
        </w:tc>
      </w:tr>
      <w:tr w:rsidTr="00950E72" w:rsidR="00752CEE" w:rsidRPr="00752CEE">
        <w:tc>
          <w:tcPr>
            <w:tcW w:type="dxa" w:w="3969"/>
            <w:tcBorders>
              <w:top w:space="0" w:sz="4" w:color="auto" w:val="single"/>
              <w:left w:space="0" w:sz="4" w:color="auto" w:val="single"/>
              <w:bottom w:val="nil"/>
              <w:right w:space="0" w:sz="4" w:color="auto" w:val="single"/>
            </w:tcBorders>
            <w:hideMark/>
          </w:tcPr>
          <w:p w:rsidRDefault="00752CEE" w:rsidP="00752CEE" w:rsidR="00752CEE" w:rsidRPr="00752CEE">
            <w:pPr>
              <w:spacing w:after="0"/>
              <w:rPr>
                <w:rFonts w:cs="Times New Roman" w:eastAsia="Times New Roman" w:hAnsi="Times New Roman" w:ascii="Times New Roman"/>
                <w:b/>
                <w:sz w:val="24"/>
                <w:szCs w:val="24"/>
              </w:rPr>
            </w:pPr>
            <w:r w:rsidRPr="00752CEE">
              <w:rPr>
                <w:rFonts w:cs="Times New Roman" w:eastAsia="Times New Roman" w:hAnsi="Times New Roman" w:ascii="Times New Roman"/>
                <w:b/>
                <w:sz w:val="24"/>
                <w:szCs w:val="24"/>
              </w:rPr>
              <w:t>Ukupno rezervacija za troškove</w:t>
            </w:r>
          </w:p>
        </w:tc>
        <w:tc>
          <w:tcPr>
            <w:tcW w:type="dxa" w:w="3261"/>
            <w:tcBorders>
              <w:top w:space="0" w:sz="4" w:color="auto" w:val="single"/>
              <w:left w:space="0" w:sz="4" w:color="auto" w:val="single"/>
              <w:bottom w:val="nil"/>
              <w:right w:space="0" w:sz="4" w:color="auto" w:val="single"/>
            </w:tcBorders>
            <w:hideMark/>
          </w:tcPr>
          <w:p w:rsidRDefault="00752CEE" w:rsidP="00752CEE" w:rsidR="00752CEE" w:rsidRPr="00752CEE">
            <w:pPr>
              <w:spacing w:after="0"/>
              <w:rPr>
                <w:rFonts w:cs="Times New Roman"/>
                <w:b/>
                <w:sz w:val="20"/>
                <w:szCs w:val="20"/>
              </w:rPr>
            </w:pPr>
            <w:r w:rsidRPr="00752CEE">
              <w:rPr>
                <w:rFonts w:cs="Times New Roman"/>
                <w:b/>
                <w:sz w:val="20"/>
                <w:szCs w:val="20"/>
              </w:rPr>
              <w:t xml:space="preserve">                                    1.351.514,88</w:t>
            </w: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b/>
                <w:sz w:val="24"/>
                <w:szCs w:val="24"/>
              </w:rPr>
            </w:pPr>
            <w:r w:rsidRPr="00752CEE">
              <w:rPr>
                <w:rFonts w:cs="Times New Roman" w:eastAsia="Times New Roman" w:hAnsi="Times New Roman" w:ascii="Times New Roman"/>
                <w:b/>
                <w:sz w:val="24"/>
                <w:szCs w:val="24"/>
              </w:rPr>
              <w:t>////////////////////////////////////////////////////</w:t>
            </w:r>
          </w:p>
        </w:tc>
        <w:tc>
          <w:tcPr>
            <w:tcW w:type="dxa" w:w="326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right"/>
              <w:rPr>
                <w:rFonts w:cs="Times New Roman" w:eastAsia="Times New Roman" w:hAnsi="Times New Roman" w:ascii="Times New Roman"/>
                <w:b/>
                <w:sz w:val="20"/>
                <w:szCs w:val="20"/>
              </w:rPr>
            </w:pPr>
          </w:p>
        </w:tc>
      </w:tr>
      <w:tr w:rsidTr="00950E72" w:rsidR="00752CEE" w:rsidRPr="00752CEE">
        <w:tc>
          <w:tcPr>
            <w:tcW w:type="dxa" w:w="3969"/>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rPr>
                <w:rFonts w:cs="Times New Roman" w:eastAsia="Times New Roman" w:hAnsi="Times New Roman" w:ascii="Times New Roman"/>
                <w:b/>
                <w:sz w:val="24"/>
                <w:szCs w:val="24"/>
              </w:rPr>
            </w:pPr>
            <w:r w:rsidRPr="00752CEE">
              <w:rPr>
                <w:rFonts w:cs="Times New Roman" w:eastAsia="Times New Roman" w:hAnsi="Times New Roman" w:ascii="Times New Roman"/>
                <w:b/>
                <w:sz w:val="24"/>
                <w:szCs w:val="24"/>
              </w:rPr>
              <w:t>Raspoloživa sredstva za završnu diobu nakon rezervacija</w:t>
            </w:r>
          </w:p>
        </w:tc>
        <w:tc>
          <w:tcPr>
            <w:tcW w:type="dxa" w:w="326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rPr>
                <w:rFonts w:cs="Times New Roman"/>
                <w:sz w:val="20"/>
                <w:szCs w:val="20"/>
              </w:rPr>
            </w:pPr>
            <w:r w:rsidRPr="00752CEE">
              <w:rPr>
                <w:rFonts w:cs="Times New Roman"/>
                <w:sz w:val="20"/>
                <w:szCs w:val="20"/>
              </w:rPr>
              <w:t xml:space="preserve">                                                 0,00</w:t>
            </w:r>
          </w:p>
          <w:p w:rsidRDefault="00752CEE" w:rsidP="00752CEE" w:rsidR="00752CEE" w:rsidRPr="00752CEE">
            <w:pPr>
              <w:spacing w:after="0"/>
              <w:rPr>
                <w:rFonts w:cs="Times New Roman"/>
                <w:b/>
                <w:sz w:val="20"/>
                <w:szCs w:val="20"/>
              </w:rPr>
            </w:pPr>
          </w:p>
        </w:tc>
      </w:tr>
    </w:tbl>
    <w:p w:rsidRDefault="00752CEE" w:rsidP="00752CEE" w:rsidR="00752CEE" w:rsidRPr="00752CEE">
      <w:pPr>
        <w:spacing w:lineRule="auto" w:line="240" w:after="0"/>
        <w:rPr>
          <w:rFonts w:cs="Times New Roman" w:eastAsia="Times New Roman" w:hAnsi="Times New Roman" w:ascii="Times New Roman"/>
          <w:sz w:val="16"/>
          <w:szCs w:val="16"/>
          <w:lang w:eastAsia="hr-HR"/>
        </w:rPr>
      </w:pPr>
      <w:r w:rsidRPr="00752CEE">
        <w:rPr>
          <w:rFonts w:cs="Times New Roman" w:eastAsia="Times New Roman" w:hAnsi="Times New Roman" w:ascii="Times New Roman"/>
          <w:sz w:val="16"/>
          <w:szCs w:val="16"/>
          <w:lang w:eastAsia="hr-HR"/>
        </w:rPr>
        <w:t>*Iskazaninovčani tijek priliva i odliva konsolidiran za promete povrata jamčevina iprimitka i povrata pogrešnih doznaka jer ne predstavljaju stečajnu masu</w:t>
      </w:r>
    </w:p>
    <w:p w:rsidRDefault="00752CEE" w:rsidP="00752CEE" w:rsidR="00752CEE" w:rsidRPr="00752CEE">
      <w:pPr>
        <w:spacing w:lineRule="auto" w:line="240" w:after="0"/>
        <w:rPr>
          <w:rFonts w:cs="Times New Roman" w:eastAsia="Times New Roman" w:hAnsi="Times New Roman" w:ascii="Times New Roman"/>
          <w:sz w:val="24"/>
          <w:szCs w:val="20"/>
          <w:lang w:eastAsia="hr-HR"/>
        </w:rPr>
      </w:pPr>
    </w:p>
    <w:p w:rsidRDefault="00752CEE" w:rsidP="00752CEE" w:rsidR="00752CEE" w:rsidRPr="00752CEE">
      <w:pPr>
        <w:spacing w:lineRule="auto" w:line="240" w:after="0"/>
        <w:rPr>
          <w:rFonts w:cs="Times New Roman" w:eastAsia="Times New Roman" w:hAnsi="Times New Roman" w:ascii="Times New Roman"/>
          <w:sz w:val="24"/>
          <w:szCs w:val="24"/>
          <w:lang w:eastAsia="hr-HR" w:val="en-US"/>
        </w:rPr>
      </w:pPr>
      <w:r w:rsidRPr="00752CEE">
        <w:rPr>
          <w:rFonts w:cs="Times New Roman" w:eastAsia="Times New Roman" w:hAnsi="Times New Roman" w:ascii="Times New Roman"/>
          <w:sz w:val="24"/>
          <w:szCs w:val="24"/>
          <w:lang w:eastAsia="hr-HR" w:val="en-US"/>
        </w:rPr>
        <w:t>U odnosu na iskazane odlive, prisilna naplata novčane kazne po nalogu Prekršajnog suda, Stalna služba Klanjec, vezana je uz nadzor neisplata plaća pravnog prednika stečajnog dužnika. Unatoč niza podnesaka i žalbi kojima je ukazano sudu na nedopuštenost naplate izrečene kazne za prekršajno djelo nastalo prije otvaranja stečaja, isti je izvršio naplatu rješenjem na koje je izjavljena žalba, te je predmet po žalbi na Visokom prekršajnom sudu. Ujedno je Županijskom državnom odvjetništvu u odnosu na naplaćenu kaznu podnesen zahtjev za mirno rješenje spora i zahtjev za zaštitu zakonitosti. Prema odgovoru Županijskog državnog odvjetništva zahtjev za mirno rješenje spora je preuranjen dok se predmet po žalbi stečajnog dužnika ne riješi na Visokom prekršajnom sudu.</w:t>
      </w:r>
    </w:p>
    <w:p w:rsidRDefault="00752CEE" w:rsidP="00752CEE" w:rsidR="00752CEE" w:rsidRPr="00752CEE">
      <w:pPr>
        <w:spacing w:lineRule="auto" w:line="240" w:after="0"/>
        <w:rPr>
          <w:rFonts w:cs="Times New Roman" w:eastAsia="Times New Roman" w:hAnsi="Times New Roman" w:ascii="Times New Roman"/>
          <w:sz w:val="24"/>
          <w:szCs w:val="24"/>
          <w:lang w:eastAsia="hr-HR"/>
        </w:rPr>
      </w:pPr>
    </w:p>
    <w:p w:rsidRDefault="00752CEE" w:rsidP="00752CEE" w:rsidR="00752CEE" w:rsidRPr="00752CEE">
      <w:pPr>
        <w:spacing w:lineRule="auto" w:line="240" w:after="0"/>
        <w:rPr>
          <w:rFonts w:cs="Times New Roman" w:eastAsia="Times New Roman" w:hAnsi="Times New Roman" w:ascii="Times New Roman"/>
          <w:sz w:val="24"/>
          <w:szCs w:val="24"/>
          <w:lang w:eastAsia="hr-HR"/>
        </w:rPr>
      </w:pPr>
      <w:r w:rsidRPr="00752CEE">
        <w:rPr>
          <w:rFonts w:cs="Times New Roman" w:eastAsia="Times New Roman" w:hAnsi="Times New Roman" w:ascii="Times New Roman"/>
          <w:sz w:val="24"/>
          <w:szCs w:val="24"/>
          <w:lang w:eastAsia="hr-HR"/>
        </w:rPr>
        <w:t>II   ZAVRŠNA BILANCA</w:t>
      </w:r>
    </w:p>
    <w:p w:rsidRDefault="00752CEE" w:rsidP="00752CEE" w:rsidR="00752CEE" w:rsidRPr="00752CEE">
      <w:pPr>
        <w:spacing w:lineRule="auto" w:line="240" w:after="0"/>
        <w:rPr>
          <w:rFonts w:cs="Times New Roman" w:eastAsia="Times New Roman" w:hAnsi="Times New Roman" w:ascii="Times New Roman"/>
          <w:sz w:val="24"/>
          <w:szCs w:val="20"/>
          <w:lang w:eastAsia="hr-HR"/>
        </w:rPr>
      </w:pPr>
    </w:p>
    <w:p w:rsidRDefault="00752CEE" w:rsidP="00752CEE" w:rsidR="00752CEE" w:rsidRPr="00752CEE">
      <w:pPr>
        <w:spacing w:lineRule="auto" w:line="240" w:after="0"/>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Sva imovina stečajnog dužnika koja je imala tržišnu vrijednost je tijekom postupka  unovčena, osim imovine koja je predmet parnica i nekretnina ( lokal broj 6, površine 20,04m2, zk.ul. 1887, podul. 69. koja je predmet ovršnog postupka ( Ovr-1463/13 na Općinskom građanskom sudu u Zagrebu, stalna služba Dugo selo) pokrenutog po razlučnom vjerovniku Adria Zagreb factoring d.o.o. radi osiguranja iznosa od 300.000,00 kn.</w:t>
      </w:r>
    </w:p>
    <w:p w:rsidRDefault="00752CEE" w:rsidP="00752CEE" w:rsidR="00752CEE" w:rsidRPr="00752CEE">
      <w:pPr>
        <w:spacing w:lineRule="auto" w:line="240" w:after="0"/>
        <w:rPr>
          <w:rFonts w:cs="Times New Roman" w:eastAsia="Times New Roman" w:hAnsi="Times New Roman" w:ascii="Times New Roman"/>
          <w:sz w:val="24"/>
          <w:szCs w:val="20"/>
          <w:lang w:eastAsia="hr-HR"/>
        </w:rPr>
      </w:pPr>
    </w:p>
    <w:p w:rsidRDefault="00752CEE" w:rsidP="00752CEE" w:rsidR="00752CEE" w:rsidRPr="00752CEE">
      <w:pPr>
        <w:spacing w:lineRule="auto" w:line="240" w:after="0"/>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 xml:space="preserve">U odnosu na zatečena potraživanja poduzete su pravne radnje radi naplate zatečenih potraživanja, a stanje sudskih sporova i izvršenih naplata iskazano je u pregledu stanja naplaćenih potraživanja u sporovima i stanju sudskih postupaka koji se vode radi naplate. </w:t>
      </w:r>
    </w:p>
    <w:p w:rsidRDefault="00752CEE" w:rsidP="00752CEE" w:rsidR="00752CEE" w:rsidRPr="00752CEE">
      <w:pPr>
        <w:spacing w:lineRule="auto" w:line="240" w:after="0"/>
        <w:rPr>
          <w:rFonts w:cs="Times New Roman" w:eastAsia="Times New Roman" w:hAnsi="Times New Roman" w:ascii="Times New Roman"/>
          <w:sz w:val="24"/>
          <w:szCs w:val="20"/>
          <w:lang w:eastAsia="hr-HR"/>
        </w:rPr>
      </w:pPr>
    </w:p>
    <w:p w:rsidRDefault="00752CEE" w:rsidP="00752CEE" w:rsidR="00752CEE" w:rsidRPr="00752CEE">
      <w:pPr>
        <w:spacing w:lineRule="auto" w:line="240" w:after="0"/>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 xml:space="preserve">Tijekom stečajnog postupka, a sukladno stanju stečajne mase izvršeno je podmirenje obaveza prema radnicima iz članka 86.st.2. SZ-a, te  je provedena jedna djelomična dioba kojom su se namirivale djelomično utvrđene tražbine I višeg isplatnog reda, a sve kako je iskazano u završnom računu. </w:t>
      </w:r>
    </w:p>
    <w:p w:rsidRDefault="00752CEE" w:rsidP="00752CEE" w:rsidR="00752CEE" w:rsidRPr="00752CEE">
      <w:pPr>
        <w:spacing w:lineRule="auto" w:line="240" w:after="0"/>
        <w:rPr>
          <w:rFonts w:cs="Times New Roman" w:eastAsia="Times New Roman" w:hAnsi="Times New Roman" w:ascii="Times New Roman"/>
          <w:sz w:val="24"/>
          <w:szCs w:val="20"/>
          <w:lang w:eastAsia="hr-HR"/>
        </w:rPr>
      </w:pPr>
    </w:p>
    <w:p w:rsidRDefault="00752CEE" w:rsidP="00752CEE" w:rsidR="00752CEE" w:rsidRPr="00752CEE">
      <w:pPr>
        <w:spacing w:lineRule="auto" w:line="240" w:after="0"/>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Struktura imovine i obaveza, odnosno efekti od unovčenja imovine i utjecaj na tražbine vjerovnika iskazani su u daljnjem izvješću.</w:t>
      </w:r>
    </w:p>
    <w:p w:rsidRDefault="00752CEE" w:rsidP="00752CEE" w:rsidR="00752CEE" w:rsidRPr="00752CEE">
      <w:pPr>
        <w:spacing w:lineRule="auto" w:line="240" w:after="0"/>
        <w:rPr>
          <w:rFonts w:cs="Times New Roman" w:eastAsia="Times New Roman" w:hAnsi="Times New Roman" w:ascii="Times New Roman"/>
          <w:sz w:val="24"/>
          <w:szCs w:val="20"/>
          <w:lang w:eastAsia="hr-HR"/>
        </w:rPr>
      </w:pPr>
    </w:p>
    <w:p w:rsidRDefault="00752CEE" w:rsidP="00752CEE" w:rsidR="00752CEE" w:rsidRPr="00752CEE">
      <w:pPr>
        <w:spacing w:lineRule="auto" w:line="240" w:after="0"/>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b/>
          <w:sz w:val="24"/>
          <w:szCs w:val="20"/>
          <w:lang w:eastAsia="hr-HR"/>
        </w:rPr>
      </w:pPr>
      <w:r w:rsidRPr="00752CEE">
        <w:rPr>
          <w:rFonts w:cs="Times New Roman" w:eastAsia="Times New Roman" w:hAnsi="Times New Roman" w:ascii="Times New Roman"/>
          <w:b/>
          <w:sz w:val="24"/>
          <w:szCs w:val="20"/>
          <w:lang w:eastAsia="hr-HR"/>
        </w:rPr>
        <w:t>A/ IMOVINA</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Od unovčenja imovine realizirani su slijedeći prilivi u korist stečajne mase u odnosu na procijenjenu vrijednost ili očekivanu visinu stečajne mase:</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lastRenderedPageBreak/>
        <w:t>Strukturu ostvarene stečajne mase od unovčenja nekretnina,  pokretnina, potraživanja i drugih prava:</w:t>
      </w:r>
    </w:p>
    <w:p w:rsidRDefault="00752CEE" w:rsidP="00752CEE" w:rsidR="00752CEE" w:rsidRPr="00752CEE">
      <w:pPr>
        <w:spacing w:lineRule="auto" w:line="240" w:after="0"/>
        <w:jc w:val="both"/>
        <w:rPr>
          <w:rFonts w:cs="Times New Roman" w:eastAsia="Times New Roman" w:hAnsi="Times New Roman" w:ascii="Times New Roman"/>
          <w:sz w:val="24"/>
          <w:szCs w:val="20"/>
          <w:u w:val="single"/>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u w:val="single"/>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u w:val="single"/>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u w:val="single"/>
          <w:lang w:eastAsia="hr-HR"/>
        </w:rPr>
      </w:pPr>
    </w:p>
    <w:tbl>
      <w:tblPr>
        <w:tblW w:type="auto" w:w="0"/>
        <w:tblBorders>
          <w:top w:space="0" w:sz="4" w:color="auto" w:val="single"/>
        </w:tblBorders>
        <w:tblLook w:val="04A0" w:noVBand="1" w:noHBand="0" w:lastColumn="0" w:firstColumn="1" w:lastRow="0" w:firstRow="1"/>
      </w:tblPr>
      <w:tblGrid>
        <w:gridCol w:w="2076"/>
        <w:gridCol w:w="2304"/>
        <w:gridCol w:w="2136"/>
        <w:gridCol w:w="2328"/>
      </w:tblGrid>
      <w:tr w:rsidTr="00950E72" w:rsidR="00752CEE" w:rsidRPr="00752CEE">
        <w:trPr>
          <w:trHeight w:val="100"/>
        </w:trPr>
        <w:tc>
          <w:tcPr>
            <w:tcW w:type="dxa" w:w="2076"/>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b/>
                <w:sz w:val="24"/>
                <w:szCs w:val="20"/>
              </w:rPr>
            </w:pPr>
            <w:r w:rsidRPr="00752CEE">
              <w:rPr>
                <w:rFonts w:cs="Times New Roman" w:eastAsia="Times New Roman" w:hAnsi="Times New Roman" w:ascii="Times New Roman"/>
                <w:b/>
                <w:sz w:val="24"/>
                <w:szCs w:val="20"/>
              </w:rPr>
              <w:t>vrsta imovine</w:t>
            </w:r>
          </w:p>
        </w:tc>
        <w:tc>
          <w:tcPr>
            <w:tcW w:type="dxa" w:w="2304"/>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pBdr>
                <w:bottom w:space="1" w:sz="12" w:color="auto" w:val="single"/>
              </w:pBdr>
              <w:spacing w:after="0"/>
              <w:jc w:val="both"/>
              <w:rPr>
                <w:rFonts w:cs="Times New Roman" w:eastAsia="Times New Roman" w:hAnsi="Times New Roman" w:ascii="Times New Roman"/>
                <w:b/>
                <w:sz w:val="20"/>
                <w:szCs w:val="20"/>
              </w:rPr>
            </w:pPr>
            <w:r w:rsidRPr="00752CEE">
              <w:rPr>
                <w:rFonts w:cs="Times New Roman" w:eastAsia="Times New Roman" w:hAnsi="Times New Roman" w:ascii="Times New Roman"/>
                <w:b/>
                <w:sz w:val="20"/>
                <w:szCs w:val="20"/>
              </w:rPr>
              <w:t>Očekivana vrijednost</w:t>
            </w:r>
          </w:p>
          <w:p w:rsidRDefault="00752CEE" w:rsidP="00752CEE" w:rsidR="00752CEE" w:rsidRPr="00752CEE">
            <w:pPr>
              <w:spacing w:after="0"/>
              <w:jc w:val="both"/>
              <w:rPr>
                <w:rFonts w:cs="Times New Roman" w:eastAsia="Times New Roman" w:hAnsi="Times New Roman" w:ascii="Times New Roman"/>
                <w:b/>
                <w:sz w:val="20"/>
                <w:szCs w:val="20"/>
              </w:rPr>
            </w:pPr>
            <w:r w:rsidRPr="00752CEE">
              <w:rPr>
                <w:rFonts w:cs="Times New Roman" w:eastAsia="Times New Roman" w:hAnsi="Times New Roman" w:ascii="Times New Roman"/>
                <w:b/>
                <w:sz w:val="20"/>
                <w:szCs w:val="20"/>
              </w:rPr>
              <w:t>Način unovčenja</w:t>
            </w:r>
          </w:p>
        </w:tc>
        <w:tc>
          <w:tcPr>
            <w:tcW w:type="dxa" w:w="2136"/>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b/>
                <w:sz w:val="24"/>
                <w:szCs w:val="20"/>
              </w:rPr>
            </w:pPr>
            <w:r w:rsidRPr="00752CEE">
              <w:rPr>
                <w:rFonts w:cs="Times New Roman" w:eastAsia="Times New Roman" w:hAnsi="Times New Roman" w:ascii="Times New Roman"/>
                <w:b/>
                <w:sz w:val="24"/>
                <w:szCs w:val="20"/>
              </w:rPr>
              <w:t>Iznos očekivane vrijednosti  ili naplaćeno</w:t>
            </w:r>
          </w:p>
        </w:tc>
        <w:tc>
          <w:tcPr>
            <w:tcW w:type="dxa" w:w="2328"/>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b/>
                <w:sz w:val="24"/>
                <w:szCs w:val="20"/>
              </w:rPr>
            </w:pPr>
            <w:r w:rsidRPr="00752CEE">
              <w:rPr>
                <w:rFonts w:cs="Times New Roman" w:eastAsia="Times New Roman" w:hAnsi="Times New Roman" w:ascii="Times New Roman"/>
                <w:b/>
                <w:sz w:val="24"/>
                <w:szCs w:val="20"/>
              </w:rPr>
              <w:t>Ostvarena vrijednost u unovčenju</w:t>
            </w:r>
          </w:p>
        </w:tc>
      </w:tr>
      <w:tr w:rsidTr="00950E72" w:rsidR="00752CEE" w:rsidRPr="00752CEE">
        <w:trPr>
          <w:trHeight w:val="100"/>
        </w:trPr>
        <w:tc>
          <w:tcPr>
            <w:tcW w:type="dxa" w:w="2076"/>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Nekretnina zkč. 809/1 k.o. Kaštel Novi</w:t>
            </w:r>
          </w:p>
        </w:tc>
        <w:tc>
          <w:tcPr>
            <w:tcW w:type="dxa" w:w="2304"/>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pBdr>
                <w:bottom w:space="1" w:sz="12" w:color="auto" w:val="single"/>
              </w:pBd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Procjena vještaka</w:t>
            </w:r>
          </w:p>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Čl. 164.SZ-a po stečajnom sucu</w:t>
            </w:r>
          </w:p>
        </w:tc>
        <w:tc>
          <w:tcPr>
            <w:tcW w:type="dxa" w:w="2136"/>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xml:space="preserve">  222.388,00</w:t>
            </w:r>
          </w:p>
        </w:tc>
        <w:tc>
          <w:tcPr>
            <w:tcW w:type="dxa" w:w="2328"/>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xml:space="preserve">             222.388,00</w:t>
            </w:r>
          </w:p>
        </w:tc>
      </w:tr>
      <w:tr w:rsidTr="00950E72" w:rsidR="00752CEE" w:rsidRPr="00752CEE">
        <w:trPr>
          <w:trHeight w:val="100"/>
        </w:trPr>
        <w:tc>
          <w:tcPr>
            <w:tcW w:type="dxa" w:w="2076"/>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Nekretnina – zk.ul. 795, poduložak 8 k.o. Jasenak</w:t>
            </w:r>
          </w:p>
        </w:tc>
        <w:tc>
          <w:tcPr>
            <w:tcW w:type="dxa" w:w="2304"/>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pBdr>
                <w:bottom w:space="1" w:sz="12" w:color="auto" w:val="single"/>
              </w:pBd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Procjena vještaka</w:t>
            </w:r>
          </w:p>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Čl. 164. SZ-a po stečajnom sucu</w:t>
            </w:r>
          </w:p>
        </w:tc>
        <w:tc>
          <w:tcPr>
            <w:tcW w:type="dxa" w:w="2136"/>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24"/>
                <w:szCs w:val="20"/>
              </w:rPr>
              <w:t xml:space="preserve">  132.039,00</w:t>
            </w:r>
          </w:p>
          <w:p w:rsidRDefault="00752CEE" w:rsidP="00752CEE" w:rsidR="00752CEE" w:rsidRPr="00752CEE">
            <w:pPr>
              <w:spacing w:after="0"/>
              <w:jc w:val="both"/>
              <w:rPr>
                <w:rFonts w:cs="Times New Roman" w:eastAsia="Times New Roman" w:hAnsi="Times New Roman" w:ascii="Times New Roman"/>
                <w:sz w:val="16"/>
                <w:szCs w:val="16"/>
              </w:rPr>
            </w:pPr>
          </w:p>
        </w:tc>
        <w:tc>
          <w:tcPr>
            <w:tcW w:type="dxa" w:w="2328"/>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24"/>
                <w:szCs w:val="20"/>
              </w:rPr>
              <w:t xml:space="preserve">               90.000,00</w:t>
            </w:r>
          </w:p>
          <w:p w:rsidRDefault="00752CEE" w:rsidP="00752CEE" w:rsidR="00752CEE" w:rsidRPr="00752CEE">
            <w:pPr>
              <w:spacing w:after="0"/>
              <w:jc w:val="both"/>
              <w:rPr>
                <w:rFonts w:cs="Times New Roman" w:eastAsia="Times New Roman" w:hAnsi="Times New Roman" w:ascii="Times New Roman"/>
                <w:sz w:val="16"/>
                <w:szCs w:val="16"/>
              </w:rPr>
            </w:pPr>
          </w:p>
        </w:tc>
      </w:tr>
      <w:tr w:rsidTr="00950E72" w:rsidR="00752CEE" w:rsidRPr="00752CEE">
        <w:trPr>
          <w:trHeight w:val="100"/>
        </w:trPr>
        <w:tc>
          <w:tcPr>
            <w:tcW w:type="dxa" w:w="2076"/>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Nekretnina – zk.ul. 1713 k.o. Razvor</w:t>
            </w:r>
          </w:p>
        </w:tc>
        <w:tc>
          <w:tcPr>
            <w:tcW w:type="dxa" w:w="2304"/>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pBdr>
                <w:bottom w:space="1" w:sz="12" w:color="auto" w:val="single"/>
              </w:pBd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Procjena vještaka</w:t>
            </w:r>
          </w:p>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Čl. 164. SZ-a po stečajnom sucu</w:t>
            </w:r>
          </w:p>
          <w:p w:rsidRDefault="00752CEE" w:rsidP="00752CEE" w:rsidR="00752CEE" w:rsidRPr="00752CEE">
            <w:pPr>
              <w:spacing w:after="0"/>
              <w:jc w:val="both"/>
              <w:rPr>
                <w:rFonts w:cs="Times New Roman" w:eastAsia="Times New Roman" w:hAnsi="Times New Roman" w:ascii="Times New Roman"/>
                <w:sz w:val="16"/>
                <w:szCs w:val="16"/>
              </w:rPr>
            </w:pPr>
          </w:p>
        </w:tc>
        <w:tc>
          <w:tcPr>
            <w:tcW w:type="dxa" w:w="2136"/>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1.803.073,00</w:t>
            </w:r>
          </w:p>
        </w:tc>
        <w:tc>
          <w:tcPr>
            <w:tcW w:type="dxa" w:w="2328"/>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xml:space="preserve">             370.000,00</w:t>
            </w:r>
          </w:p>
        </w:tc>
      </w:tr>
      <w:tr w:rsidTr="00950E72" w:rsidR="00752CEE" w:rsidRPr="00752CEE">
        <w:trPr>
          <w:trHeight w:val="100"/>
        </w:trPr>
        <w:tc>
          <w:tcPr>
            <w:tcW w:type="dxa" w:w="2076"/>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Nekretnina – apartmani upisani u zk.ul. 4985 i 4986, k.o. Kožino</w:t>
            </w:r>
          </w:p>
        </w:tc>
        <w:tc>
          <w:tcPr>
            <w:tcW w:type="dxa" w:w="2304"/>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pBdr>
                <w:bottom w:space="1" w:sz="12" w:color="auto" w:val="single"/>
              </w:pBd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xml:space="preserve">Procjena vještaka </w:t>
            </w:r>
          </w:p>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Čl. 164. SZ-a po stečajnom sucu</w:t>
            </w:r>
          </w:p>
          <w:p w:rsidRDefault="00752CEE" w:rsidP="00752CEE" w:rsidR="00752CEE" w:rsidRPr="00752CEE">
            <w:pPr>
              <w:spacing w:after="0"/>
              <w:jc w:val="both"/>
              <w:rPr>
                <w:rFonts w:cs="Times New Roman" w:eastAsia="Times New Roman" w:hAnsi="Times New Roman" w:ascii="Times New Roman"/>
                <w:sz w:val="16"/>
                <w:szCs w:val="16"/>
              </w:rPr>
            </w:pPr>
          </w:p>
        </w:tc>
        <w:tc>
          <w:tcPr>
            <w:tcW w:type="dxa" w:w="2136"/>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2.872.755,07</w:t>
            </w:r>
          </w:p>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bez PDV-a – nekretnine unovčene u sustavu PDV-a)</w:t>
            </w:r>
          </w:p>
        </w:tc>
        <w:tc>
          <w:tcPr>
            <w:tcW w:type="dxa" w:w="2328"/>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xml:space="preserve">           3.097.771,51</w:t>
            </w:r>
          </w:p>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xml:space="preserve">( </w:t>
            </w:r>
            <w:r w:rsidRPr="00752CEE">
              <w:rPr>
                <w:rFonts w:cs="Times New Roman" w:eastAsia="Times New Roman" w:hAnsi="Times New Roman" w:ascii="Times New Roman"/>
                <w:sz w:val="16"/>
                <w:szCs w:val="16"/>
              </w:rPr>
              <w:t>dio nekretnina unovčen uz prijenos porezne obaveze, adio uz obračun PDV-a)</w:t>
            </w:r>
          </w:p>
        </w:tc>
      </w:tr>
      <w:tr w:rsidTr="00950E72" w:rsidR="00752CEE" w:rsidRPr="00752CEE">
        <w:trPr>
          <w:trHeight w:val="100"/>
        </w:trPr>
        <w:tc>
          <w:tcPr>
            <w:tcW w:type="dxa" w:w="20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Nekretnina upisana u zk.ul. 1630 i 1382, k.o. razvor</w:t>
            </w:r>
          </w:p>
        </w:tc>
        <w:tc>
          <w:tcPr>
            <w:tcW w:type="dxa" w:w="2304"/>
            <w:tcBorders>
              <w:top w:space="0" w:sz="4" w:color="auto" w:val="single"/>
              <w:left w:space="0" w:sz="4" w:color="auto" w:val="single"/>
              <w:bottom w:space="0" w:sz="4" w:color="auto" w:val="single"/>
              <w:right w:space="0" w:sz="4" w:color="auto" w:val="single"/>
            </w:tcBorders>
          </w:tcPr>
          <w:p w:rsidRDefault="00752CEE" w:rsidP="00752CEE" w:rsidR="00752CEE" w:rsidRPr="00752CEE">
            <w:pPr>
              <w:pBdr>
                <w:bottom w:space="1" w:sz="12" w:color="auto" w:val="single"/>
              </w:pBd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Procjena vještaka</w:t>
            </w:r>
          </w:p>
          <w:p w:rsidRDefault="00752CEE" w:rsidP="00752CEE" w:rsidR="00752CEE" w:rsidRPr="00752CEE">
            <w:pPr>
              <w:pBdr>
                <w:bottom w:space="1" w:sz="12" w:color="auto" w:val="single"/>
              </w:pBd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xml:space="preserve">________________ </w:t>
            </w:r>
          </w:p>
          <w:p w:rsidRDefault="00752CEE" w:rsidP="00752CEE" w:rsidR="00752CEE" w:rsidRPr="00752CEE">
            <w:pPr>
              <w:pBdr>
                <w:bottom w:space="1" w:sz="12" w:color="auto" w:val="single"/>
              </w:pBd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Čl.164. SZ-a po stečajnom sucu</w:t>
            </w:r>
          </w:p>
        </w:tc>
        <w:tc>
          <w:tcPr>
            <w:tcW w:type="dxa" w:w="213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4"/>
                <w:szCs w:val="20"/>
              </w:rPr>
            </w:pPr>
          </w:p>
          <w:p w:rsidRDefault="00752CEE" w:rsidP="00752CEE" w:rsidR="00752CEE" w:rsidRPr="00752CEE">
            <w:pPr>
              <w:spacing w:after="0"/>
              <w:jc w:val="both"/>
              <w:rPr>
                <w:rFonts w:cs="Times New Roman" w:eastAsia="Times New Roman" w:hAnsi="Times New Roman" w:ascii="Times New Roman"/>
                <w:sz w:val="24"/>
                <w:szCs w:val="20"/>
              </w:rPr>
            </w:pPr>
          </w:p>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1.186.548,00</w:t>
            </w:r>
          </w:p>
        </w:tc>
        <w:tc>
          <w:tcPr>
            <w:tcW w:type="dxa" w:w="2328"/>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4"/>
                <w:szCs w:val="20"/>
              </w:rPr>
            </w:pPr>
          </w:p>
          <w:p w:rsidRDefault="00752CEE" w:rsidP="00752CEE" w:rsidR="00752CEE" w:rsidRPr="00752CEE">
            <w:pPr>
              <w:spacing w:after="0"/>
              <w:jc w:val="both"/>
              <w:rPr>
                <w:rFonts w:cs="Times New Roman" w:eastAsia="Times New Roman" w:hAnsi="Times New Roman" w:ascii="Times New Roman"/>
                <w:sz w:val="24"/>
                <w:szCs w:val="20"/>
              </w:rPr>
            </w:pPr>
          </w:p>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xml:space="preserve">            250.000,00</w:t>
            </w:r>
          </w:p>
        </w:tc>
      </w:tr>
      <w:tr w:rsidTr="00950E72" w:rsidR="00752CEE" w:rsidRPr="00752CEE">
        <w:trPr>
          <w:trHeight w:val="100"/>
        </w:trPr>
        <w:tc>
          <w:tcPr>
            <w:tcW w:type="dxa" w:w="20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lokal K. Gora P=76,60 m2</w:t>
            </w:r>
          </w:p>
        </w:tc>
        <w:tc>
          <w:tcPr>
            <w:tcW w:type="dxa" w:w="2304"/>
            <w:tcBorders>
              <w:top w:space="0" w:sz="4" w:color="auto" w:val="single"/>
              <w:left w:space="0" w:sz="4" w:color="auto" w:val="single"/>
              <w:bottom w:space="0" w:sz="4" w:color="auto" w:val="single"/>
              <w:right w:space="0" w:sz="4" w:color="auto" w:val="single"/>
            </w:tcBorders>
          </w:tcPr>
          <w:p w:rsidRDefault="00752CEE" w:rsidP="00752CEE" w:rsidR="00752CEE" w:rsidRPr="00752CEE">
            <w:pPr>
              <w:pBdr>
                <w:bottom w:space="1" w:sz="12" w:color="auto" w:val="single"/>
              </w:pBd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Procjena vještaka</w:t>
            </w:r>
          </w:p>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Čl. 158. SZ-a</w:t>
            </w:r>
          </w:p>
        </w:tc>
        <w:tc>
          <w:tcPr>
            <w:tcW w:type="dxa" w:w="213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xml:space="preserve">   444.581,00</w:t>
            </w:r>
          </w:p>
        </w:tc>
        <w:tc>
          <w:tcPr>
            <w:tcW w:type="dxa" w:w="2328"/>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xml:space="preserve">            203.680,00</w:t>
            </w:r>
          </w:p>
        </w:tc>
      </w:tr>
      <w:tr w:rsidTr="00950E72" w:rsidR="00752CEE" w:rsidRPr="00752CEE">
        <w:trPr>
          <w:trHeight w:val="100"/>
        </w:trPr>
        <w:tc>
          <w:tcPr>
            <w:tcW w:type="dxa" w:w="20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nekretnina zk.ul. 2023 k.o. Vrbanj</w:t>
            </w:r>
          </w:p>
        </w:tc>
        <w:tc>
          <w:tcPr>
            <w:tcW w:type="dxa" w:w="2304"/>
            <w:tcBorders>
              <w:top w:space="0" w:sz="4" w:color="auto" w:val="single"/>
              <w:left w:space="0" w:sz="4" w:color="auto" w:val="single"/>
              <w:bottom w:space="0" w:sz="4" w:color="auto" w:val="single"/>
              <w:right w:space="0" w:sz="4" w:color="auto" w:val="single"/>
            </w:tcBorders>
          </w:tcPr>
          <w:p w:rsidRDefault="00752CEE" w:rsidP="00752CEE" w:rsidR="00752CEE" w:rsidRPr="00752CEE">
            <w:pPr>
              <w:pBdr>
                <w:bottom w:space="1" w:sz="12" w:color="auto" w:val="single"/>
              </w:pBd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Procjena vještaka</w:t>
            </w:r>
          </w:p>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Čl. 158. SZ-a</w:t>
            </w:r>
          </w:p>
        </w:tc>
        <w:tc>
          <w:tcPr>
            <w:tcW w:type="dxa" w:w="213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xml:space="preserve">    23.767,01</w:t>
            </w:r>
          </w:p>
        </w:tc>
        <w:tc>
          <w:tcPr>
            <w:tcW w:type="dxa" w:w="2328"/>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xml:space="preserve">              16.000,00</w:t>
            </w:r>
          </w:p>
        </w:tc>
      </w:tr>
      <w:tr w:rsidTr="00950E72" w:rsidR="00752CEE" w:rsidRPr="00752CEE">
        <w:trPr>
          <w:trHeight w:val="100"/>
        </w:trPr>
        <w:tc>
          <w:tcPr>
            <w:tcW w:type="dxa" w:w="2076"/>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Ostala imovina – potraživanja, zalihe, strojevi i sl.</w:t>
            </w:r>
          </w:p>
        </w:tc>
        <w:tc>
          <w:tcPr>
            <w:tcW w:type="dxa" w:w="2304"/>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Procjena vještaka</w:t>
            </w:r>
          </w:p>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xml:space="preserve">             i</w:t>
            </w:r>
          </w:p>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Procjena u izvješću o gosp. Položaju</w:t>
            </w:r>
          </w:p>
        </w:tc>
        <w:tc>
          <w:tcPr>
            <w:tcW w:type="dxa" w:w="2136"/>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p>
          <w:p w:rsidRDefault="00752CEE" w:rsidP="00752CEE" w:rsidR="00752CEE" w:rsidRPr="00752CEE">
            <w:pPr>
              <w:spacing w:after="0"/>
              <w:jc w:val="both"/>
              <w:rPr>
                <w:rFonts w:cs="Times New Roman" w:eastAsia="Times New Roman" w:hAnsi="Times New Roman" w:ascii="Times New Roman"/>
                <w:sz w:val="24"/>
                <w:szCs w:val="20"/>
              </w:rPr>
            </w:pPr>
          </w:p>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xml:space="preserve">  3.897.396,00</w:t>
            </w:r>
          </w:p>
        </w:tc>
        <w:tc>
          <w:tcPr>
            <w:tcW w:type="dxa" w:w="2328"/>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p>
          <w:p w:rsidRDefault="00752CEE" w:rsidP="00752CEE" w:rsidR="00752CEE" w:rsidRPr="00752CEE">
            <w:pPr>
              <w:spacing w:after="0"/>
              <w:jc w:val="both"/>
              <w:rPr>
                <w:rFonts w:cs="Times New Roman" w:eastAsia="Times New Roman" w:hAnsi="Times New Roman" w:ascii="Times New Roman"/>
                <w:sz w:val="16"/>
                <w:szCs w:val="16"/>
              </w:rPr>
            </w:pPr>
          </w:p>
          <w:p w:rsidRDefault="00752CEE" w:rsidP="00752CEE" w:rsidR="00752CEE" w:rsidRPr="00752CEE">
            <w:pPr>
              <w:spacing w:after="0"/>
              <w:jc w:val="both"/>
              <w:rPr>
                <w:rFonts w:cs="Times New Roman" w:eastAsia="Times New Roman" w:hAnsi="Times New Roman" w:ascii="Times New Roman"/>
                <w:sz w:val="16"/>
                <w:szCs w:val="16"/>
              </w:rPr>
            </w:pPr>
          </w:p>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24"/>
                <w:szCs w:val="20"/>
              </w:rPr>
              <w:t xml:space="preserve">          3.968.839,51                 </w:t>
            </w:r>
          </w:p>
        </w:tc>
      </w:tr>
    </w:tbl>
    <w:p w:rsidRDefault="00752CEE" w:rsidP="00752CEE" w:rsidR="00752CEE" w:rsidRPr="00752CEE">
      <w:pPr>
        <w:spacing w:lineRule="auto" w:line="240" w:after="0"/>
        <w:jc w:val="both"/>
        <w:rPr>
          <w:rFonts w:cs="Times New Roman" w:eastAsia="Times New Roman" w:hAnsi="Times New Roman" w:ascii="Times New Roman"/>
          <w:sz w:val="24"/>
          <w:szCs w:val="20"/>
          <w:u w:val="single"/>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U odnosu na unovčenu imovinu u dijelu potraživanja, najznačajniji prilivi u korist stečajne mase ostvareni su u parnicama koje je vodio stečajni dužnik i to od slijedećih tuženika:</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tbl>
      <w:tblPr>
        <w:tblW w:type="auto" w:w="0"/>
        <w:tblBorders>
          <w:top w:space="0" w:sz="4" w:color="auto" w:val="single"/>
        </w:tblBorders>
        <w:tblLook w:val="04A0" w:noVBand="1" w:noHBand="0" w:lastColumn="0" w:firstColumn="1" w:lastRow="0" w:firstRow="1"/>
      </w:tblPr>
      <w:tblGrid>
        <w:gridCol w:w="2076"/>
        <w:gridCol w:w="2304"/>
        <w:gridCol w:w="2136"/>
        <w:gridCol w:w="2328"/>
      </w:tblGrid>
      <w:tr w:rsidTr="00950E72" w:rsidR="00752CEE" w:rsidRPr="00752CEE">
        <w:trPr>
          <w:trHeight w:val="100"/>
        </w:trPr>
        <w:tc>
          <w:tcPr>
            <w:tcW w:type="dxa" w:w="2076"/>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b/>
                <w:sz w:val="24"/>
                <w:szCs w:val="20"/>
              </w:rPr>
            </w:pPr>
            <w:r w:rsidRPr="00752CEE">
              <w:rPr>
                <w:rFonts w:cs="Times New Roman" w:eastAsia="Times New Roman" w:hAnsi="Times New Roman" w:ascii="Times New Roman"/>
                <w:b/>
                <w:sz w:val="24"/>
                <w:szCs w:val="20"/>
              </w:rPr>
              <w:t>Tuženik</w:t>
            </w:r>
          </w:p>
        </w:tc>
        <w:tc>
          <w:tcPr>
            <w:tcW w:type="dxa" w:w="230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b/>
                <w:sz w:val="20"/>
                <w:szCs w:val="20"/>
              </w:rPr>
            </w:pPr>
            <w:r w:rsidRPr="00752CEE">
              <w:rPr>
                <w:rFonts w:cs="Times New Roman" w:eastAsia="Times New Roman" w:hAnsi="Times New Roman" w:ascii="Times New Roman"/>
                <w:b/>
                <w:sz w:val="20"/>
                <w:szCs w:val="20"/>
              </w:rPr>
              <w:t xml:space="preserve">Nadležni sud </w:t>
            </w:r>
          </w:p>
        </w:tc>
        <w:tc>
          <w:tcPr>
            <w:tcW w:type="dxa" w:w="2136"/>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b/>
                <w:sz w:val="24"/>
                <w:szCs w:val="20"/>
              </w:rPr>
            </w:pPr>
            <w:r w:rsidRPr="00752CEE">
              <w:rPr>
                <w:rFonts w:cs="Times New Roman" w:eastAsia="Times New Roman" w:hAnsi="Times New Roman" w:ascii="Times New Roman"/>
                <w:b/>
                <w:sz w:val="24"/>
                <w:szCs w:val="20"/>
              </w:rPr>
              <w:t>Poslovni broj predmeta</w:t>
            </w:r>
          </w:p>
        </w:tc>
        <w:tc>
          <w:tcPr>
            <w:tcW w:type="dxa" w:w="2328"/>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b/>
                <w:sz w:val="24"/>
                <w:szCs w:val="20"/>
              </w:rPr>
            </w:pPr>
            <w:r w:rsidRPr="00752CEE">
              <w:rPr>
                <w:rFonts w:cs="Times New Roman" w:eastAsia="Times New Roman" w:hAnsi="Times New Roman" w:ascii="Times New Roman"/>
                <w:b/>
                <w:sz w:val="24"/>
                <w:szCs w:val="20"/>
              </w:rPr>
              <w:t>Naplaćeno po presudi</w:t>
            </w:r>
          </w:p>
        </w:tc>
      </w:tr>
      <w:tr w:rsidTr="00950E72" w:rsidR="00752CEE" w:rsidRPr="00752CEE">
        <w:trPr>
          <w:trHeight w:val="100"/>
        </w:trPr>
        <w:tc>
          <w:tcPr>
            <w:tcW w:type="dxa" w:w="20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b/>
                <w:sz w:val="20"/>
                <w:szCs w:val="20"/>
              </w:rPr>
            </w:pPr>
            <w:r w:rsidRPr="00752CEE">
              <w:rPr>
                <w:rFonts w:cs="Times New Roman" w:eastAsia="Times New Roman" w:hAnsi="Times New Roman" w:ascii="Times New Roman"/>
                <w:sz w:val="20"/>
                <w:szCs w:val="20"/>
              </w:rPr>
              <w:t>Michieli-Tomić d.o.o.</w:t>
            </w:r>
          </w:p>
        </w:tc>
        <w:tc>
          <w:tcPr>
            <w:tcW w:type="dxa" w:w="230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Trg. Sud u Splitu</w:t>
            </w:r>
          </w:p>
        </w:tc>
        <w:tc>
          <w:tcPr>
            <w:tcW w:type="dxa" w:w="213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P-2835/02 i P-727/13</w:t>
            </w:r>
          </w:p>
        </w:tc>
        <w:tc>
          <w:tcPr>
            <w:tcW w:type="dxa" w:w="2328"/>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b/>
                <w:sz w:val="20"/>
                <w:szCs w:val="20"/>
              </w:rPr>
            </w:pPr>
            <w:r w:rsidRPr="00752CEE">
              <w:rPr>
                <w:rFonts w:cs="Times New Roman" w:eastAsia="Times New Roman" w:hAnsi="Times New Roman" w:ascii="Times New Roman"/>
                <w:sz w:val="20"/>
                <w:szCs w:val="20"/>
              </w:rPr>
              <w:t xml:space="preserve">   562.579,64</w:t>
            </w:r>
          </w:p>
        </w:tc>
      </w:tr>
      <w:tr w:rsidTr="00950E72" w:rsidR="00752CEE" w:rsidRPr="00752CEE">
        <w:trPr>
          <w:trHeight w:val="100"/>
        </w:trPr>
        <w:tc>
          <w:tcPr>
            <w:tcW w:type="dxa" w:w="20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lastRenderedPageBreak/>
              <w:t>Općina Bedekovćina</w:t>
            </w:r>
          </w:p>
        </w:tc>
        <w:tc>
          <w:tcPr>
            <w:tcW w:type="dxa" w:w="230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Opć. Sud u Zaboku</w:t>
            </w:r>
          </w:p>
        </w:tc>
        <w:tc>
          <w:tcPr>
            <w:tcW w:type="dxa" w:w="213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P-44/05</w:t>
            </w:r>
          </w:p>
        </w:tc>
        <w:tc>
          <w:tcPr>
            <w:tcW w:type="dxa" w:w="2328"/>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871.317,84</w:t>
            </w:r>
          </w:p>
        </w:tc>
      </w:tr>
      <w:tr w:rsidTr="00950E72" w:rsidR="00752CEE" w:rsidRPr="00752CEE">
        <w:trPr>
          <w:trHeight w:val="100"/>
        </w:trPr>
        <w:tc>
          <w:tcPr>
            <w:tcW w:type="dxa" w:w="20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Veljko Mudrić</w:t>
            </w:r>
          </w:p>
        </w:tc>
        <w:tc>
          <w:tcPr>
            <w:tcW w:type="dxa" w:w="230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Trgovački sud u Zag</w:t>
            </w:r>
          </w:p>
        </w:tc>
        <w:tc>
          <w:tcPr>
            <w:tcW w:type="dxa" w:w="213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P-3645/13</w:t>
            </w:r>
          </w:p>
        </w:tc>
        <w:tc>
          <w:tcPr>
            <w:tcW w:type="dxa" w:w="2328"/>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75.000,00</w:t>
            </w:r>
          </w:p>
        </w:tc>
      </w:tr>
      <w:tr w:rsidTr="00950E72" w:rsidR="00752CEE" w:rsidRPr="00752CEE">
        <w:trPr>
          <w:trHeight w:val="100"/>
        </w:trPr>
        <w:tc>
          <w:tcPr>
            <w:tcW w:type="dxa" w:w="20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Stan gradnja lanište d.o.o.</w:t>
            </w:r>
          </w:p>
        </w:tc>
        <w:tc>
          <w:tcPr>
            <w:tcW w:type="dxa" w:w="230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Trgovački sud u Zag</w:t>
            </w:r>
          </w:p>
        </w:tc>
        <w:tc>
          <w:tcPr>
            <w:tcW w:type="dxa" w:w="213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P-1004/14</w:t>
            </w:r>
          </w:p>
        </w:tc>
        <w:tc>
          <w:tcPr>
            <w:tcW w:type="dxa" w:w="2328"/>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500.000,00</w:t>
            </w:r>
          </w:p>
        </w:tc>
      </w:tr>
    </w:tbl>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U postupku naplate potraživanja od tuženika Michieli Tomić d.o.o. po presudi P-2835/02, tuženik je djelomično dobrovoljno ispunio obavezu, no također je Trgovački sud u Splitu rješavajući pitanje mjere osiguranja koja je postojala po predmetnoj presudi ( R1-169/06) naložio FINI provedbu naplate uz uputu da se naplati zatezna kamata do 10.3.2010.g. unatoč činjenici da je presudom određena obaveza plaćanja zateznih kamata do dana isplate. Nastavno na navedeni dopis suda po kojem je postupila FINA naplaćena su daljnja sredstva po predmetnoj presudi, no kako je sud odredio tijek kamate suprotno presudi, prema izračunu tuženika proizlazi da je izvršio preplatu u visini od 120.000,00 kn, te potražuje povrat sredstava. No, prema obračunu stečajnog dužnika, a sukladno presudi i pravu na zatezne kamate do ispunjenja, proizlazi da nije izvršena preplata, te nije niti izvršen povrat sredstava. Posebnim rješenjem  pod poslovnim brojem R1-169/06 Trgovački sud u Splitu odbio je zahtjev MGT-a za isplatu zateznih kamata sukladno presudi i za period nakon 10.3.2010.g., te je na isto uložena žalba. Slijedom navedenog do  okončanja žalbenog postupka neophodno je izvršiti rezervaciju iznosa koji je sporan između stranaka u visini od 120.000,00 kn sa predvidivim kamatama ukoliko protivna strana uspije u sporu. Slijedom navedenog u navedene svrhe izvršena je rezervacija iznosa od 150.000,00 kn.</w:t>
      </w:r>
    </w:p>
    <w:tbl>
      <w:tblPr>
        <w:tblW w:type="dxa" w:w="9432"/>
        <w:tblInd w:type="dxa" w:w="155"/>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432"/>
      </w:tblGrid>
      <w:tr w:rsidTr="00950E72" w:rsidR="00752CEE" w:rsidRPr="00752CEE">
        <w:trPr>
          <w:trHeight w:val="504"/>
        </w:trPr>
        <w:tc>
          <w:tcPr>
            <w:tcW w:type="dxa" w:w="9432"/>
            <w:tcBorders>
              <w:top w:val="nil"/>
              <w:left w:val="nil"/>
              <w:bottom w:val="nil"/>
              <w:right w:val="nil"/>
            </w:tcBorders>
          </w:tcPr>
          <w:p w:rsidRDefault="00752CEE" w:rsidP="00752CEE" w:rsidR="00752CEE" w:rsidRPr="00752CEE">
            <w:pPr>
              <w:rPr>
                <w:rFonts w:cs="Times New Roman" w:eastAsia="Times New Roman" w:hAnsi="Times New Roman" w:ascii="Times New Roman"/>
                <w:sz w:val="24"/>
                <w:szCs w:val="20"/>
              </w:rPr>
            </w:pPr>
          </w:p>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Radi  naplate potraživanja stečajnog dužnika u tijeku su slijedeći sudski postupci:</w:t>
            </w:r>
          </w:p>
        </w:tc>
      </w:tr>
    </w:tbl>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tbl>
      <w:tblPr>
        <w:tblW w:type="auto" w:w="0"/>
        <w:tblInd w:type="dxa" w:w="10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457"/>
        <w:gridCol w:w="1384"/>
        <w:gridCol w:w="1476"/>
        <w:gridCol w:w="1253"/>
        <w:gridCol w:w="2611"/>
      </w:tblGrid>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Tuženik</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Osnov</w:t>
            </w:r>
          </w:p>
        </w:tc>
        <w:tc>
          <w:tcPr>
            <w:tcW w:type="dxa" w:w="1476"/>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v.p.s.   kn</w:t>
            </w:r>
          </w:p>
        </w:tc>
        <w:tc>
          <w:tcPr>
            <w:tcW w:type="dxa" w:w="1253"/>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Predmet na TSZ</w:t>
            </w:r>
          </w:p>
        </w:tc>
        <w:tc>
          <w:tcPr>
            <w:tcW w:type="dxa" w:w="261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xml:space="preserve">Status </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Tomisla Ptičar</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plaćanja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20.000,00</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P-3651/13</w:t>
            </w:r>
          </w:p>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Ovr-229/16</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Tužitelj pravomoćno uspio u sporu. Postupci radi naplate u tijeku</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Bojan Orović</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plaćanja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23.000,00</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P-3643/13</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Tužitelj pravomoćno uspio u sporu. Blokiran račun tuženika.</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Jasmina Ivana Vorih</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plaćanja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10.000,00</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P-3646/13</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Izvedena vještaćenja, spor u tijeku</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Mladen Zelić</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plaćanja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152.049,86</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P-3642/13</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Tužitelj uspio u sporu, po žalbi na VTS-u</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Darko Gvozden</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plaćanja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170.000,00</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P-3647/13</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Tužitelj uspio u sporu, po žalbi na VTS-u</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Milivoj Đurđan</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plaćanja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91.200,00</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P-3648/13</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Tužitelj uspio pravomoćno u sporu, pokušaj naplate u tijeku.</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Marijo Gvozden</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plaćanja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1.044.318,58</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P-1027/14</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Tužitelj djelomično pravomoćno uspio u sporu, a dijelom predmet vraćen prvostupanjskom sudu</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VAP d.o.o. </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plaćanja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xml:space="preserve">      6.210,34</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P-1007/14</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Tužitelj uspio u sporu, po žalbi na VTS-u</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Zulfo Robović</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plaćanja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xml:space="preserve">    28.000,00</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P-3652/13</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Tužitelj uspio u sporu, po žalbi na VTS-u</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Kornelije Brkić</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plaćanja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xml:space="preserve">   284.422,92</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P-3649/13</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Tužitelj uspio u sporu, po žalbi na VTS-u</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Grifon grad d.o.o. </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plaćanja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xml:space="preserve">    25.039,10</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P-1008/14</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Postupak u tijeku</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Vesna Habljak</w:t>
            </w:r>
          </w:p>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Tomislav Šimunić</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plaćanja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xml:space="preserve">     4.313,61</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P-1010/14</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Tužitelj uspio u sporu, blokirani računi tuženika</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Zlatko Bartolović</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plaćanja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20.000,00</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P-1003/14</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Odbijen tužbeni zahtjev, po žalbi na VTS-u</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Nediljko Žaja</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plaćanja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200.000,00</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P-3650/13</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Tužitelj uspio u sporu, po žalbi na VTS-u</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Vaterpolo klub Medveščak</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plaćanja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100.000,00</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P-3644/13</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xml:space="preserve">Tužitelj uspio u sporu, po žalbi na </w:t>
            </w:r>
            <w:r w:rsidRPr="00752CEE">
              <w:rPr>
                <w:rFonts w:cs="Times New Roman" w:eastAsia="Times New Roman" w:hAnsi="Times New Roman" w:ascii="Times New Roman"/>
                <w:sz w:val="16"/>
                <w:szCs w:val="16"/>
              </w:rPr>
              <w:lastRenderedPageBreak/>
              <w:t>VTS-u</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lastRenderedPageBreak/>
              <w:t>Mario i Ines promet d.o.o.</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plaćanja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xml:space="preserve">  15.137,01</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OGSZ</w:t>
            </w:r>
          </w:p>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Povrv-8461/14</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Tužitelj uspio u sporu po žalbi na Županijskom sudu</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Ana Perić </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plaćanja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200.400,00</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P-1127/16</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Postupak u tijeku</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Tomas autoprijevoz d.o.o.</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plaćanja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xml:space="preserve">     3.728,43</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Ovrv-31/14</w:t>
            </w:r>
          </w:p>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Jav. Bilj.</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Na provedbi u FINI</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Terakon d.o.o </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plaćanja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xml:space="preserve">    8.073,31</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Ovrv-29/14</w:t>
            </w:r>
          </w:p>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Jav. Bilj.</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Na provedbi u FINI</w:t>
            </w:r>
          </w:p>
        </w:tc>
      </w:tr>
    </w:tbl>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Vezano uz sudske postupke, a nastavno na osporene tražbine, stečajni dužnik je vodio ili su još u tijeku slijedeći postupci radi utvrđenja tražbine:</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tbl>
      <w:tblPr>
        <w:tblW w:type="auto" w:w="0"/>
        <w:tblInd w:type="dxa" w:w="10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457"/>
        <w:gridCol w:w="1384"/>
        <w:gridCol w:w="1476"/>
        <w:gridCol w:w="1253"/>
        <w:gridCol w:w="2611"/>
      </w:tblGrid>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Tužitelj /Tuženik</w:t>
            </w:r>
          </w:p>
        </w:tc>
        <w:tc>
          <w:tcPr>
            <w:tcW w:type="dxa" w:w="1384"/>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osnov</w:t>
            </w:r>
          </w:p>
        </w:tc>
        <w:tc>
          <w:tcPr>
            <w:tcW w:type="dxa" w:w="1476"/>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v.p.s.   kn</w:t>
            </w:r>
          </w:p>
        </w:tc>
        <w:tc>
          <w:tcPr>
            <w:tcW w:type="dxa" w:w="1253"/>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Predmet na TSZ</w:t>
            </w:r>
          </w:p>
        </w:tc>
        <w:tc>
          <w:tcPr>
            <w:tcW w:type="dxa" w:w="261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xml:space="preserve">Status </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Osijek Koteks d.d./ MGT d.o.o. u stečaju</w:t>
            </w:r>
          </w:p>
        </w:tc>
        <w:tc>
          <w:tcPr>
            <w:tcW w:type="dxa" w:w="1384"/>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xml:space="preserve">Radi utvrđenja </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3.219.667,15</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P-3043/2013</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Okončan postupak,  tužitelj povukao tužbu</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MGT / Terra jaska d.o.o.</w:t>
            </w:r>
          </w:p>
        </w:tc>
        <w:tc>
          <w:tcPr>
            <w:tcW w:type="dxa" w:w="1384"/>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utvrđenja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xml:space="preserve">  13.263,80</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P-3025/13</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Postupak u tijeku, provedeno vještaćenje</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MGT / OTP Banka Hrvatska d.d.</w:t>
            </w:r>
          </w:p>
        </w:tc>
        <w:tc>
          <w:tcPr>
            <w:tcW w:type="dxa" w:w="1384"/>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utvrđenja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453.061,19</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P-604/14</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Okončan postupka, stečajni dužnik uspio u parnici</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MGT / Elektrovoda d.o.o.</w:t>
            </w:r>
          </w:p>
        </w:tc>
        <w:tc>
          <w:tcPr>
            <w:tcW w:type="dxa" w:w="1384"/>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utvrđenja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885,43</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Postupak u tijeku, nema radnji suda nakon utuženja</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MGT / Hypo leasing steiermark d.o.o.</w:t>
            </w:r>
          </w:p>
        </w:tc>
        <w:tc>
          <w:tcPr>
            <w:tcW w:type="dxa" w:w="1384"/>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utvrđenja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2.195.970,56</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P-3116/13</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Okončan postupka, djelomično utvrđena tražbina 1.375.755,35</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Odlagalište sirovina d.o.o.</w:t>
            </w:r>
          </w:p>
        </w:tc>
        <w:tc>
          <w:tcPr>
            <w:tcW w:type="dxa" w:w="1384"/>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utvrđenja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xml:space="preserve">   34.431,88</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P-398/15</w:t>
            </w:r>
          </w:p>
        </w:tc>
        <w:tc>
          <w:tcPr>
            <w:tcW w:type="dxa" w:w="261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Postupak u tijeku</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Cestar d.o.o./MGT</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utvrđenja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617.038,08</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P-1240/14</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Parnica u tijeku</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MGT/Stan gradnja Lanište d.o.o.</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utvrđenja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xml:space="preserve">  224.684,93</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P-3120/13</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Skupštinskom odlukom riješeno osporavanje kroz nagodbu u P-1004/14</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Croatia osiguranje d.d./ MGT</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utvrđenja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1.117.946,25</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P-3002/13</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Spor u tijeku</w:t>
            </w:r>
          </w:p>
        </w:tc>
      </w:tr>
    </w:tbl>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Ostali nedovršeni sudski postupci radi naplate potraživanjau kojima je stečajni dužnik tuženik:</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tbl>
      <w:tblPr>
        <w:tblW w:type="auto" w:w="0"/>
        <w:tblInd w:type="dxa" w:w="14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022"/>
        <w:gridCol w:w="1074"/>
        <w:gridCol w:w="1542"/>
        <w:gridCol w:w="1206"/>
        <w:gridCol w:w="3228"/>
      </w:tblGrid>
      <w:tr w:rsidTr="00950E72" w:rsidR="00752CEE" w:rsidRPr="00752CEE">
        <w:trPr>
          <w:trHeight w:val="210"/>
        </w:trPr>
        <w:tc>
          <w:tcPr>
            <w:tcW w:type="dxa" w:w="2022"/>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ind w:left="-35"/>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Tužitelj</w:t>
            </w:r>
          </w:p>
        </w:tc>
        <w:tc>
          <w:tcPr>
            <w:tcW w:type="dxa" w:w="1074"/>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ind w:left="-35"/>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Broj predmeta</w:t>
            </w:r>
          </w:p>
        </w:tc>
        <w:tc>
          <w:tcPr>
            <w:tcW w:type="dxa" w:w="1542"/>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ind w:left="-35"/>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Nadležni sud</w:t>
            </w:r>
          </w:p>
        </w:tc>
        <w:tc>
          <w:tcPr>
            <w:tcW w:type="dxa" w:w="1206"/>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ind w:left="-35"/>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Vrijednost spora</w:t>
            </w:r>
          </w:p>
        </w:tc>
        <w:tc>
          <w:tcPr>
            <w:tcW w:type="dxa" w:w="3228"/>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ind w:left="-35"/>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Status postupka</w:t>
            </w:r>
          </w:p>
        </w:tc>
      </w:tr>
      <w:tr w:rsidTr="00950E72" w:rsidR="00752CEE" w:rsidRPr="00752CEE">
        <w:trPr>
          <w:trHeight w:val="210"/>
        </w:trPr>
        <w:tc>
          <w:tcPr>
            <w:tcW w:type="dxa" w:w="2022"/>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ind w:left="-35"/>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Odvjetničko društvo Maržić i partneri j.t.d.</w:t>
            </w:r>
          </w:p>
        </w:tc>
        <w:tc>
          <w:tcPr>
            <w:tcW w:type="dxa" w:w="107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ind w:left="-35"/>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P-1259/14</w:t>
            </w:r>
          </w:p>
        </w:tc>
        <w:tc>
          <w:tcPr>
            <w:tcW w:type="dxa" w:w="1542"/>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ind w:left="-35"/>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Trgovački sud u Zagrebu</w:t>
            </w:r>
          </w:p>
        </w:tc>
        <w:tc>
          <w:tcPr>
            <w:tcW w:type="dxa" w:w="120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ind w:left="-35"/>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37.500,00</w:t>
            </w:r>
          </w:p>
        </w:tc>
        <w:tc>
          <w:tcPr>
            <w:tcW w:type="dxa" w:w="3228"/>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ind w:left="-35"/>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Prvostupanjska odluka u korist tužitelja, po žalbi na VTS-u</w:t>
            </w:r>
          </w:p>
        </w:tc>
      </w:tr>
    </w:tbl>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Sudski spor sa odvjetničkim društvom  Maržić i partneri vezan je uz ugovor o zastupanju koji je imao sa prednikom stečajnog dužnika po kojem odvjetniku pripada iznos od 30% naplaćenog iznosa od tuženika Općina Bedekovćina. Zahtjev za isplatom 30% naplaćenog iznosa je odbijen, te je odvjetničko društvo ustalo tužbom u odnosu na u tom trenutku naplaćeni iznos od Općine Bedekovćina. Kako prijeti opasnost da tužitelj uspije u parnici, čime bi zahtjev postao osnovanim i u preostalom dijelu naplaćenog iznosa, do okončanja sudskog spora izvršena je rezervacija u iznosu od 261.395,35 kn ( 30% naplaćenog iznosa od tuženika)</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Ostali sporovi koje vodi stečajni dužnik kao ovršenik ili tuženik vezani uz imovinu:</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tbl>
      <w:tblPr>
        <w:tblW w:type="auto" w:w="0"/>
        <w:tblInd w:type="dxa" w:w="10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457"/>
        <w:gridCol w:w="1384"/>
        <w:gridCol w:w="1476"/>
        <w:gridCol w:w="1253"/>
        <w:gridCol w:w="2611"/>
      </w:tblGrid>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Tužitelj/tuženik</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osnov</w:t>
            </w:r>
          </w:p>
        </w:tc>
        <w:tc>
          <w:tcPr>
            <w:tcW w:type="dxa" w:w="1476"/>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xml:space="preserve">v.p.s.   </w:t>
            </w:r>
          </w:p>
        </w:tc>
        <w:tc>
          <w:tcPr>
            <w:tcW w:type="dxa" w:w="1253"/>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Sud/br. Spisa</w:t>
            </w:r>
          </w:p>
        </w:tc>
        <w:tc>
          <w:tcPr>
            <w:tcW w:type="dxa" w:w="2611"/>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xml:space="preserve">Status </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Severitas d.o.o. /MGT </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ovrha na nekretnini zk.ul. 4986, k.o. Diklo, OS Zadar</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1.070.000,00</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OS Zadar</w:t>
            </w:r>
          </w:p>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Ovr-808/15</w:t>
            </w:r>
          </w:p>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(prije Ovr-33/13)</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Rješenjem o dosudi nekretnine dosuđene ovrhovoditelju kao razlučnom vjrrovniku, izjavljena žalba na rješenje o dosudi</w:t>
            </w:r>
          </w:p>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xml:space="preserve">- nekretnine prije stečaja prodane vanknjižnim vlasnicima Davor Pribanić vl. obrta i GEOBIM d.o.o. </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Davor Pribanić, vl. obrta Mlinarcommerc</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utvrđenje vl. i nedopuštenost ovr-808/15</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xml:space="preserve"> 10.000,00</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OS Zadar</w:t>
            </w:r>
          </w:p>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P-1125/16</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Parnica u tijeku</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Ljubenko Peroš/ MGT i HAAB (sada ADICCO Bank)</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radi utvrđenja vlasništva i izdavanja brisovnice</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TSZ</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Parnica u tijeku</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Adria Zagreb factoring d.o.o</w:t>
            </w:r>
          </w:p>
        </w:tc>
        <w:tc>
          <w:tcPr>
            <w:tcW w:type="dxa" w:w="1384"/>
            <w:tcBorders>
              <w:top w:space="0" w:sz="4" w:color="auto" w:val="single"/>
              <w:left w:space="0" w:sz="4" w:color="auto" w:val="single"/>
              <w:bottom w:space="0" w:sz="4" w:color="auto" w:val="single"/>
              <w:right w:space="0" w:sz="4" w:color="auto" w:val="single"/>
            </w:tcBorders>
            <w:shd w:fill="auto" w:color="auto" w:val="clear"/>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xml:space="preserve">- ovrha na nekretnini zk.ul. </w:t>
            </w:r>
          </w:p>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1887</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300.000,00</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OGSZ</w:t>
            </w:r>
          </w:p>
        </w:tc>
        <w:tc>
          <w:tcPr>
            <w:tcW w:type="dxa" w:w="2611"/>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-Ovrha po razlučnom vjerovniku na imovini stečajnog dužnika</w:t>
            </w:r>
          </w:p>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Odlukom Vrhovnog suda određena nadležnost OGSZ</w:t>
            </w:r>
          </w:p>
        </w:tc>
      </w:tr>
    </w:tbl>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Predmetni sporovi proizlaze iz okolnosti da je stečajni dužnik upisani vlasnik nekretnina koje su prodane nekoliko godina prije otvaranja stečaja i predani su u posjed kupcima. Prema stanju dokumentacije pravni prednik stečajnog dužnika je sa kupcima sklopio kupoprodajne ugovore, izdao tabularne isprave i predao posjed nekretnina, no nije ishodio brisanje upisanih tereta u korist založnih vjerovnika.  U trenutku otvaranja stečaja u tijeku je bila ovrha na predmetnim nekretninama pokrenuta od Hypo Alpe Adria Bank d.d. ( parvni prednik Severitasa d.o.o. kojem je prodana tražbina) koja se pod poslovnim brojem Ovr-33/13 vodila na Općinskom sudu u Benkovcu. Postupak je nastavljen na Općinskom sudu u Zadru pod poslovnim brojem Ovr-808/15 u koji je postupak stupio stjecatelj tražbine, Severitas d.o.o.. Kao upisani zemljišnoknjižni vlasnik stečajni dužnik se nalazi na strani ovršenika, a ovršni sud je dana 17.3.2017.g. donio rješenje o  dosudi u korist ovrhovoditelja kao založnog dužnika uz oslobađanje od polaganja kupovnine, te je stečajni dužnik na predmetno rješenje o dosudi izjavio žalbu. U predmetnom ovršnom postupku, Davor Pribanić vl. obrta Mlinar commerce temeljem prigovora treće osobe, upućen je u parnicu radi nedopuštenosti ovrhe koja se vodi pod poslovnim brojem P-1125/16 na Općinskom sudu u Zadru radi utvrđenja vlasništva i nedopuštenosti ovrhe. U odnosu na parnicu po tužitelju Ljubenko Peroš, tužitelj se temeljem kupoprodajnog ugovora upisao kao vlasnik prije stečaja MGT-a, no pravni prednik MGT-a kao prodavatelj nije ishodio brisovno očitovanje, te je založni vjerovnik pokrenuo postupak radi naplate osiguranih tražbina.  Upisani vlasnik na teret čije se nekretnine treba naplatiti tražbina Banke od stečajnog dužnika, ustao je tužbom radi priznanja ispunjenja ugovornih obaveza i izdavanja brisovnog očitovanja.</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b/>
          <w:sz w:val="24"/>
          <w:szCs w:val="20"/>
          <w:lang w:eastAsia="hr-HR"/>
        </w:rPr>
      </w:pPr>
      <w:r w:rsidRPr="00752CEE">
        <w:rPr>
          <w:rFonts w:cs="Times New Roman" w:eastAsia="Times New Roman" w:hAnsi="Times New Roman" w:ascii="Times New Roman"/>
          <w:b/>
          <w:sz w:val="24"/>
          <w:szCs w:val="20"/>
          <w:lang w:eastAsia="hr-HR"/>
        </w:rPr>
        <w:t>B/ OBAVEZE</w:t>
      </w:r>
    </w:p>
    <w:p w:rsidRDefault="00752CEE" w:rsidP="00752CEE" w:rsidR="00752CEE" w:rsidRPr="00752CEE">
      <w:pPr>
        <w:spacing w:lineRule="auto" w:line="240" w:after="0"/>
        <w:jc w:val="both"/>
        <w:rPr>
          <w:rFonts w:cs="Times New Roman" w:eastAsia="Times New Roman" w:hAnsi="Times New Roman" w:ascii="Times New Roman"/>
          <w:b/>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b/>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Struktura prijavljenih, priznatih i osporenih tražbina, te naknadno utvrđenih po isplatnim redovima:</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tbl>
      <w:tblPr>
        <w:tblW w:type="dxa" w:w="9540"/>
        <w:tblInd w:type="dxa" w:w="14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080"/>
        <w:gridCol w:w="1644"/>
        <w:gridCol w:w="1596"/>
        <w:gridCol w:w="1500"/>
        <w:gridCol w:w="1728"/>
        <w:gridCol w:w="1992"/>
      </w:tblGrid>
      <w:tr w:rsidTr="00950E72" w:rsidR="00752CEE" w:rsidRPr="00752CEE">
        <w:trPr>
          <w:trHeight w:val="444"/>
        </w:trPr>
        <w:tc>
          <w:tcPr>
            <w:tcW w:type="dxa" w:w="1080"/>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lastRenderedPageBreak/>
              <w:t>Isplatni</w:t>
            </w:r>
          </w:p>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red</w:t>
            </w:r>
          </w:p>
        </w:tc>
        <w:tc>
          <w:tcPr>
            <w:tcW w:type="dxa" w:w="1644"/>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Prijavljeno</w:t>
            </w:r>
          </w:p>
        </w:tc>
        <w:tc>
          <w:tcPr>
            <w:tcW w:type="dxa" w:w="1596"/>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Priznato</w:t>
            </w:r>
          </w:p>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Na ispitnim</w:t>
            </w:r>
          </w:p>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ročištu</w:t>
            </w:r>
          </w:p>
        </w:tc>
        <w:tc>
          <w:tcPr>
            <w:tcW w:type="dxa" w:w="1500"/>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Osporeno</w:t>
            </w:r>
          </w:p>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Na ispitnim ročištima</w:t>
            </w:r>
          </w:p>
        </w:tc>
        <w:tc>
          <w:tcPr>
            <w:tcW w:type="dxa" w:w="1728"/>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Utvrđeno u parnicama</w:t>
            </w:r>
          </w:p>
        </w:tc>
        <w:tc>
          <w:tcPr>
            <w:tcW w:type="dxa" w:w="1992"/>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Stanje nakon </w:t>
            </w:r>
          </w:p>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okončanja parnica</w:t>
            </w:r>
          </w:p>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na utvrđenje</w:t>
            </w:r>
          </w:p>
        </w:tc>
      </w:tr>
      <w:tr w:rsidTr="00950E72" w:rsidR="00752CEE" w:rsidRPr="00752CEE">
        <w:trPr>
          <w:trHeight w:val="444"/>
        </w:trPr>
        <w:tc>
          <w:tcPr>
            <w:tcW w:type="dxa" w:w="1080"/>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Prvi viši</w:t>
            </w:r>
          </w:p>
        </w:tc>
        <w:tc>
          <w:tcPr>
            <w:tcW w:type="dxa" w:w="164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3.727.368,21</w:t>
            </w:r>
          </w:p>
        </w:tc>
        <w:tc>
          <w:tcPr>
            <w:tcW w:type="dxa" w:w="159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3.727.368,21</w:t>
            </w:r>
          </w:p>
        </w:tc>
        <w:tc>
          <w:tcPr>
            <w:tcW w:type="dxa" w:w="1500"/>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0,00</w:t>
            </w:r>
          </w:p>
        </w:tc>
        <w:tc>
          <w:tcPr>
            <w:tcW w:type="dxa" w:w="1728"/>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0,00</w:t>
            </w:r>
          </w:p>
        </w:tc>
        <w:tc>
          <w:tcPr>
            <w:tcW w:type="dxa" w:w="1992"/>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3.727.368,21</w:t>
            </w:r>
          </w:p>
        </w:tc>
      </w:tr>
      <w:tr w:rsidTr="00950E72" w:rsidR="00752CEE" w:rsidRPr="00752CEE">
        <w:trPr>
          <w:trHeight w:val="444"/>
        </w:trPr>
        <w:tc>
          <w:tcPr>
            <w:tcW w:type="dxa" w:w="1080"/>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Drugi viši</w:t>
            </w:r>
          </w:p>
        </w:tc>
        <w:tc>
          <w:tcPr>
            <w:tcW w:type="dxa" w:w="164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118.915.228,77</w:t>
            </w:r>
          </w:p>
        </w:tc>
        <w:tc>
          <w:tcPr>
            <w:tcW w:type="dxa" w:w="159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91.493.780,80</w:t>
            </w:r>
          </w:p>
        </w:tc>
        <w:tc>
          <w:tcPr>
            <w:tcW w:type="dxa" w:w="1500"/>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27.421.447,97</w:t>
            </w:r>
          </w:p>
        </w:tc>
        <w:tc>
          <w:tcPr>
            <w:tcW w:type="dxa" w:w="1728"/>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1.375.755,35</w:t>
            </w:r>
          </w:p>
        </w:tc>
        <w:tc>
          <w:tcPr>
            <w:tcW w:type="dxa" w:w="1992"/>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92.869.536,01</w:t>
            </w:r>
          </w:p>
        </w:tc>
      </w:tr>
    </w:tbl>
    <w:p w:rsidRDefault="00752CEE" w:rsidP="00752CEE" w:rsidR="00752CEE" w:rsidRPr="00752CEE">
      <w:pPr>
        <w:spacing w:lineRule="auto" w:line="240" w:after="0"/>
        <w:jc w:val="both"/>
        <w:rPr>
          <w:rFonts w:cs="Times New Roman" w:eastAsia="Times New Roman" w:hAnsi="Times New Roman" w:ascii="Times New Roman"/>
          <w:b/>
          <w:sz w:val="20"/>
          <w:szCs w:val="20"/>
          <w:lang w:eastAsia="hr-HR"/>
        </w:rPr>
      </w:pPr>
    </w:p>
    <w:p w:rsidRDefault="00752CEE" w:rsidP="00752CEE" w:rsidR="00752CEE" w:rsidRPr="00752CEE">
      <w:pPr>
        <w:spacing w:lineRule="auto" w:line="240" w:after="0"/>
        <w:jc w:val="both"/>
        <w:rPr>
          <w:rFonts w:cs="Times New Roman" w:eastAsia="Times New Roman" w:hAnsi="Times New Roman" w:ascii="Times New Roman"/>
          <w:b/>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 xml:space="preserve">Realizirana razlučna prava i iznos namirenih tražbina vjerovnika osiguranih razlučnim pravom:  </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tbl>
      <w:tblPr>
        <w:tblW w:type="dxa" w:w="9672"/>
        <w:tblInd w:type="dxa" w:w="10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480"/>
        <w:gridCol w:w="2832"/>
        <w:gridCol w:w="3360"/>
      </w:tblGrid>
      <w:tr w:rsidTr="00950E72" w:rsidR="00752CEE" w:rsidRPr="00752CEE">
        <w:trPr>
          <w:trHeight w:val="432"/>
        </w:trPr>
        <w:tc>
          <w:tcPr>
            <w:tcW w:type="dxa" w:w="3480"/>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p>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Vjerovnik </w:t>
            </w:r>
          </w:p>
        </w:tc>
        <w:tc>
          <w:tcPr>
            <w:tcW w:type="dxa" w:w="2832"/>
            <w:tcBorders>
              <w:top w:space="0" w:sz="4" w:color="auto" w:val="single"/>
              <w:left w:space="0" w:sz="4" w:color="auto" w:val="single"/>
              <w:bottom w:space="0" w:sz="4" w:color="auto" w:val="single"/>
              <w:right w:space="0" w:sz="4" w:color="auto" w:val="single"/>
            </w:tcBorders>
          </w:tcPr>
          <w:p w:rsidRDefault="00752CEE" w:rsidP="00752CEE" w:rsidR="00752CEE" w:rsidRPr="00752CEE">
            <w:pPr>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Predmet razlučnog prava</w:t>
            </w:r>
          </w:p>
          <w:p w:rsidRDefault="00752CEE" w:rsidP="00752CEE" w:rsidR="00752CEE" w:rsidRPr="00752CEE">
            <w:pPr>
              <w:spacing w:after="0"/>
              <w:jc w:val="both"/>
              <w:rPr>
                <w:rFonts w:cs="Times New Roman" w:eastAsia="Times New Roman" w:hAnsi="Times New Roman" w:ascii="Times New Roman"/>
                <w:sz w:val="20"/>
                <w:szCs w:val="20"/>
              </w:rPr>
            </w:pPr>
          </w:p>
        </w:tc>
        <w:tc>
          <w:tcPr>
            <w:tcW w:type="dxa" w:w="3360"/>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jc w:val="center"/>
              <w:rPr>
                <w:rFonts w:cs="Times New Roman" w:eastAsia="Times New Roman" w:hAnsi="Times New Roman" w:ascii="Times New Roman"/>
                <w:sz w:val="20"/>
                <w:szCs w:val="20"/>
                <w:lang w:val="en-US"/>
              </w:rPr>
            </w:pPr>
            <w:r w:rsidRPr="00752CEE">
              <w:rPr>
                <w:rFonts w:cs="Times New Roman" w:eastAsia="Times New Roman" w:hAnsi="Times New Roman" w:ascii="Times New Roman"/>
                <w:sz w:val="20"/>
                <w:szCs w:val="20"/>
                <w:lang w:val="en-US"/>
              </w:rPr>
              <w:t xml:space="preserve">Iznos namirenja po rješenju suda </w:t>
            </w:r>
          </w:p>
        </w:tc>
      </w:tr>
      <w:tr w:rsidTr="00950E72" w:rsidR="00752CEE" w:rsidRPr="00752CEE">
        <w:trPr>
          <w:trHeight w:val="432"/>
        </w:trPr>
        <w:tc>
          <w:tcPr>
            <w:tcW w:type="dxa" w:w="3480"/>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H – ABDUCO d.o.o. (pravni slijednik Hypo Alpe Adria Bank d.d.) i SEVERITAS d.o.o. (pravni slijednik H-ABDUCO d.o.o.)</w:t>
            </w:r>
          </w:p>
        </w:tc>
        <w:tc>
          <w:tcPr>
            <w:tcW w:type="dxa" w:w="2832"/>
            <w:tcBorders>
              <w:top w:space="0" w:sz="4" w:color="auto" w:val="single"/>
              <w:left w:space="0" w:sz="4" w:color="auto" w:val="single"/>
              <w:bottom w:space="0" w:sz="4" w:color="auto" w:val="single"/>
              <w:right w:space="0" w:sz="4" w:color="auto" w:val="single"/>
            </w:tcBorders>
          </w:tcPr>
          <w:p w:rsidRDefault="00752CEE" w:rsidP="00752CEE" w:rsidR="00752CEE" w:rsidRPr="00752CEE">
            <w:pPr>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Zk.ul. 4985 i 4896, k.o. Diklo</w:t>
            </w:r>
          </w:p>
          <w:p w:rsidRDefault="00752CEE" w:rsidP="00752CEE" w:rsidR="00752CEE" w:rsidRPr="00752CEE">
            <w:pPr>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Zk.ul. 1713, k.o. Razvor</w:t>
            </w:r>
          </w:p>
        </w:tc>
        <w:tc>
          <w:tcPr>
            <w:tcW w:type="dxa" w:w="3360"/>
            <w:tcBorders>
              <w:top w:space="0" w:sz="4" w:color="auto" w:val="single"/>
              <w:left w:space="0" w:sz="4" w:color="auto" w:val="single"/>
              <w:bottom w:space="0" w:sz="4" w:color="auto" w:val="single"/>
              <w:right w:space="0" w:sz="4" w:color="auto" w:val="single"/>
            </w:tcBorders>
          </w:tcPr>
          <w:p w:rsidRDefault="00752CEE" w:rsidP="00752CEE" w:rsidR="00752CEE" w:rsidRPr="00752CEE">
            <w:pPr>
              <w:jc w:val="center"/>
              <w:rPr>
                <w:rFonts w:cs="Times New Roman" w:eastAsia="Times New Roman" w:hAnsi="Times New Roman" w:ascii="Times New Roman"/>
                <w:sz w:val="20"/>
                <w:szCs w:val="20"/>
                <w:lang w:val="en-US"/>
              </w:rPr>
            </w:pPr>
          </w:p>
          <w:p w:rsidRDefault="00752CEE" w:rsidP="00752CEE" w:rsidR="00752CEE" w:rsidRPr="00752CEE">
            <w:pPr>
              <w:jc w:val="center"/>
              <w:rPr>
                <w:rFonts w:cs="Times New Roman" w:eastAsia="Times New Roman" w:hAnsi="Times New Roman" w:ascii="Times New Roman"/>
                <w:sz w:val="20"/>
                <w:szCs w:val="20"/>
                <w:lang w:val="en-US"/>
              </w:rPr>
            </w:pPr>
            <w:r w:rsidRPr="00752CEE">
              <w:rPr>
                <w:rFonts w:cs="Times New Roman" w:eastAsia="Times New Roman" w:hAnsi="Times New Roman" w:ascii="Times New Roman"/>
                <w:sz w:val="20"/>
                <w:szCs w:val="20"/>
                <w:lang w:val="en-US"/>
              </w:rPr>
              <w:t>2.779.613,11</w:t>
            </w:r>
          </w:p>
        </w:tc>
      </w:tr>
      <w:tr w:rsidTr="00950E72" w:rsidR="00752CEE" w:rsidRPr="00752CEE">
        <w:trPr>
          <w:trHeight w:val="432"/>
        </w:trPr>
        <w:tc>
          <w:tcPr>
            <w:tcW w:type="dxa" w:w="3480"/>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Banka kovanica dd</w:t>
            </w:r>
          </w:p>
        </w:tc>
        <w:tc>
          <w:tcPr>
            <w:tcW w:type="dxa" w:w="2832"/>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zk.ul. 795, podul. 8, k.o. Jasenak</w:t>
            </w:r>
          </w:p>
          <w:p w:rsidRDefault="00752CEE" w:rsidP="00752CEE" w:rsidR="00752CEE" w:rsidRPr="00752CEE">
            <w:pPr>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 zk.ul.   k.o. Kaštel novi </w:t>
            </w:r>
          </w:p>
        </w:tc>
        <w:tc>
          <w:tcPr>
            <w:tcW w:type="dxa" w:w="3360"/>
            <w:tcBorders>
              <w:top w:space="0" w:sz="4" w:color="auto" w:val="single"/>
              <w:left w:space="0" w:sz="4" w:color="auto" w:val="single"/>
              <w:bottom w:space="0" w:sz="4" w:color="auto" w:val="single"/>
              <w:right w:space="0" w:sz="4" w:color="auto" w:val="single"/>
            </w:tcBorders>
          </w:tcPr>
          <w:p w:rsidRDefault="00752CEE" w:rsidP="00752CEE" w:rsidR="00752CEE" w:rsidRPr="00752CEE">
            <w:pPr>
              <w:jc w:val="center"/>
              <w:rPr>
                <w:rFonts w:cs="Times New Roman" w:eastAsia="Times New Roman" w:hAnsi="Times New Roman" w:ascii="Times New Roman"/>
                <w:sz w:val="20"/>
                <w:szCs w:val="20"/>
                <w:lang w:val="en-US"/>
              </w:rPr>
            </w:pPr>
          </w:p>
          <w:p w:rsidRDefault="00752CEE" w:rsidP="00752CEE" w:rsidR="00752CEE" w:rsidRPr="00752CEE">
            <w:pPr>
              <w:jc w:val="center"/>
              <w:rPr>
                <w:rFonts w:cs="Times New Roman" w:eastAsia="Times New Roman" w:hAnsi="Times New Roman" w:ascii="Times New Roman"/>
                <w:sz w:val="20"/>
                <w:szCs w:val="20"/>
                <w:lang w:val="en-US"/>
              </w:rPr>
            </w:pPr>
            <w:r w:rsidRPr="00752CEE">
              <w:rPr>
                <w:rFonts w:cs="Times New Roman" w:eastAsia="Times New Roman" w:hAnsi="Times New Roman" w:ascii="Times New Roman"/>
                <w:sz w:val="20"/>
                <w:szCs w:val="20"/>
                <w:lang w:val="en-US"/>
              </w:rPr>
              <w:t>249.107,28</w:t>
            </w:r>
          </w:p>
        </w:tc>
      </w:tr>
      <w:tr w:rsidTr="00950E72" w:rsidR="00752CEE" w:rsidRPr="00752CEE">
        <w:trPr>
          <w:trHeight w:val="432"/>
        </w:trPr>
        <w:tc>
          <w:tcPr>
            <w:tcW w:type="dxa" w:w="3480"/>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Croatia osiguranje dd</w:t>
            </w:r>
          </w:p>
        </w:tc>
        <w:tc>
          <w:tcPr>
            <w:tcW w:type="dxa" w:w="2832"/>
            <w:tcBorders>
              <w:top w:space="0" w:sz="4" w:color="auto" w:val="single"/>
              <w:left w:space="0" w:sz="4" w:color="auto" w:val="single"/>
              <w:bottom w:space="0" w:sz="4" w:color="auto" w:val="single"/>
              <w:right w:space="0" w:sz="4" w:color="auto" w:val="single"/>
            </w:tcBorders>
          </w:tcPr>
          <w:p w:rsidRDefault="00752CEE" w:rsidP="00752CEE" w:rsidR="00752CEE" w:rsidRPr="00752CEE">
            <w:pPr>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zk.ul. 1630 i 1382, k.o. Razvor</w:t>
            </w:r>
          </w:p>
        </w:tc>
        <w:tc>
          <w:tcPr>
            <w:tcW w:type="dxa" w:w="3360"/>
            <w:tcBorders>
              <w:top w:space="0" w:sz="4" w:color="auto" w:val="single"/>
              <w:left w:space="0" w:sz="4" w:color="auto" w:val="single"/>
              <w:bottom w:space="0" w:sz="4" w:color="auto" w:val="single"/>
              <w:right w:space="0" w:sz="4" w:color="auto" w:val="single"/>
            </w:tcBorders>
          </w:tcPr>
          <w:p w:rsidRDefault="00752CEE" w:rsidP="00752CEE" w:rsidR="00752CEE" w:rsidRPr="00752CEE">
            <w:pPr>
              <w:jc w:val="center"/>
              <w:rPr>
                <w:rFonts w:cs="Times New Roman" w:eastAsia="Times New Roman" w:hAnsi="Times New Roman" w:ascii="Times New Roman"/>
                <w:sz w:val="20"/>
                <w:szCs w:val="20"/>
                <w:lang w:val="en-US"/>
              </w:rPr>
            </w:pPr>
            <w:r w:rsidRPr="00752CEE">
              <w:rPr>
                <w:rFonts w:cs="Times New Roman" w:eastAsia="Times New Roman" w:hAnsi="Times New Roman" w:ascii="Times New Roman"/>
                <w:sz w:val="20"/>
                <w:szCs w:val="20"/>
                <w:lang w:val="en-US"/>
              </w:rPr>
              <w:t>217.107,21</w:t>
            </w:r>
          </w:p>
        </w:tc>
      </w:tr>
      <w:tr w:rsidTr="00950E72" w:rsidR="00752CEE" w:rsidRPr="00752CEE">
        <w:trPr>
          <w:trHeight w:val="432"/>
        </w:trPr>
        <w:tc>
          <w:tcPr>
            <w:tcW w:type="dxa" w:w="3480"/>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 xml:space="preserve">Kamenolom krašić d.o.o. </w:t>
            </w:r>
          </w:p>
        </w:tc>
        <w:tc>
          <w:tcPr>
            <w:tcW w:type="dxa" w:w="2832"/>
            <w:tcBorders>
              <w:top w:space="0" w:sz="4" w:color="auto" w:val="single"/>
              <w:left w:space="0" w:sz="4" w:color="auto" w:val="single"/>
              <w:bottom w:space="0" w:sz="4" w:color="auto" w:val="single"/>
              <w:right w:space="0" w:sz="4" w:color="auto" w:val="single"/>
            </w:tcBorders>
          </w:tcPr>
          <w:p w:rsidRDefault="00752CEE" w:rsidP="00752CEE" w:rsidR="00752CEE" w:rsidRPr="00752CEE">
            <w:pPr>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pokretnina</w:t>
            </w:r>
          </w:p>
        </w:tc>
        <w:tc>
          <w:tcPr>
            <w:tcW w:type="dxa" w:w="3360"/>
            <w:tcBorders>
              <w:top w:space="0" w:sz="4" w:color="auto" w:val="single"/>
              <w:left w:space="0" w:sz="4" w:color="auto" w:val="single"/>
              <w:bottom w:space="0" w:sz="4" w:color="auto" w:val="single"/>
              <w:right w:space="0" w:sz="4" w:color="auto" w:val="single"/>
            </w:tcBorders>
          </w:tcPr>
          <w:p w:rsidRDefault="00752CEE" w:rsidP="00752CEE" w:rsidR="00752CEE" w:rsidRPr="00752CEE">
            <w:pPr>
              <w:jc w:val="center"/>
              <w:rPr>
                <w:rFonts w:cs="Times New Roman" w:eastAsia="Times New Roman" w:hAnsi="Times New Roman" w:ascii="Times New Roman"/>
                <w:sz w:val="20"/>
                <w:szCs w:val="20"/>
                <w:lang w:val="en-US"/>
              </w:rPr>
            </w:pPr>
            <w:r w:rsidRPr="00752CEE">
              <w:rPr>
                <w:rFonts w:cs="Times New Roman" w:eastAsia="Times New Roman" w:hAnsi="Times New Roman" w:ascii="Times New Roman"/>
                <w:sz w:val="20"/>
                <w:szCs w:val="20"/>
                <w:lang w:val="en-US"/>
              </w:rPr>
              <w:t>18.282,29</w:t>
            </w:r>
          </w:p>
        </w:tc>
      </w:tr>
      <w:tr w:rsidTr="00950E72" w:rsidR="00752CEE" w:rsidRPr="00752CEE">
        <w:trPr>
          <w:trHeight w:val="432"/>
        </w:trPr>
        <w:tc>
          <w:tcPr>
            <w:tcW w:type="dxa" w:w="3480"/>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Republika Hrvatska, Min financija</w:t>
            </w:r>
          </w:p>
        </w:tc>
        <w:tc>
          <w:tcPr>
            <w:tcW w:type="dxa" w:w="2832"/>
            <w:tcBorders>
              <w:top w:space="0" w:sz="4" w:color="auto" w:val="single"/>
              <w:left w:space="0" w:sz="4" w:color="auto" w:val="single"/>
              <w:bottom w:space="0" w:sz="4" w:color="auto" w:val="single"/>
              <w:right w:space="0" w:sz="4" w:color="auto" w:val="single"/>
            </w:tcBorders>
          </w:tcPr>
          <w:p w:rsidRDefault="00752CEE" w:rsidP="00752CEE" w:rsidR="00752CEE" w:rsidRPr="00752CEE">
            <w:pPr>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pokretnine</w:t>
            </w:r>
          </w:p>
        </w:tc>
        <w:tc>
          <w:tcPr>
            <w:tcW w:type="dxa" w:w="3360"/>
            <w:tcBorders>
              <w:top w:space="0" w:sz="4" w:color="auto" w:val="single"/>
              <w:left w:space="0" w:sz="4" w:color="auto" w:val="single"/>
              <w:bottom w:space="0" w:sz="4" w:color="auto" w:val="single"/>
              <w:right w:space="0" w:sz="4" w:color="auto" w:val="single"/>
            </w:tcBorders>
          </w:tcPr>
          <w:p w:rsidRDefault="00752CEE" w:rsidP="00752CEE" w:rsidR="00752CEE" w:rsidRPr="00752CEE">
            <w:pPr>
              <w:jc w:val="center"/>
              <w:rPr>
                <w:rFonts w:cs="Times New Roman" w:eastAsia="Times New Roman" w:hAnsi="Times New Roman" w:ascii="Times New Roman"/>
                <w:sz w:val="20"/>
                <w:szCs w:val="20"/>
                <w:lang w:val="en-US"/>
              </w:rPr>
            </w:pPr>
            <w:r w:rsidRPr="00752CEE">
              <w:rPr>
                <w:rFonts w:cs="Times New Roman" w:eastAsia="Times New Roman" w:hAnsi="Times New Roman" w:ascii="Times New Roman"/>
                <w:sz w:val="20"/>
                <w:szCs w:val="20"/>
                <w:lang w:val="en-US"/>
              </w:rPr>
              <w:t>621.927,84</w:t>
            </w:r>
          </w:p>
        </w:tc>
      </w:tr>
    </w:tbl>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b/>
          <w:sz w:val="24"/>
          <w:szCs w:val="20"/>
          <w:lang w:eastAsia="hr-HR"/>
        </w:rPr>
      </w:pPr>
      <w:r w:rsidRPr="00752CEE">
        <w:rPr>
          <w:rFonts w:cs="Times New Roman" w:eastAsia="Times New Roman" w:hAnsi="Times New Roman" w:ascii="Times New Roman"/>
          <w:b/>
          <w:sz w:val="24"/>
          <w:szCs w:val="20"/>
          <w:lang w:eastAsia="hr-HR"/>
        </w:rPr>
        <w:t>C)   NEUNOVČENA IMOVINA</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Nerealizirana razlučna prava po ovršnom postupku u tijeku i neunovčena imovina:</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tbl>
      <w:tblPr>
        <w:tblW w:type="dxa" w:w="9672"/>
        <w:tblInd w:type="dxa" w:w="10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3480"/>
        <w:gridCol w:w="2832"/>
        <w:gridCol w:w="3360"/>
      </w:tblGrid>
      <w:tr w:rsidTr="00950E72" w:rsidR="00752CEE" w:rsidRPr="00752CEE">
        <w:trPr>
          <w:trHeight w:val="432"/>
        </w:trPr>
        <w:tc>
          <w:tcPr>
            <w:tcW w:type="dxa" w:w="3480"/>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4"/>
                <w:szCs w:val="20"/>
              </w:rPr>
            </w:pPr>
          </w:p>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 xml:space="preserve">Vjerovnik </w:t>
            </w:r>
          </w:p>
        </w:tc>
        <w:tc>
          <w:tcPr>
            <w:tcW w:type="dxa" w:w="2832"/>
            <w:tcBorders>
              <w:top w:space="0" w:sz="4" w:color="auto" w:val="single"/>
              <w:left w:space="0" w:sz="4" w:color="auto" w:val="single"/>
              <w:bottom w:space="0" w:sz="4" w:color="auto" w:val="single"/>
              <w:right w:space="0" w:sz="4" w:color="auto" w:val="single"/>
            </w:tcBorders>
          </w:tcPr>
          <w:p w:rsidRDefault="00752CEE" w:rsidP="00752CEE" w:rsidR="00752CEE" w:rsidRPr="00752CEE">
            <w:pPr>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Predmet razlučnog prava</w:t>
            </w:r>
          </w:p>
          <w:p w:rsidRDefault="00752CEE" w:rsidP="00752CEE" w:rsidR="00752CEE" w:rsidRPr="00752CEE">
            <w:pPr>
              <w:spacing w:after="0"/>
              <w:jc w:val="both"/>
              <w:rPr>
                <w:rFonts w:cs="Times New Roman" w:eastAsia="Times New Roman" w:hAnsi="Times New Roman" w:ascii="Times New Roman"/>
                <w:sz w:val="24"/>
                <w:szCs w:val="20"/>
              </w:rPr>
            </w:pPr>
          </w:p>
        </w:tc>
        <w:tc>
          <w:tcPr>
            <w:tcW w:type="dxa" w:w="3360"/>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jc w:val="center"/>
              <w:rPr>
                <w:rFonts w:cs="Times New Roman" w:eastAsia="Times New Roman" w:hAnsi="Times New Roman" w:ascii="Times New Roman"/>
                <w:sz w:val="24"/>
                <w:szCs w:val="24"/>
                <w:lang w:val="en-US"/>
              </w:rPr>
            </w:pPr>
            <w:r w:rsidRPr="00752CEE">
              <w:rPr>
                <w:rFonts w:cs="Times New Roman" w:eastAsia="Times New Roman" w:hAnsi="Times New Roman" w:ascii="Times New Roman"/>
                <w:sz w:val="24"/>
                <w:szCs w:val="24"/>
                <w:lang w:val="en-US"/>
              </w:rPr>
              <w:t>Status predmeta</w:t>
            </w:r>
          </w:p>
          <w:p w:rsidRDefault="00752CEE" w:rsidP="00752CEE" w:rsidR="00752CEE" w:rsidRPr="00752CEE">
            <w:pPr>
              <w:jc w:val="center"/>
              <w:rPr>
                <w:rFonts w:cs="Times New Roman" w:eastAsia="Times New Roman" w:hAnsi="Times New Roman" w:ascii="Times New Roman"/>
                <w:sz w:val="24"/>
                <w:szCs w:val="24"/>
                <w:lang w:val="en-US"/>
              </w:rPr>
            </w:pPr>
          </w:p>
        </w:tc>
      </w:tr>
      <w:tr w:rsidTr="00950E72" w:rsidR="00752CEE" w:rsidRPr="00752CEE">
        <w:trPr>
          <w:trHeight w:val="432"/>
        </w:trPr>
        <w:tc>
          <w:tcPr>
            <w:tcW w:type="dxa" w:w="3480"/>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Adria Zagreb factoring d.o.o.</w:t>
            </w:r>
          </w:p>
        </w:tc>
        <w:tc>
          <w:tcPr>
            <w:tcW w:type="dxa" w:w="2832"/>
            <w:tcBorders>
              <w:top w:space="0" w:sz="4" w:color="auto" w:val="single"/>
              <w:left w:space="0" w:sz="4" w:color="auto" w:val="single"/>
              <w:bottom w:space="0" w:sz="4" w:color="auto" w:val="single"/>
              <w:right w:space="0" w:sz="4" w:color="auto" w:val="single"/>
            </w:tcBorders>
          </w:tcPr>
          <w:p w:rsidRDefault="00752CEE" w:rsidP="00752CEE" w:rsidR="00752CEE" w:rsidRPr="00752CEE">
            <w:pPr>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Nekretnina zk.ul. 1887, podul. 69, k.o. D. Selo</w:t>
            </w:r>
          </w:p>
        </w:tc>
        <w:tc>
          <w:tcPr>
            <w:tcW w:type="dxa" w:w="3360"/>
            <w:tcBorders>
              <w:top w:space="0" w:sz="4" w:color="auto" w:val="single"/>
              <w:left w:space="0" w:sz="4" w:color="auto" w:val="single"/>
              <w:bottom w:space="0" w:sz="4" w:color="auto" w:val="single"/>
              <w:right w:space="0" w:sz="4" w:color="auto" w:val="single"/>
            </w:tcBorders>
          </w:tcPr>
          <w:p w:rsidRDefault="00752CEE" w:rsidP="00752CEE" w:rsidR="00752CEE" w:rsidRPr="00752CEE">
            <w:pPr>
              <w:jc w:val="center"/>
              <w:rPr>
                <w:rFonts w:cs="Times New Roman" w:eastAsia="Times New Roman" w:hAnsi="Times New Roman" w:ascii="Times New Roman"/>
                <w:sz w:val="16"/>
                <w:szCs w:val="16"/>
                <w:lang w:val="en-US"/>
              </w:rPr>
            </w:pPr>
            <w:r w:rsidRPr="00752CEE">
              <w:rPr>
                <w:rFonts w:cs="Times New Roman" w:eastAsia="Times New Roman" w:hAnsi="Times New Roman" w:ascii="Times New Roman"/>
                <w:sz w:val="16"/>
                <w:szCs w:val="16"/>
                <w:lang w:val="en-US"/>
              </w:rPr>
              <w:t>Ovršni postupak u tijeku na Općinskom sudu u Zagrebu Ovr 2218/15 ( prije Ovr-1463/13)</w:t>
            </w:r>
          </w:p>
          <w:p w:rsidRDefault="00752CEE" w:rsidP="00752CEE" w:rsidR="00752CEE" w:rsidRPr="00752CEE">
            <w:pPr>
              <w:jc w:val="center"/>
              <w:rPr>
                <w:rFonts w:cs="Times New Roman" w:eastAsia="Times New Roman" w:hAnsi="Times New Roman" w:ascii="Times New Roman"/>
                <w:sz w:val="24"/>
                <w:szCs w:val="24"/>
                <w:lang w:val="en-US"/>
              </w:rPr>
            </w:pPr>
            <w:r w:rsidRPr="00752CEE">
              <w:rPr>
                <w:rFonts w:cs="Times New Roman" w:eastAsia="Times New Roman" w:hAnsi="Times New Roman" w:ascii="Times New Roman"/>
                <w:sz w:val="16"/>
                <w:szCs w:val="16"/>
                <w:lang w:val="en-US"/>
              </w:rPr>
              <w:t>- Osigurana tražbina 300.000,00 kn</w:t>
            </w:r>
          </w:p>
        </w:tc>
      </w:tr>
    </w:tbl>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U odnosu na neunovčenu imovinu, stečajni dužnik nema unovčive imovine koja bi imala tržišnu vrijednost ili bi se očekivano mogla ostvariti, osim u dijelu nerealiziranog razlučnog prava u ovršnom postupku na nekretnini u Dugom Selu ( zk.ul. 1887, podul. 69, k.o. Dugo Selo) i utuženih potraživanja kako je prikazano u dijelu nedovršenih sudskih postupaka, a za koje je predviđeno daljnje zastupanje stečajnog dužnika u ime stečajne mase.</w:t>
      </w:r>
    </w:p>
    <w:p w:rsidRDefault="00752CEE" w:rsidP="00752CEE" w:rsidR="00752CEE" w:rsidRPr="00752CEE">
      <w:pPr>
        <w:spacing w:lineRule="auto" w:line="240" w:after="0"/>
        <w:rPr>
          <w:rFonts w:cs="Times New Roman" w:eastAsia="Times New Roman" w:hAnsi="Times New Roman" w:ascii="Times New Roman"/>
          <w:sz w:val="24"/>
          <w:szCs w:val="24"/>
          <w:lang w:eastAsia="hr-HR"/>
        </w:rPr>
      </w:pPr>
    </w:p>
    <w:p w:rsidRDefault="00752CEE" w:rsidP="00752CEE" w:rsidR="00752CEE" w:rsidRPr="00752CEE">
      <w:pPr>
        <w:spacing w:lineRule="auto" w:line="240" w:after="0"/>
        <w:rPr>
          <w:rFonts w:cs="Times New Roman" w:eastAsia="Times New Roman" w:hAnsi="Times New Roman" w:ascii="Times New Roman"/>
          <w:sz w:val="24"/>
          <w:szCs w:val="24"/>
          <w:lang w:eastAsia="hr-HR"/>
        </w:rPr>
      </w:pPr>
      <w:r w:rsidRPr="00752CEE">
        <w:rPr>
          <w:rFonts w:cs="Times New Roman" w:eastAsia="Times New Roman" w:hAnsi="Times New Roman" w:ascii="Times New Roman"/>
          <w:sz w:val="24"/>
          <w:szCs w:val="24"/>
          <w:lang w:eastAsia="hr-HR"/>
        </w:rPr>
        <w:t xml:space="preserve">Imovina koja nije opterećena razlučnim pravima  unovčena je sukladno odluci skupštine vjerovnika,  objavom  3 oglasa u javnom glasilu Večernji list radi prikupljanja najpovoljnijih </w:t>
      </w:r>
      <w:r w:rsidRPr="00752CEE">
        <w:rPr>
          <w:rFonts w:cs="Times New Roman" w:eastAsia="Times New Roman" w:hAnsi="Times New Roman" w:ascii="Times New Roman"/>
          <w:sz w:val="24"/>
          <w:szCs w:val="24"/>
          <w:lang w:eastAsia="hr-HR"/>
        </w:rPr>
        <w:lastRenderedPageBreak/>
        <w:t xml:space="preserve">pisanih ponuda, te nadalje unovčenje  neposrednom pogodbom. Kako je iskazano u tablici unovčenja imovine dužnika, nekretnine su uglavnom bile opterećene razlučnim pravom, te su unovčene sukladno odredbi članka 164. Stečajnog zakona po stečajnom sucu. </w:t>
      </w:r>
    </w:p>
    <w:p w:rsidRDefault="00752CEE" w:rsidP="00752CEE" w:rsidR="00752CEE" w:rsidRPr="00752CEE">
      <w:pPr>
        <w:spacing w:lineRule="auto" w:line="240" w:after="0"/>
        <w:rPr>
          <w:rFonts w:cs="Times New Roman" w:eastAsia="Times New Roman" w:hAnsi="Times New Roman" w:ascii="Times New Roman"/>
          <w:sz w:val="24"/>
          <w:szCs w:val="24"/>
          <w:lang w:eastAsia="hr-HR"/>
        </w:rPr>
      </w:pPr>
    </w:p>
    <w:p w:rsidRDefault="00752CEE" w:rsidP="00752CEE" w:rsidR="00752CEE" w:rsidRPr="00752CEE">
      <w:pPr>
        <w:spacing w:lineRule="auto" w:line="240" w:after="0"/>
        <w:rPr>
          <w:rFonts w:cs="Times New Roman" w:eastAsia="Times New Roman" w:hAnsi="Times New Roman" w:ascii="Times New Roman"/>
          <w:sz w:val="24"/>
          <w:szCs w:val="24"/>
          <w:lang w:eastAsia="hr-HR"/>
        </w:rPr>
      </w:pPr>
      <w:r w:rsidRPr="00752CEE">
        <w:rPr>
          <w:rFonts w:cs="Times New Roman" w:eastAsia="Times New Roman" w:hAnsi="Times New Roman" w:ascii="Times New Roman"/>
          <w:sz w:val="24"/>
          <w:szCs w:val="24"/>
          <w:lang w:eastAsia="hr-HR"/>
        </w:rPr>
        <w:t>Pokretnine, vozila i strojevi, u trenutku otvaranja stečajnog postupka zatečeni su napušteni po gradilištima, javnim površinama ili tuđim posjedima što je predstavljalo bitan napor i troška za preuzimanje u posjed imovine i stvaranje pretpostavki za unovčenje.  Na najznačajnijem dijelu pokretnina, vozila i strojeva, prema evidencijama i obavijesti o razlučnom pravu postojalo je razlučno pravo  Republike Hrvatske, Ministarstva financija, te je prilikom unovčenja pozvana RH Ministarstvo financija zastupano po ŽDO na očitovanje sukladno odredbi članka 167. Stečajnog zakona.</w:t>
      </w:r>
    </w:p>
    <w:p w:rsidRDefault="00752CEE" w:rsidP="00752CEE" w:rsidR="00752CEE" w:rsidRPr="00752CEE">
      <w:pPr>
        <w:spacing w:lineRule="auto" w:line="240" w:after="0"/>
        <w:rPr>
          <w:rFonts w:cs="Times New Roman" w:eastAsia="Times New Roman" w:hAnsi="Times New Roman" w:ascii="Times New Roman"/>
          <w:sz w:val="24"/>
          <w:szCs w:val="24"/>
          <w:lang w:eastAsia="hr-HR"/>
        </w:rPr>
      </w:pPr>
    </w:p>
    <w:p w:rsidRDefault="00752CEE" w:rsidP="00752CEE" w:rsidR="00752CEE" w:rsidRPr="00752CEE">
      <w:pPr>
        <w:spacing w:lineRule="auto" w:line="240" w:after="0"/>
        <w:rPr>
          <w:rFonts w:cs="Times New Roman" w:eastAsia="Times New Roman" w:hAnsi="Times New Roman" w:ascii="Times New Roman"/>
          <w:sz w:val="24"/>
          <w:szCs w:val="24"/>
          <w:lang w:eastAsia="hr-HR"/>
        </w:rPr>
      </w:pPr>
      <w:r w:rsidRPr="00752CEE">
        <w:rPr>
          <w:rFonts w:cs="Times New Roman" w:eastAsia="Times New Roman" w:hAnsi="Times New Roman" w:ascii="Times New Roman"/>
          <w:sz w:val="24"/>
          <w:szCs w:val="24"/>
          <w:lang w:eastAsia="hr-HR"/>
        </w:rPr>
        <w:t>Dva radna stroja, rovokopač ROBEX  i kombinirani stroj JCB 4, prema podacima stečajnog dužnika nalazili su se u posjedu  gosp. Tome Fištreka, direktora Građevinarstavo Fištrek d.o.o.   i vlasnika obrta Građevinarstvo niskogradnja. Kako stečajni dužnik uz sve napore nije mogao doći u posjed predmetnih strojeva podnesena je kaznena prijava protiv Tome Fištreka, te je Rješenjem Općinskog suda u Varaždinu broj 5 KOV-369/14 od 20.11.2014.g. potvrđena optužnica Općinskog državnog odvjetništva u Varaždinu zbog kaznenog djela utaje. U postupku je podnesen imovinski zahtjev.</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III  ZAVRŠNO IZVJEŠĆE STEČAJNOG UPRAVITELJA</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 xml:space="preserve">Stečajni postupak nad dužnikom otvoren je dana 12.6.2013.g.. Poslovanje dužnika obustavljeno je prije otvaranja stečaja, a u radnom odnosu zatečeno je 11 radnika. Svim radnicima je otkazan ugovor o radu na neodređeno vrijeme, te je nadalje za potrebe stečajnog postupka   ostalo po ugovoru o radu na određeno vrijeme  dvoje radnika radi uređenja knjigovodstva i pripreme dokumentacije za pokretanje postupaka radi naplate potraživanja. Radni odnos i predmetnim zaposlenicama prestao u siječnju 2014.godine. </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rPr>
          <w:rFonts w:cs="Times New Roman" w:eastAsia="Times New Roman" w:hAnsi="Times New Roman" w:ascii="Times New Roman"/>
          <w:sz w:val="24"/>
          <w:szCs w:val="24"/>
          <w:lang w:eastAsia="hr-HR"/>
        </w:rPr>
      </w:pPr>
      <w:r w:rsidRPr="00752CEE">
        <w:rPr>
          <w:rFonts w:cs="Times New Roman" w:eastAsia="Times New Roman" w:hAnsi="Times New Roman" w:ascii="Times New Roman"/>
          <w:sz w:val="24"/>
          <w:szCs w:val="24"/>
          <w:lang w:eastAsia="hr-HR"/>
        </w:rPr>
        <w:t xml:space="preserve">Nekretnine stečajnog dužnika znatnim dijelom bile su upisane na pravne prednike stečajnog dužnika (pripojena društva), te su poduzete radnje radi upisa stečajnog dužnika u zemljišne knjige. Po uređenju zemljišnoknjižnog stanja izvršeno je unovčenje nekretnina na kojima postoji razlučno pravo sukladno odredbama članka 164. Stečajnog zakona, a nekretnina na kojima nije bilo upisano razlučno pravo sukladno članku 158. Stečajnog zakona i to objavom prodaje u javnom glasilu, stranicama sudačke mreže i HGK. </w:t>
      </w:r>
    </w:p>
    <w:p w:rsidRDefault="00752CEE" w:rsidP="00752CEE" w:rsidR="00752CEE" w:rsidRPr="00752CEE">
      <w:pPr>
        <w:spacing w:lineRule="auto" w:line="240" w:after="0"/>
        <w:rPr>
          <w:rFonts w:cs="Times New Roman" w:eastAsia="Times New Roman" w:hAnsi="Times New Roman" w:ascii="Times New Roman"/>
          <w:sz w:val="24"/>
          <w:szCs w:val="24"/>
          <w:lang w:eastAsia="hr-HR"/>
        </w:rPr>
      </w:pPr>
    </w:p>
    <w:p w:rsidRDefault="00752CEE" w:rsidP="00752CEE" w:rsidR="00752CEE" w:rsidRPr="00752CEE">
      <w:pPr>
        <w:spacing w:lineRule="auto" w:line="240" w:after="0"/>
        <w:rPr>
          <w:rFonts w:cs="Times New Roman" w:eastAsia="Times New Roman" w:hAnsi="Times New Roman" w:ascii="Times New Roman"/>
          <w:sz w:val="24"/>
          <w:szCs w:val="24"/>
          <w:lang w:eastAsia="hr-HR"/>
        </w:rPr>
      </w:pPr>
      <w:r w:rsidRPr="00752CEE">
        <w:rPr>
          <w:rFonts w:cs="Times New Roman" w:eastAsia="Times New Roman" w:hAnsi="Times New Roman" w:ascii="Times New Roman"/>
          <w:sz w:val="24"/>
          <w:szCs w:val="24"/>
          <w:lang w:eastAsia="hr-HR"/>
        </w:rPr>
        <w:t>Struktura ostvarene stečajne mase i iznosi namirenja razlučnih prava iskazani su u tabeli u točki II završnog računa.</w:t>
      </w:r>
    </w:p>
    <w:p w:rsidRDefault="00752CEE" w:rsidP="00752CEE" w:rsidR="00752CEE" w:rsidRPr="00752CEE">
      <w:pPr>
        <w:spacing w:lineRule="auto" w:line="240" w:after="0"/>
        <w:rPr>
          <w:rFonts w:cs="Times New Roman" w:eastAsia="Times New Roman" w:hAnsi="Times New Roman" w:ascii="Times New Roman"/>
          <w:sz w:val="24"/>
          <w:szCs w:val="24"/>
          <w:lang w:eastAsia="hr-HR"/>
        </w:rPr>
      </w:pPr>
    </w:p>
    <w:p w:rsidRDefault="00752CEE" w:rsidP="00752CEE" w:rsidR="00752CEE" w:rsidRPr="00752CEE">
      <w:pPr>
        <w:spacing w:lineRule="auto" w:line="240" w:after="0"/>
        <w:rPr>
          <w:rFonts w:cs="Times New Roman" w:eastAsia="Times New Roman" w:hAnsi="Times New Roman" w:ascii="Times New Roman"/>
          <w:sz w:val="24"/>
          <w:szCs w:val="24"/>
          <w:lang w:eastAsia="hr-HR"/>
        </w:rPr>
      </w:pPr>
      <w:r w:rsidRPr="00752CEE">
        <w:rPr>
          <w:rFonts w:cs="Times New Roman" w:eastAsia="Times New Roman" w:hAnsi="Times New Roman" w:ascii="Times New Roman"/>
          <w:sz w:val="24"/>
          <w:szCs w:val="24"/>
          <w:lang w:eastAsia="hr-HR"/>
        </w:rPr>
        <w:t xml:space="preserve">Nekretnine u vlasništvu stečajnog dužnika unovčene su u cijelosti, osim nekretnine upisane u zk.ul. 1887, poduložak 69, Etaža 0/0, k.o. Dugo selo, lokal broj 6, površine 20,04 m2 koja je predmet prodaje u ovršnom postupku Ovr- 2218/15 ( prije Ovr-1463/13) pokrenutom po razlučnom vjerovniku Adria Zagreb factoring d.o.o.. U predmetnom postupku Trgovački sud u Zagrebu (Ovr-261/16) izazvao je sukob nadležnosti, te je prema odluci Vrhovnog suda RH od 28.12.2016.g.  nadležan sud za provedbu ovrhe Općinski građanski sud u Zagrebu . Nakon navedenog nije bilo daljnjih radnji u postupku. </w:t>
      </w:r>
    </w:p>
    <w:p w:rsidRDefault="00752CEE" w:rsidP="00752CEE" w:rsidR="00752CEE" w:rsidRPr="00752CEE">
      <w:pPr>
        <w:spacing w:lineRule="auto" w:line="240" w:after="0"/>
        <w:rPr>
          <w:rFonts w:cs="Times New Roman" w:eastAsia="Times New Roman" w:hAnsi="Times New Roman" w:ascii="Times New Roman"/>
          <w:sz w:val="24"/>
          <w:szCs w:val="24"/>
          <w:lang w:eastAsia="hr-HR"/>
        </w:rPr>
      </w:pPr>
    </w:p>
    <w:p w:rsidRDefault="00752CEE" w:rsidP="00752CEE" w:rsidR="00752CEE" w:rsidRPr="00752CEE">
      <w:pPr>
        <w:spacing w:lineRule="auto" w:line="240" w:after="0"/>
        <w:rPr>
          <w:rFonts w:cs="Times New Roman" w:eastAsia="Times New Roman" w:hAnsi="Times New Roman" w:ascii="Times New Roman"/>
          <w:sz w:val="24"/>
          <w:szCs w:val="24"/>
          <w:lang w:eastAsia="hr-HR"/>
        </w:rPr>
      </w:pPr>
      <w:r w:rsidRPr="00752CEE">
        <w:rPr>
          <w:rFonts w:cs="Times New Roman" w:eastAsia="Times New Roman" w:hAnsi="Times New Roman" w:ascii="Times New Roman"/>
          <w:sz w:val="24"/>
          <w:szCs w:val="24"/>
          <w:lang w:eastAsia="hr-HR"/>
        </w:rPr>
        <w:lastRenderedPageBreak/>
        <w:t xml:space="preserve">U dijelu nekretnina, stečajni dužnik je upisan kao vlasnik na nekretninama upisanim u zk.ul.  4986, Etaža 2 i 4, k.o. Diklo kod Općinskog suda u Zadru, no predmetne nekretnine su prije stečaja prodane i predane u posjed kupcima ( Davor Pribanić vl. obrta Mlinarcommerc i Geo bim d.o.o.) koji se nisu uknjižili, te je također ostao upisan teret u korist založnog vjerovnika po osnovi obveza stečajnog dužnika. Kako je stečajni dužnik ostao upisan u zemljišne knjige, isti je ujedno ovršenik u postupcima koje je pokrenuo založni vjerovnik SEVERITAS d.o.o. ( pravni slijednik Hypo Alpe Adria Bank d.d. i H-ABDUCO d.o.o.). Nastavno na navedeno stečajni dužnik je ujedno i tuženik u parnici P-1125/2016 na Općinskom sudu u Zadru radi nedopuštenosti ovrhe po tužitelju Davoru Pribaniću, vl. obrta Mlinarcommerce. </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Osnovnu strukturu iskazanih odliva stečajne mase ( prije rezervacije za troškove) čine strukturno četiri osnovne grupe odliva i to odlivi vezani za namirenje tražbina vjerovnika ( čine 64,5% ostvarenih odliva), podmirenje obveza prema RH s osnove poreznih davanja (4% ostvarenih odliva), naplaćene kazne za koje se vode postupci radi povrata (10,9%), te operativni troškove stečajnog postupka koji čine 20,6% ostvarenih odliva tijekom stečajnog postupka.</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Daljnju analitičku strukturu pojedinih  ostvarenih odliva stečajne mase iskazaih u završnom računu čini u iznosu od 56,6% odliv u svrhu namirenja razlučnih prava, te nadalje u svrhu namirenja utvrđenih tražbina I višeg isplatnog reda u provedenoj djelomičnoj diobi i po čl. 86.st.2. SZ-a iskazani odliv od 7,9 ukupnog odliva. Ostvareni odlivi za operativne troškove stečajnog postupka najznačajnijim dijelom su uvjetovani strukturom zatečene stečajne mase, te od ukupno ostvarenih odliva  na troškove režija uključujući zbrinjavanje i čuvanje pokretnina otpada 2,7% ukupnog odliva stečajne mase, na bruto plaće radnika ( ukljućujući i otkazni rok) odliv od 5,3% ukupnog odliva. Ostvareni plaćeni troškovi odvjetnika i bilježnika čine 3,9% ukupnog odliva, pri čemu su u obzir uzeti obračunati i plaćeni troškovi odvjetnika, te su u kontinuitetu zastupanja nastali i nastati će daljnji troškovi zastupanja stečajnog dužnika koej će biti neophodno podmiriti iz očekivanih naplata iz parnica. Troškovi sudskih pristojbi i vještaka u istim iznose 1,6%, troškovi premije osiguranja čine 1,2% ostvarenih odliva, troškovi oglašavanja prodaje imovine daljnji iznos od 1,6% ostvarenih odliva, te troškovi knjigovodstva 2,2% ostvarenih odliva stečajne mase.</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Posebnu vrlo značajnu stavku odliva (10,9%) čini izvršena prisilna naplata novčanih kazni po nalogu Prekršajnog suda, Stalna služba Klanjec (750.800,00 kn) vezana uz prekršajni postupka proveden radi neisplate plaća radnika pravnog prednika stečajnog dužnika, MGT d.o.o. Unatoč niza podnesaka i žalbi tijekom postupka u kojima je ukazano da novčane kazne čine tražbinu iz članka 72. SZ-a, prekršajni sud je proveo prisilnu naplatu, te je nastavno na navedeno izjavljena žalba na predmetno rješenje po kojoj do sada nije zaprimljena odluka Visokog prekršajnog suda. Ujedno je Županijskom državnom odvjetništvu u Zagrebu podnesen zahtjev za zaštitu zakonitosti i za mirno rješenje spora u cilju sporazumnog povrata naplaćenih sredstava, no prema očitovanju odvjetništva radi se o preuranjenom zahtjevu do rješenja spora na Viskom prekršajnom sudu. U predmetnom postupku biti će i nadalje poduzimane radnje radi povrata naplaćenih sredstava.</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rPr>
          <w:rFonts w:cs="Times New Roman" w:eastAsia="Times New Roman" w:hAnsi="Times New Roman" w:ascii="Times New Roman"/>
          <w:sz w:val="24"/>
          <w:szCs w:val="24"/>
          <w:lang w:eastAsia="hr-HR"/>
        </w:rPr>
      </w:pPr>
      <w:r w:rsidRPr="00752CEE">
        <w:rPr>
          <w:rFonts w:cs="Times New Roman" w:eastAsia="Times New Roman" w:hAnsi="Times New Roman" w:ascii="Times New Roman"/>
          <w:sz w:val="24"/>
          <w:szCs w:val="24"/>
          <w:lang w:eastAsia="hr-HR"/>
        </w:rPr>
        <w:t xml:space="preserve">U odnosu na zatečene pokretnine, radni strojevi i vozila, u trenutku otvaranja stečajnog postupka zatečeni su napušteni po gradilištima, javnim površinama ili tuđim posjedima. Predmetni radni strojevi i vozila zatečeni su u nevoznom stanju na velikom broju lokacija:   Kašina- Laz, Varaždin, Samobor, Sisak, Petrinja, Krašić, Karlovac, Klanjec, Ivanec, Bistra, Lučkom,  u Zagrebu u Kozari putevima, Remetincu i drugim lokacijama. S obzirom na navedeno poduzete su radnje radi zaštite, zbrinjavanja imovine i smještaja na čuvano mjesto, </w:t>
      </w:r>
      <w:r w:rsidRPr="00752CEE">
        <w:rPr>
          <w:rFonts w:cs="Times New Roman" w:eastAsia="Times New Roman" w:hAnsi="Times New Roman" w:ascii="Times New Roman"/>
          <w:sz w:val="24"/>
          <w:szCs w:val="24"/>
          <w:lang w:eastAsia="hr-HR"/>
        </w:rPr>
        <w:lastRenderedPageBreak/>
        <w:t>pri čemu je bilo potrebno angažirati specijalni prijevoz opremljen labudicama, dizalicama i stručnim osobama, te je navedena okolnost imala uticaja na naprijed iskazanu visinu troškova.</w:t>
      </w:r>
    </w:p>
    <w:p w:rsidRDefault="00752CEE" w:rsidP="00752CEE" w:rsidR="00752CEE" w:rsidRPr="00752CEE">
      <w:pPr>
        <w:spacing w:lineRule="auto" w:line="240" w:after="0"/>
        <w:rPr>
          <w:rFonts w:cs="Times New Roman" w:eastAsia="Times New Roman" w:hAnsi="Times New Roman" w:ascii="Times New Roman"/>
          <w:sz w:val="24"/>
          <w:szCs w:val="24"/>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U postupcima unovčenja imovine kao i provođenja stečajnog postupka na administrativnim poslovima, a uzimajući u obzir dugotrajnost, složenost, obimnost i različitost imovine i potrebnih radnji postupka, bilo je neophodno angažirati potrebne radnike i suradnike stečajnog upravitelja,  te su s navedenog osnova nastali iskazani troškovi postupka.</w:t>
      </w:r>
    </w:p>
    <w:p w:rsidRDefault="00752CEE" w:rsidP="00752CEE" w:rsidR="00752CEE" w:rsidRPr="00752CEE">
      <w:pPr>
        <w:spacing w:lineRule="auto" w:line="240" w:after="0"/>
        <w:rPr>
          <w:rFonts w:cs="Times New Roman" w:eastAsia="Times New Roman" w:hAnsi="Times New Roman" w:ascii="Times New Roman"/>
          <w:sz w:val="24"/>
          <w:szCs w:val="24"/>
          <w:lang w:eastAsia="hr-HR"/>
        </w:rPr>
      </w:pPr>
    </w:p>
    <w:p w:rsidRDefault="00752CEE" w:rsidP="00752CEE" w:rsidR="00752CEE" w:rsidRPr="00752CEE">
      <w:pPr>
        <w:spacing w:lineRule="auto" w:line="240" w:after="0"/>
        <w:rPr>
          <w:rFonts w:cs="Times New Roman" w:eastAsia="Times New Roman" w:hAnsi="Times New Roman" w:ascii="Times New Roman"/>
          <w:sz w:val="24"/>
          <w:szCs w:val="24"/>
          <w:lang w:eastAsia="hr-HR"/>
        </w:rPr>
      </w:pPr>
      <w:r w:rsidRPr="00752CEE">
        <w:rPr>
          <w:rFonts w:cs="Times New Roman" w:eastAsia="Times New Roman" w:hAnsi="Times New Roman" w:ascii="Times New Roman"/>
          <w:sz w:val="24"/>
          <w:szCs w:val="24"/>
          <w:lang w:eastAsia="hr-HR"/>
        </w:rPr>
        <w:t>Imovina koja nije opterećena razlučnim pravima  unovčena je sukladno odluci skupštine vjerovnika,  objavom  3 oglasa u javnom glasilu Večernji list radi prikupljanja najpovoljnijih pisanih ponuda, te nadalje unovčenje  neposrednom pogodbom.</w:t>
      </w:r>
    </w:p>
    <w:p w:rsidRDefault="00752CEE" w:rsidP="00752CEE" w:rsidR="00752CEE" w:rsidRPr="00752CEE">
      <w:pPr>
        <w:spacing w:lineRule="auto" w:line="240" w:after="0"/>
        <w:rPr>
          <w:rFonts w:cs="Times New Roman" w:eastAsia="Times New Roman" w:hAnsi="Times New Roman" w:ascii="Times New Roman"/>
          <w:sz w:val="24"/>
          <w:szCs w:val="24"/>
          <w:lang w:eastAsia="hr-HR"/>
        </w:rPr>
      </w:pPr>
    </w:p>
    <w:p w:rsidRDefault="00752CEE" w:rsidP="00752CEE" w:rsidR="00752CEE" w:rsidRPr="00752CEE">
      <w:pPr>
        <w:spacing w:lineRule="auto" w:line="240" w:after="0"/>
        <w:rPr>
          <w:rFonts w:cs="Times New Roman" w:eastAsia="Times New Roman" w:hAnsi="Times New Roman" w:ascii="Times New Roman"/>
          <w:sz w:val="24"/>
          <w:szCs w:val="24"/>
          <w:lang w:eastAsia="hr-HR"/>
        </w:rPr>
      </w:pPr>
      <w:r w:rsidRPr="00752CEE">
        <w:rPr>
          <w:rFonts w:cs="Times New Roman" w:eastAsia="Times New Roman" w:hAnsi="Times New Roman" w:ascii="Times New Roman"/>
          <w:sz w:val="24"/>
          <w:szCs w:val="24"/>
          <w:lang w:eastAsia="hr-HR"/>
        </w:rPr>
        <w:t>Na najznačajnijem dijelu pokretnina, vozila i strojeva,  a sukladno i obavijesti o razlučnom pravu,  bilo je evidentirano osiguranje potraživanja Republike Hrvatske, Ministarstva financija, te je prilikom unovčenja pozvana RH Ministarstvo financija zastupano po Županijskom državnom odvjetništvu na očitovanje sukladno odredbi članka 167. Stečajnog zakona.</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Iskazane rezervacije u okviru završnog računa obuhvaćaju nagradu privremenog i stečajnog upravitelja temeljem  rješenju stečajnog suca, a sve sukladno Uredbi Vlade Republike Hrvatske ( NN 189/03 i 105/15 ) kojima su određeni kriteriji za obračun visine nagrade. Kako je opisano u završnom računu, a radi sporova sa Odvjetničkim društvom Maržić i partneri i spornog pravnog odnosa vezanog uz naplatu potraživanja u predmetu sa tuženikom Michieli - Tomić d.o.o. , izvršena je potrebna rezervacija do okončanja postupaka. Strukturno iskazane rezervacije za neplaćene i očekivane troškove postupka na neisplaćenu bruto nagradu privremenog i stečajnog upravitelja određenu rješenjem stečajnog suca otpada 51% rezerviranih sredstava, za očekivane troškove trajnog zbrinjavanja arhivske građe iznos od 9,9% sredstava, te za potencijalne troškove i obaveze iz parnica iznos od 35%, neisplaćene tražbine u diobi radi nepoznatih uplatnih računa 1,5%, a u preostalom dijelu na tekuće troškove do okončanja stečaja i buduće režijske troškove neunovčene nekretnine u Dugom Selu.</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 xml:space="preserve">Ukupno arhivsko gradivo obuhvaća oko 133,2 dužnih metara, pri čemu se prema izvršenoj obradi dokumentacije po ovlaštenom arhivaru na trajnu dokumentaciju vezanu uz radno-pravne odnose, odnosi 33 dužna metra, na dokumentaciju koju treba čuvati u propisanim rokovima uz sukcesivno zbrinjavanje oko 71,7 dužni metra, a na trenutačno zbrinjavanje otpada oko 28,5 dužnih metara. Nastavno na navedeno za obradu i čuvanje arhivskog gradiva izvršena je rezervacija potrebnih sredstava. </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4"/>
        </w:rPr>
      </w:pPr>
      <w:r w:rsidRPr="00752CEE">
        <w:rPr>
          <w:rFonts w:cs="Times New Roman" w:eastAsia="Times New Roman" w:hAnsi="Times New Roman" w:ascii="Times New Roman"/>
          <w:sz w:val="24"/>
          <w:szCs w:val="20"/>
          <w:lang w:eastAsia="hr-HR"/>
        </w:rPr>
        <w:t xml:space="preserve">Iako stečajni dužnik prema stanju sudskih postupaka koje vodi uglavnom očekuje uspjehe u parnicama, no za nužne očekivane troškove izvršena je rezervacija preostalog iznosa stečajne mase od </w:t>
      </w:r>
      <w:r w:rsidRPr="00752CEE">
        <w:rPr>
          <w:rFonts w:cs="Times New Roman" w:eastAsia="Times New Roman" w:hAnsi="Times New Roman" w:ascii="Times New Roman"/>
          <w:sz w:val="24"/>
          <w:szCs w:val="24"/>
        </w:rPr>
        <w:t xml:space="preserve">  60.993  kn.</w:t>
      </w:r>
    </w:p>
    <w:p w:rsidRDefault="00752CEE" w:rsidP="00752CEE" w:rsidR="00752CEE" w:rsidRPr="00752CEE">
      <w:pPr>
        <w:spacing w:lineRule="auto" w:line="240" w:after="0"/>
        <w:jc w:val="both"/>
        <w:rPr>
          <w:rFonts w:cs="Times New Roman" w:eastAsia="Times New Roman" w:hAnsi="Times New Roman" w:ascii="Times New Roman"/>
          <w:sz w:val="24"/>
          <w:szCs w:val="24"/>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4"/>
        </w:rPr>
        <w:t>Nastavno na navedeno, nakon rezervacije za neplaćene troškove postupka i rezervacije za očekivane i potencijalne troškove u daljnjem zastupanju stečajne mase nema raspoloživih sredstava za završnu diobu.</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p w:rsidRDefault="00752CEE" w:rsidP="00752CEE" w:rsidR="00752CEE" w:rsidRPr="00752CEE">
      <w:pPr>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0"/>
          <w:szCs w:val="20"/>
          <w:lang w:eastAsia="hr-HR" w:val="en-US"/>
        </w:rPr>
        <w:br w:type="page"/>
      </w:r>
    </w:p>
    <w:p w:rsidRDefault="00752CEE" w:rsidP="00752CEE" w:rsidR="00752CEE" w:rsidRPr="00752CEE">
      <w:pPr>
        <w:spacing w:lineRule="auto" w:line="240" w:after="0"/>
        <w:ind w:left="36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IV   ZAVRŠNI DIOBENI POPIS</w:t>
      </w:r>
    </w:p>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p>
    <w:tbl>
      <w:tblPr>
        <w:tblW w:type="dxa" w:w="10750"/>
        <w:tblLayout w:type="fixed"/>
        <w:tblCellMar>
          <w:left w:type="dxa" w:w="30"/>
          <w:right w:type="dxa" w:w="30"/>
        </w:tblCellMar>
        <w:tblLook w:val="04A0" w:noVBand="1" w:noHBand="0" w:lastColumn="0" w:firstColumn="1" w:lastRow="0" w:firstRow="1"/>
      </w:tblPr>
      <w:tblGrid>
        <w:gridCol w:w="448"/>
        <w:gridCol w:w="7867"/>
        <w:gridCol w:w="469"/>
        <w:gridCol w:w="470"/>
        <w:gridCol w:w="88"/>
        <w:gridCol w:w="1408"/>
      </w:tblGrid>
      <w:tr w:rsidTr="00950E72" w:rsidR="00752CEE" w:rsidRPr="00752CEE">
        <w:trPr>
          <w:trHeight w:val="238"/>
        </w:trPr>
        <w:tc>
          <w:tcPr>
            <w:tcW w:type="dxa" w:w="448"/>
          </w:tcPr>
          <w:p w:rsidRDefault="00752CEE" w:rsidP="00752CEE" w:rsidR="00752CEE" w:rsidRPr="00752CEE">
            <w:pPr>
              <w:autoSpaceDE w:val="false"/>
              <w:autoSpaceDN w:val="false"/>
              <w:adjustRightInd w:val="false"/>
              <w:spacing w:after="0"/>
              <w:jc w:val="right"/>
              <w:rPr>
                <w:rFonts w:cs="Arial" w:hAnsi="Arial" w:ascii="Arial"/>
                <w:color w:val="000000"/>
                <w:sz w:val="16"/>
                <w:szCs w:val="16"/>
              </w:rPr>
            </w:pPr>
          </w:p>
        </w:tc>
        <w:tc>
          <w:tcPr>
            <w:tcW w:type="dxa" w:w="7867"/>
          </w:tcPr>
          <w:p w:rsidRDefault="00752CEE" w:rsidP="00752CEE" w:rsidR="00752CEE" w:rsidRPr="00752CEE">
            <w:pPr>
              <w:autoSpaceDE w:val="false"/>
              <w:autoSpaceDN w:val="false"/>
              <w:adjustRightInd w:val="false"/>
              <w:spacing w:after="0"/>
              <w:jc w:val="right"/>
              <w:rPr>
                <w:rFonts w:cs="Arial" w:hAnsi="Arial" w:ascii="Arial"/>
                <w:color w:val="000000"/>
                <w:sz w:val="16"/>
                <w:szCs w:val="16"/>
              </w:rPr>
            </w:pPr>
          </w:p>
        </w:tc>
        <w:tc>
          <w:tcPr>
            <w:tcW w:type="dxa" w:w="469"/>
          </w:tcPr>
          <w:p w:rsidRDefault="00752CEE" w:rsidP="00752CEE" w:rsidR="00752CEE" w:rsidRPr="00752CEE">
            <w:pPr>
              <w:autoSpaceDE w:val="false"/>
              <w:autoSpaceDN w:val="false"/>
              <w:adjustRightInd w:val="false"/>
              <w:spacing w:after="0"/>
              <w:rPr>
                <w:rFonts w:cs="Arial" w:hAnsi="Arial" w:ascii="Arial"/>
                <w:color w:val="000000"/>
                <w:sz w:val="16"/>
                <w:szCs w:val="16"/>
              </w:rPr>
            </w:pPr>
          </w:p>
        </w:tc>
        <w:tc>
          <w:tcPr>
            <w:tcW w:type="dxa" w:w="470"/>
          </w:tcPr>
          <w:p w:rsidRDefault="00752CEE" w:rsidP="00752CEE" w:rsidR="00752CEE" w:rsidRPr="00752CEE">
            <w:pPr>
              <w:autoSpaceDE w:val="false"/>
              <w:autoSpaceDN w:val="false"/>
              <w:adjustRightInd w:val="false"/>
              <w:spacing w:after="0"/>
              <w:rPr>
                <w:rFonts w:cs="Arial" w:hAnsi="Arial" w:ascii="Arial"/>
                <w:color w:val="000000"/>
                <w:sz w:val="16"/>
                <w:szCs w:val="16"/>
              </w:rPr>
            </w:pPr>
          </w:p>
        </w:tc>
        <w:tc>
          <w:tcPr>
            <w:tcW w:type="dxa" w:w="88"/>
          </w:tcPr>
          <w:p w:rsidRDefault="00752CEE" w:rsidP="00752CEE" w:rsidR="00752CEE" w:rsidRPr="00752CEE">
            <w:pPr>
              <w:autoSpaceDE w:val="false"/>
              <w:autoSpaceDN w:val="false"/>
              <w:adjustRightInd w:val="false"/>
              <w:spacing w:after="0"/>
              <w:jc w:val="right"/>
              <w:rPr>
                <w:rFonts w:cs="Arial" w:hAnsi="Arial" w:ascii="Arial"/>
                <w:color w:val="000000"/>
                <w:sz w:val="16"/>
                <w:szCs w:val="16"/>
              </w:rPr>
            </w:pPr>
          </w:p>
        </w:tc>
        <w:tc>
          <w:tcPr>
            <w:tcW w:type="dxa" w:w="1408"/>
          </w:tcPr>
          <w:p w:rsidRDefault="00752CEE" w:rsidP="00752CEE" w:rsidR="00752CEE" w:rsidRPr="00752CEE">
            <w:pPr>
              <w:autoSpaceDE w:val="false"/>
              <w:autoSpaceDN w:val="false"/>
              <w:adjustRightInd w:val="false"/>
              <w:spacing w:after="0"/>
              <w:jc w:val="right"/>
              <w:rPr>
                <w:rFonts w:cs="Arial" w:hAnsi="Arial" w:ascii="Arial"/>
                <w:color w:val="000000"/>
                <w:sz w:val="16"/>
                <w:szCs w:val="16"/>
              </w:rPr>
            </w:pPr>
          </w:p>
        </w:tc>
      </w:tr>
    </w:tbl>
    <w:tbl>
      <w:tblPr>
        <w:tblpPr w:tblpY="1" w:horzAnchor="margin" w:vertAnchor="text" w:rightFromText="180" w:leftFromText="180"/>
        <w:tblOverlap w:val="never"/>
        <w:tblW w:type="pct" w:w="5552"/>
        <w:tblLook w:val="04A0" w:noVBand="1" w:noHBand="0" w:lastColumn="0" w:firstColumn="1" w:lastRow="0" w:firstRow="1"/>
      </w:tblPr>
      <w:tblGrid>
        <w:gridCol w:w="562"/>
        <w:gridCol w:w="6611"/>
        <w:gridCol w:w="1240"/>
        <w:gridCol w:w="928"/>
        <w:gridCol w:w="972"/>
      </w:tblGrid>
      <w:tr w:rsidTr="00950E72" w:rsidR="00752CEE" w:rsidRPr="00752CEE">
        <w:trPr>
          <w:trHeight w:val="204"/>
        </w:trPr>
        <w:tc>
          <w:tcPr>
            <w:tcW w:type="pct" w:w="3478"/>
            <w:gridSpan w:val="2"/>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b/>
                <w:bCs/>
                <w:sz w:val="16"/>
                <w:szCs w:val="16"/>
                <w:lang w:eastAsia="hr-BA" w:val="hr-BA"/>
              </w:rPr>
            </w:pPr>
            <w:r w:rsidRPr="00752CEE">
              <w:rPr>
                <w:rFonts w:cs="Arial" w:eastAsia="Times New Roman" w:hAnsi="Arial" w:ascii="Arial"/>
                <w:b/>
                <w:bCs/>
                <w:sz w:val="16"/>
                <w:szCs w:val="16"/>
                <w:lang w:eastAsia="hr-BA" w:val="hr-BA"/>
              </w:rPr>
              <w:t xml:space="preserve">I VIŠI ISPLATNI RED </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r>
      <w:tr w:rsidTr="00950E72" w:rsidR="00752CEE" w:rsidRPr="00752CEE">
        <w:trPr>
          <w:trHeight w:val="480"/>
        </w:trPr>
        <w:tc>
          <w:tcPr>
            <w:tcW w:type="pct" w:w="273"/>
            <w:tcBorders>
              <w:top w:val="nil"/>
              <w:left w:val="nil"/>
              <w:bottom w:space="0" w:sz="4" w:color="auto" w:val="single"/>
              <w:right w:val="nil"/>
            </w:tcBorders>
            <w:shd w:fill="auto" w:color="auto" w:val="clear"/>
            <w:hideMark/>
          </w:tcPr>
          <w:p w:rsidRDefault="00752CEE" w:rsidP="00752CEE" w:rsidR="00752CEE" w:rsidRPr="00752CEE">
            <w:pPr>
              <w:spacing w:lineRule="auto" w:line="240" w:after="0"/>
              <w:rPr>
                <w:rFonts w:cs="Arial" w:eastAsia="Times New Roman" w:hAnsi="Arial" w:ascii="Arial"/>
                <w:b/>
                <w:bCs/>
                <w:sz w:val="16"/>
                <w:szCs w:val="16"/>
                <w:lang w:eastAsia="hr-BA" w:val="hr-BA"/>
              </w:rPr>
            </w:pPr>
            <w:r w:rsidRPr="00752CEE">
              <w:rPr>
                <w:rFonts w:cs="Arial" w:eastAsia="Times New Roman" w:hAnsi="Arial" w:ascii="Arial"/>
                <w:b/>
                <w:bCs/>
                <w:sz w:val="16"/>
                <w:szCs w:val="16"/>
                <w:lang w:eastAsia="hr-BA" w:val="hr-BA"/>
              </w:rPr>
              <w:t>R.</w:t>
            </w:r>
            <w:r w:rsidRPr="00752CEE">
              <w:rPr>
                <w:rFonts w:cs="Arial" w:eastAsia="Times New Roman" w:hAnsi="Arial" w:ascii="Arial"/>
                <w:b/>
                <w:bCs/>
                <w:sz w:val="16"/>
                <w:szCs w:val="16"/>
                <w:lang w:eastAsia="hr-BA" w:val="hr-BA"/>
              </w:rPr>
              <w:br/>
              <w:t>br.</w:t>
            </w:r>
          </w:p>
        </w:tc>
        <w:tc>
          <w:tcPr>
            <w:tcW w:type="pct" w:w="3205"/>
            <w:tcBorders>
              <w:top w:val="nil"/>
              <w:left w:val="nil"/>
              <w:bottom w:space="0" w:sz="4" w:color="auto" w:val="single"/>
              <w:right w:val="nil"/>
            </w:tcBorders>
            <w:shd w:fill="auto" w:color="auto" w:val="clear"/>
            <w:noWrap/>
            <w:hideMark/>
          </w:tcPr>
          <w:p w:rsidRDefault="00752CEE" w:rsidP="00752CEE" w:rsidR="00752CEE" w:rsidRPr="00752CEE">
            <w:pPr>
              <w:spacing w:lineRule="auto" w:line="240" w:after="0"/>
              <w:rPr>
                <w:rFonts w:cs="Arial" w:eastAsia="Times New Roman" w:hAnsi="Arial" w:ascii="Arial"/>
                <w:b/>
                <w:bCs/>
                <w:sz w:val="16"/>
                <w:szCs w:val="16"/>
                <w:lang w:eastAsia="hr-BA" w:val="hr-BA"/>
              </w:rPr>
            </w:pPr>
            <w:r w:rsidRPr="00752CEE">
              <w:rPr>
                <w:rFonts w:cs="Arial" w:eastAsia="Times New Roman" w:hAnsi="Arial" w:ascii="Arial"/>
                <w:b/>
                <w:bCs/>
                <w:sz w:val="16"/>
                <w:szCs w:val="16"/>
                <w:lang w:eastAsia="hr-BA" w:val="hr-BA"/>
              </w:rPr>
              <w:t>Naziv vjerovnika</w:t>
            </w:r>
          </w:p>
        </w:tc>
        <w:tc>
          <w:tcPr>
            <w:tcW w:type="pct" w:w="601"/>
            <w:tcBorders>
              <w:top w:val="nil"/>
              <w:left w:val="nil"/>
              <w:bottom w:space="0" w:sz="4" w:color="auto" w:val="single"/>
              <w:right w:val="nil"/>
            </w:tcBorders>
            <w:shd w:fill="auto" w:color="auto" w:val="clear"/>
            <w:hideMark/>
          </w:tcPr>
          <w:p w:rsidRDefault="00752CEE" w:rsidP="00752CEE" w:rsidR="00752CEE" w:rsidRPr="00752CEE">
            <w:pPr>
              <w:spacing w:lineRule="auto" w:line="240" w:after="0"/>
              <w:jc w:val="center"/>
              <w:rPr>
                <w:rFonts w:cs="Arial" w:eastAsia="Times New Roman" w:hAnsi="Arial" w:ascii="Arial"/>
                <w:b/>
                <w:bCs/>
                <w:sz w:val="16"/>
                <w:szCs w:val="16"/>
                <w:lang w:eastAsia="hr-BA" w:val="hr-BA"/>
              </w:rPr>
            </w:pPr>
            <w:r w:rsidRPr="00752CEE">
              <w:rPr>
                <w:rFonts w:cs="Arial" w:eastAsia="Times New Roman" w:hAnsi="Arial" w:ascii="Arial"/>
                <w:b/>
                <w:bCs/>
                <w:sz w:val="16"/>
                <w:szCs w:val="16"/>
                <w:lang w:eastAsia="hr-BA" w:val="hr-BA"/>
              </w:rPr>
              <w:t>Utvrđeni</w:t>
            </w:r>
            <w:r w:rsidRPr="00752CEE">
              <w:rPr>
                <w:rFonts w:cs="Arial" w:eastAsia="Times New Roman" w:hAnsi="Arial" w:ascii="Arial"/>
                <w:b/>
                <w:bCs/>
                <w:sz w:val="16"/>
                <w:szCs w:val="16"/>
                <w:lang w:eastAsia="hr-BA" w:val="hr-BA"/>
              </w:rPr>
              <w:br/>
              <w:t>iznos</w:t>
            </w:r>
          </w:p>
        </w:tc>
        <w:tc>
          <w:tcPr>
            <w:tcW w:type="pct" w:w="450"/>
            <w:tcBorders>
              <w:top w:val="nil"/>
              <w:left w:val="nil"/>
              <w:bottom w:space="0" w:sz="4" w:color="auto" w:val="single"/>
              <w:right w:val="nil"/>
            </w:tcBorders>
            <w:shd w:fill="auto" w:color="auto" w:val="clear"/>
            <w:hideMark/>
          </w:tcPr>
          <w:p w:rsidRDefault="00752CEE" w:rsidP="00752CEE" w:rsidR="00752CEE" w:rsidRPr="00752CEE">
            <w:pPr>
              <w:spacing w:lineRule="auto" w:line="240" w:after="0"/>
              <w:jc w:val="center"/>
              <w:rPr>
                <w:rFonts w:cs="Arial" w:eastAsia="Times New Roman" w:hAnsi="Arial" w:ascii="Arial"/>
                <w:b/>
                <w:bCs/>
                <w:sz w:val="16"/>
                <w:szCs w:val="16"/>
                <w:lang w:eastAsia="hr-BA" w:val="hr-BA"/>
              </w:rPr>
            </w:pPr>
            <w:r w:rsidRPr="00752CEE">
              <w:rPr>
                <w:rFonts w:cs="Arial" w:eastAsia="Times New Roman" w:hAnsi="Arial" w:ascii="Arial"/>
                <w:b/>
                <w:bCs/>
                <w:sz w:val="16"/>
                <w:szCs w:val="16"/>
                <w:lang w:eastAsia="hr-BA" w:val="hr-BA"/>
              </w:rPr>
              <w:t>Namireni</w:t>
            </w:r>
            <w:r w:rsidRPr="00752CEE">
              <w:rPr>
                <w:rFonts w:cs="Arial" w:eastAsia="Times New Roman" w:hAnsi="Arial" w:ascii="Arial"/>
                <w:b/>
                <w:bCs/>
                <w:sz w:val="16"/>
                <w:szCs w:val="16"/>
                <w:lang w:eastAsia="hr-BA" w:val="hr-BA"/>
              </w:rPr>
              <w:br/>
              <w:t>iznos</w:t>
            </w:r>
          </w:p>
        </w:tc>
        <w:tc>
          <w:tcPr>
            <w:tcW w:type="pct" w:w="471"/>
            <w:tcBorders>
              <w:top w:val="nil"/>
              <w:left w:val="nil"/>
              <w:bottom w:space="0" w:sz="4" w:color="auto" w:val="single"/>
              <w:right w:val="nil"/>
            </w:tcBorders>
            <w:shd w:fill="auto" w:color="auto" w:val="clear"/>
            <w:hideMark/>
          </w:tcPr>
          <w:p w:rsidRDefault="00752CEE" w:rsidP="00752CEE" w:rsidR="00752CEE" w:rsidRPr="00752CEE">
            <w:pPr>
              <w:spacing w:lineRule="auto" w:line="240" w:after="0"/>
              <w:jc w:val="center"/>
              <w:rPr>
                <w:rFonts w:cs="Arial" w:eastAsia="Times New Roman" w:hAnsi="Arial" w:ascii="Arial"/>
                <w:b/>
                <w:bCs/>
                <w:sz w:val="16"/>
                <w:szCs w:val="16"/>
                <w:lang w:eastAsia="hr-BA" w:val="hr-BA"/>
              </w:rPr>
            </w:pPr>
            <w:r w:rsidRPr="00752CEE">
              <w:rPr>
                <w:rFonts w:cs="Arial" w:eastAsia="Times New Roman" w:hAnsi="Arial" w:ascii="Arial"/>
                <w:b/>
                <w:bCs/>
                <w:sz w:val="16"/>
                <w:szCs w:val="16"/>
                <w:lang w:eastAsia="hr-BA" w:val="hr-BA"/>
              </w:rPr>
              <w:t>Iznos za</w:t>
            </w:r>
            <w:r w:rsidRPr="00752CEE">
              <w:rPr>
                <w:rFonts w:cs="Arial" w:eastAsia="Times New Roman" w:hAnsi="Arial" w:ascii="Arial"/>
                <w:b/>
                <w:bCs/>
                <w:sz w:val="16"/>
                <w:szCs w:val="16"/>
                <w:lang w:eastAsia="hr-BA" w:val="hr-BA"/>
              </w:rPr>
              <w:br/>
              <w:t>namirenje</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01.</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Ahmetagić Mehmed, I Petruševac, V odvojak 176, 10000 Zagreb, OIB: 36405051802</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3.358,39</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458,57</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02.</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Anić Josip, Dubrava 252, 10040 Zagreb, OIB: 20058971919</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12.121,29</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1.655,10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03.</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Atlija Dalibor, Ul.kralja Zvonimira 128, 43290 Grubišno polje, OIB: 69884825723</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8.000,00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1.092,36</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04.</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Bajo Anto, Trg kralja Tomislava 11, 43293 Veliki Zdenci, OIB: 43867347106</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21.396,56</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2.921,60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05.</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Baković Darko, Kolodvorska 34, 44330 Novska , OIB: 70301443449</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7.932,72</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1.083,17</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06.</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Batinić Željko, Stara Subočka 39, 44330 Novska, OIB:  59087029466</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11.357,50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1.550,81</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07.</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Beganović Sulejman, Jagrovac 7, 47220 Vojnić, OIB: 52830981873</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5.865,43</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800,90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08.</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Begić Marinko, Hercegovačka 6, 44330 Novska , OIB: 13748405034</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8.318,30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1.135,82</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09.</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Bešić Ramiz, J. Slavenskog 4, 40322 Orehovica, OIB: 86247457393</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23.558,56</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3.216,81</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10.</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Blažević Mario, IX Trokut 2B, 10020 Zagreb, OIB: 33912880387</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8.895,39</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1.214,62</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Bošnjak Ante, I Ledenički odvojak 8, 10000 Zagreb, OIB: 13130938791</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34.555,43</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4.718,38</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12.</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Brdovčak Miroslav, Trg mladosti 10, 10290 Zaprešić, OIB:2617643028</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31.438,69</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4.292,80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13.</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Brešić Pero, Andrije Žaje 31, 10000 Zagreb, OIB: 50973110464</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21.706,72</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2.963,95</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14.</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Buden Željko, Donja Selnica 18, 49254 Belec, OIB: 44492720857</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8.302,31</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1.133,64</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15.</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Bukal Mario, Zagorska 1, 49282 Konjščina, OIB: 31465844329</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1.090,44</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148,89</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16.</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Car Nikola, Podgorje Bistirčko 15a, 49246 Marija Bistrica, OIB: 58064628438</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1.570,29</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214,42</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17.</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Cindrić Josip, Biokovska 44, 10000 Zagreb, OIB: 35611924968</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9.896,93</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1.351,38</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18.</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Čančar Marijan, Novo Topolje 39, 35214 Donji Andrijevci, OIB: 27733829901</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13.363,04</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1.824,66</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19.</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Ćehić Šemsudin, I Petruševac, V odvojak 176, 10000 Zagreb,OIB: 96605095622</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3.769,53</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514,71</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20.</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Čmarec Vidoslav, Ruševac 81, Kloštar vojakovački, 48260 Križevci, OIB: 38227082124</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10.185,41</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1.390,77</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21.</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Čokonaj Ivan, Stjepana Radića 135, 48331 Gola, OIB: 42021518317</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9.793,19</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1.337,21</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22.</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Dautbegovć Denis, Vlaška 85, 10000 Zagreb, OIB: 78292083689</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7.733,38</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1.055,96</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23.</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Delić Admir, I Petruševac, V odvojak 176, 10000 Zagreb, OIB: 40094270090</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3.919,17</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535,14</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24.</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Dragičević Nikola, Trg S.S.Jankovića 2, 23000 Zadar, OIB: 83586625024</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71.889,15</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9.816,12</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25.</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Dugandžija Pero, Ul. kneza Branimira 25, 44000 Sisak, OIB: 14214240746</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3.893,39</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531,62</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26.</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Elezović Renato, Milke Trnine 3, 10000 Zagreb, OIB: 87247022333</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31.081,92</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4.244,09</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27.</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Fabek Želimir, Tina Ujevića 18, 10430 Samobor, OIB: 89199990490</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6.008,55</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820,44</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28.</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Galić Darko, Av.Marina Držića 77, 10000 Zagreb, OIB: 85424143057</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21.658,77</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2.957,40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29.</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Glavaš Tomislav, Vladimira Nazora 77, 35403 Rešetari, OIB: 47362863992</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10.668,40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1.456,72</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30.</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Golub Anto, Cage 56a, 35430 Okučani, OIB: 21523808276</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8.198,02</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1.119,40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31.</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Gregurić Đuro, Slavka Pavlović 13, 44320 Kutina, OIB: 52987150381</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12.409,18</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1.694,41</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32.</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Gvozden Darko, Knezova Draškovića 20, 23000 Zadar, OIB: 8376933156</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54.069,23</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7.382,89</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33.</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Gvozden Marijo, Strojarska cesta 4, 10000 Zagreb, OIB: 65893226947</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519.199,67</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70.894,22</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34.</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Gvozden Vlatka, Strojarska cesta 4, 10000 Zagreb, OIB: 7318819426</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559.240,50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76.361,61</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35.</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Hasančević Bajruzin, I Petruševac, V odvojak 176, 10000 Zagreb, OIB: 47364373278</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4.003,55</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546,67</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36.</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Hasanović Đemalj, Ivana Gundulića 1, 40315 Mursko Središće, OIB: 54011336472</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11.618,99</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1.586,52</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37.</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Hasanović Mehmed, A.Cesarca 5, Domašinec, 40318 Dekanovec, OIB: 3210691361</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198,45</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27,10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38.</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Havrle Berislav, Radnička cesta 7, 49290 Klanjec, OIB: 29636074172</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4.701,94</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642,03</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39.</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Hmelina Marijan, Kupinec 197, Klinča Selo, 10450 Jastrebarsko, OIB: 55656669502</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3.152,87</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430,51</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40.</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Hrlić Dragutin, A.Mihanovića 32, 10298 Donja Bistra, OIB: 61809636004</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45.582,68</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6.224,10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41.</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Ivanušić Dubravko, Guci Draganički 23, 10450 Jastrebarsko, OIB: 16421589715</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1.221,12</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166,74</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42.</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Ivanušić Josip, Guci Draganički 23, 10450 Jastrebarsko, OIB:6070912800</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1.709,56</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233,43</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43.</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Jantolek Tomislav, Lovrečanska 1, 49247 Zlatar Bistrica, OIB: 58348996075</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2.968,81</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405,38</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44.</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Jerčinović Krešimir, Drivenik 26a, 51260 Crikvenica, OIB: 36764731986</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8.683,07</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1.185,63</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45.</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Jug Slaven, Draganci 48, 48363 Podravske Sesvete, OIB: 35260184610</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11.994,31</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1.637,77</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46.</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Jurak Krešimir, Taborgradska ulica 12, 49216 Desinić, OIB: 95519772916</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15.987,69</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2.183,04</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47.</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Jurenec Damir, Zlogonje 111, Donja Višnjica , 42250 Lepoglava, OIB: 98003100823</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10.712,51</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1.462,74</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48.</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Jurić Ivan, Đuke Čaića 49, Banova Jaruga, 44320 Kutina, OIB: 3228536978</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12.979,47</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1.772,28</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49.</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Jurišić Ivica, Josipa Runjanina 62, 31400 Đakovo, OIB: 63440621448</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14.732,26</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2.011,62</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50.</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Kajba Marijo, Košnička Gora 1/3, 49216 Desinić, OIB: 8903380342</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34.665,43</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4.733,40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51.</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Knjaz Krunoslav, Sljemenska 119, Kraljev Vrh, 10297 Jakovlje, OIB: 41492042440</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25.277,23</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3.451,48</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52.</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Kos Jurica, Dr.Milana Nemčića 6, 47000 Karlovac, OIB: 21049687518</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1.709,56</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233,43</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53.</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Kostanjčar Dražen, Sljemenska 53, Kraljev Vrh, 10297 Jakovlje, OIB:69205491189</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12.165,40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1.661,13</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54.</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Krizmanić Ljiljana, D.Stražimira 12, 10380 Sv.Ivan Zelina, OIB: 98987522981</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130.885,26</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17.871,75</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55.</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Križančić Dražen, Križančići 15, 47201 Draganići, OIB: 1645242237</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1.465,34</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200,09</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56.</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Kulfa Mladen, Završje Loborsko 139, 49253 Lobor, OIB: 36966960055</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1.953,80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266,78</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57.</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Kulji Mladen, Varaždinska 44a, 49250 Zlatar, OIB: 81759053855</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2.945,34</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402,17</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58.</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Lišnić Kajo, Vrpolje 36, 21240 Trilj, OIB: 14623393093</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17.939,10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2.449,50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59.</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Loparić Stanko, Antuna Mihanovića 6, 42250 Lepoglava, OIB: 78126196226</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1.159,30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158,30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lastRenderedPageBreak/>
              <w:t>60.</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Lovreković Tomislav, Kolodvorska 96, 33404 Špišić Bukovica, OIB: 32476926234</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2.397,24</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327,33</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61.</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Lovrenščak Ivan, Laz Bistrički 118, 49246 Marija Bistrica, OIB: 20930962139</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10.916,79</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1.490,64</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62.</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Lugonja Mladen, Poldina 17a, 10000 Zagreb, OIB: 35184242581</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32.078,48</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4.380,16</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63.</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Lukić Marcel, Franja Mraza 15, 48000 Koprivnica, OIB: 96654613719</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1.340,71</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183,07</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64.</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Madunović Lidija, Bolnička cesta 105c, 10000 Zagreb, OIB: 37041956511</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9.464,83</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1.292,38</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65.</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Majetić Šemsudin, I Petruševac, V odvojak 176, 10000 Zagreb, OIB: 91846946891</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3.234,34</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441,63</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66.</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Marčić Goran, Budanica 26, 33410 Suhopolje, OIB: 24083949470</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1.474,09</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201,28</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67.</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Medać Dragutin, Cesta 32, 48260 Križevci, OIB: 31057676160</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2.680,72</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366,04</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68.</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MedaČ Siniša, Poljana Križevačka 111, 48260 Križevci, OIB: 24927447359</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887,65</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121,20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69.</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Meštrić Zdenko, Čađavički put 9, 10000 Zagreb, OIB: 67125562909</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21.165,00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2.889,98</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70.</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Mijatović Dejan, Žankovac 9, 32100 Vinkovci, OIB: 6686457801</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11.820,47</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1.614,03</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71.</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Mijatović Josip, Dr.Luje Naletilića 31a, 10000 Zagreb, OIB: 93876444596</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43.413,55</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5.927,91</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72.</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Moguljak Darko, V Sredice 117, 43000 Bjelovar, OIB: 62868997959</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24.446,99</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3.338,12</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73.</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Mrkoci Zvonko, Dubrava 246, 10040 Zagreb, OIB: 42953371188</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25.090,31</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3.425,96</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74.</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Mujkanović Enes, I Petruševac , V odvojak 176, 10000 Zagreb, OIB: 2107631003</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3.826,52</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522,49</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75.</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Mujkanović Ibrahim, I Petruševac , V odvojak 176, 10000 Zagreb, OIB: 51398877610</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3.291,44</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449,43</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76.</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Mustedanagić Husein, I Petručevac , V odvojak 176, 10000 Zagreb, OIB: 80058559073</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2.607,18</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356,00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77.</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Nikić Mario, Franja Kuhača 8, 31400 Đakovo, OIB: 45659654185</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14.901,42</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2.034,72</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78.</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Novosel Jadranko, Cvjetna 14, 10312 Kloštar Ivanić, OIB: 98541930393</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37.775,90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5.158,12</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79.</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Okić Mehmed, I Petruševac, V odvojak 176, 10000 Zagreb, OIB: 38130174980</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3.337,67</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455,74</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80.</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Oršulić Vjekoslav, Kralja Tomislava 56, 35428 Dragalić, OIB: 94905642183</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1.619,26</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221,10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81.</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Ozimec Nenad, Novo Svibje 64, Rugvica, 10380 Dugo Selo, OIB: 97482764494</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15.125,69</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2.065,34</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82.</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Papež Danijel, Istarska 8, 48000 Koprivnica, OIB: 55952273933</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586,57</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80,09</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83.</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Paro-Jurić Milena, Josipa Broza 30, 49295 Kumrovec, OIB: 90539161219</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42.825,54</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5.847,62</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84.</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Pavić Mirko, Vranjakovečka 1i, 10000 Zagreb, OIB: 25585795344</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2.094,61</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286,01</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85.</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Pavić Željko, Lukovčak 68, 49225 Đurmanec, OIB: 55169608726</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16.279,09</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2.222,83</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86.</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Pavlović Nikola, Marina Tartaglie 18, 10000 Zagreb, OIB: 27521755232</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9.620,99</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1.313,70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87.</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Pavrlišak Juraj, Pila 34, 49244 Stubičke Toplice, OIB: 32458028624</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12.783,33</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1.745,50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88.</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Pejinović Željko, Prisavlje 8, 10000 Zagreab, OIB: 34365055157</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28.031,55</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3.827,57</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89.</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Peran Anita, Čvrsnička 35, 10000 Zagreb, OIB: 92446869663</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48.258,41</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6.589,45</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90.</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Perić Mirko, Selo 46, 23211 Pakoštane, OIB: 30575621367</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254,35</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34,73</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91.</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Perović Zoran, Marjanovićev prilaz 5, 10000 Zagreb, OIB: 30012891003</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52.778,86</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7.206,70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92.</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Pezdevšek Ladislav, Vlašaka 91, 10000 Zagreb, OIB:26484643353</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39.860,97</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5.442,82</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93.</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Pilipović Slavko, Lastovska 12a, 10000 Zagreb, OIB: 83570436956</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11.374,84</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1.553,18</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94.</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Pistor Mario, Kupinec 179, Zdenčina, Klinča Selo, 10450 Jastrebarsko, OIB: 93991327667</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5.970,07</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815,18</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95.</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Pristojec Ivan, Vinogradska 52, 48350 Đurđevac, OIB: 75754136488</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7.991,62</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1.091,22</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96.</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Prpić Mario, Braće Perkovića 119, 44320 Kutina, OIB: 34267970630</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3.847,51</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525,36</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97.</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Pršo Goran, Ravninsko 73, 49225 Đurmanec, OIB: 39091472174</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916,54</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125,15</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98.</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Prtenjak Gordana, Zagorska Sela 21, 49296 Zagorska Sela, OIB: 45715963790</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21.601,18</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2.949,54</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99.</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Rumbak Franjo, Slatina Svedruška 127, 49234 Petrovsko, OIB: 1239592043</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4.720,89</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644,61</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100.</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Šako Husein, Vjekoslava Tkalca 87, 10380 Sv.Ivan Zelina, OIB: 48465633288</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17.746,26</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2.423,17</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101.</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Šaleković Marko, Franja Mraza 25, 48000 Koprivnica,OIB:  68042132723</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1.340,71</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183,07</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102.</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Šakušić Hajrudin, I Petruševac, V odvojak 176, 10000 Zagreb, OIB: 54581939690</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4.011,05</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547,69</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103.</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Šikić Dane, Kalebovac 8, 53231 Plitvička Jezera, OIB: 11146208888</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2.343,25</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319,96</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104.</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Širić Jozo, Dragutina Novaka 28F, 10255 Gornji Stupnik, OIB: 68952129714</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30.756,34</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4.199,64</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105.</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Šišović Jadran, Zatišje 8g, 10000 Zagreb, OIB: 5933033385</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4.260,83</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581,80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106.</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Šumanovac Đuro, Ante Mike Tripala 1, 10000 Zagreb, OIB: 3678 5636971</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6.450,68</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880,81</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107.</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Tuka Ivica, Ul.Dr.F. Tuđmana 30, 21220 Trogir, OIB: 82399823720</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916,54</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125,15</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408"/>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108.</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Vodopijevec Tomica, Vodopijevčeva 11, Paukovec, 10380 Sv.Ivan Zelina,</w:t>
            </w:r>
            <w:r w:rsidRPr="00752CEE">
              <w:rPr>
                <w:rFonts w:cs="Arial" w:eastAsia="Times New Roman" w:hAnsi="Arial" w:ascii="Arial"/>
                <w:sz w:val="16"/>
                <w:szCs w:val="16"/>
                <w:lang w:eastAsia="hr-BA" w:val="hr-BA"/>
              </w:rPr>
              <w:br/>
              <w:t xml:space="preserve"> OIB:56544656160</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23.628,50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3.226,36</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109.</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Vojnović Grozdana, Novaki Petrovinski 8a, 10450 Jastrebarsko, OIB: 65671007741</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6.752,75</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922,06</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110.</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Vuk Nikola-Stjepan, Martinščina 184, 49250 Zlatar, OIB: 76272490475</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19.332,11</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2.639,71</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111.</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Vukelić Tomislav, Rakitovec 45a, 10410 Velika Gorica, OIB: 12280000731</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5.019,38</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685,37</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112.</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Vuković Željko, Bukovačka 74, 44330 Novska, OIB:  70714627833</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8.198,05</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1.119,40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113.</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Zelić Mladen, Zrinsko Frankopanska 78, 21300 Makarska, OIB: 9973057914</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47.518,50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6.488,42</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114.</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Zerem Namik, Ilica 196, 10000 Zagreb, OIB: 53184097396</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24.377,94</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3.328,69</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115.</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Zrnc Josipa, G.Čemehovec 4, 49294 Kraljevec na Sutli, OIB: 24038680781</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281.391,63</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38.422,69</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116.</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Zubčić Darko, Sport.Podvornica 1, 22320 Drniš, OIB: 77715933915</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29.582,45</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4.039,34</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117.</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Zupanc Ankica, Stojdraška 11, 10000 Zagreb, OIB: 95667242418</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90.979,03</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12.422,76</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118.</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Žunić Pero, Novo Svibje 62, 10361 Rugvica, OIB: 28764712458</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6.107,90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834,00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119.</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Županić Marija, Lončarov put 12, 49295 Kumrovec, OIB: 26127856672</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234.514,40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32.021,82</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408"/>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120.</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Agenicija za osiguranje radničkih tražbina, Frankopanska 11,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287.010,73</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39.189,96</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p>
        </w:tc>
      </w:tr>
    </w:tbl>
    <w:p w:rsidRDefault="00752CEE" w:rsidP="00752CEE" w:rsidR="00752CEE" w:rsidRPr="00752CEE">
      <w:pPr>
        <w:spacing w:lineRule="auto" w:line="240" w:after="0"/>
        <w:rPr>
          <w:rFonts w:cs="Times New Roman" w:eastAsia="Times New Roman" w:hAnsi="Times New Roman" w:ascii="Times New Roman"/>
          <w:sz w:val="20"/>
          <w:szCs w:val="20"/>
          <w:lang w:eastAsia="hr-HR" w:val="en-US"/>
        </w:rPr>
      </w:pPr>
      <w:r w:rsidRPr="00752CEE">
        <w:rPr>
          <w:rFonts w:cs="Times New Roman" w:eastAsia="Times New Roman" w:hAnsi="Times New Roman" w:ascii="Times New Roman"/>
          <w:sz w:val="20"/>
          <w:szCs w:val="20"/>
          <w:lang w:eastAsia="hr-HR" w:val="en-US"/>
        </w:rPr>
        <w:br w:type="page"/>
      </w:r>
    </w:p>
    <w:tbl>
      <w:tblPr>
        <w:tblpPr w:tblpY="1" w:horzAnchor="margin" w:vertAnchor="text" w:rightFromText="180" w:leftFromText="180"/>
        <w:tblOverlap w:val="never"/>
        <w:tblW w:type="pct" w:w="5552"/>
        <w:tblLook w:val="04A0" w:noVBand="1" w:noHBand="0" w:lastColumn="0" w:firstColumn="1" w:lastRow="0" w:firstRow="1"/>
      </w:tblPr>
      <w:tblGrid>
        <w:gridCol w:w="563"/>
        <w:gridCol w:w="6610"/>
        <w:gridCol w:w="1240"/>
        <w:gridCol w:w="928"/>
        <w:gridCol w:w="972"/>
      </w:tblGrid>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p>
        </w:tc>
      </w:tr>
      <w:tr w:rsidTr="00950E72" w:rsidR="00752CEE" w:rsidRPr="00752CEE">
        <w:trPr>
          <w:trHeight w:val="204"/>
        </w:trPr>
        <w:tc>
          <w:tcPr>
            <w:tcW w:type="pct" w:w="3478"/>
            <w:gridSpan w:val="2"/>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b/>
                <w:bCs/>
                <w:sz w:val="16"/>
                <w:szCs w:val="16"/>
                <w:lang w:eastAsia="hr-BA" w:val="hr-BA"/>
              </w:rPr>
            </w:pPr>
            <w:r w:rsidRPr="00752CEE">
              <w:rPr>
                <w:rFonts w:cs="Arial" w:eastAsia="Times New Roman" w:hAnsi="Arial" w:ascii="Arial"/>
                <w:b/>
                <w:bCs/>
                <w:sz w:val="16"/>
                <w:szCs w:val="16"/>
                <w:lang w:eastAsia="hr-BA" w:val="hr-BA"/>
              </w:rPr>
              <w:t>II VIŠI ISPLATNI RED</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p>
        </w:tc>
      </w:tr>
      <w:tr w:rsidTr="00950E72" w:rsidR="00752CEE" w:rsidRPr="00752CEE">
        <w:trPr>
          <w:trHeight w:val="552"/>
        </w:trPr>
        <w:tc>
          <w:tcPr>
            <w:tcW w:type="pct" w:w="273"/>
            <w:tcBorders>
              <w:top w:val="nil"/>
              <w:left w:val="nil"/>
              <w:bottom w:space="0" w:sz="4" w:color="auto" w:val="single"/>
              <w:right w:val="nil"/>
            </w:tcBorders>
            <w:shd w:fill="auto" w:color="auto" w:val="clear"/>
            <w:hideMark/>
          </w:tcPr>
          <w:p w:rsidRDefault="00752CEE" w:rsidP="00752CEE" w:rsidR="00752CEE" w:rsidRPr="00752CEE">
            <w:pPr>
              <w:spacing w:lineRule="auto" w:line="240" w:after="0"/>
              <w:rPr>
                <w:rFonts w:cs="Arial" w:eastAsia="Times New Roman" w:hAnsi="Arial" w:ascii="Arial"/>
                <w:b/>
                <w:bCs/>
                <w:sz w:val="16"/>
                <w:szCs w:val="16"/>
                <w:lang w:eastAsia="hr-BA" w:val="hr-BA"/>
              </w:rPr>
            </w:pPr>
            <w:r w:rsidRPr="00752CEE">
              <w:rPr>
                <w:rFonts w:cs="Arial" w:eastAsia="Times New Roman" w:hAnsi="Arial" w:ascii="Arial"/>
                <w:b/>
                <w:bCs/>
                <w:sz w:val="16"/>
                <w:szCs w:val="16"/>
                <w:lang w:eastAsia="hr-BA" w:val="hr-BA"/>
              </w:rPr>
              <w:t>Red.</w:t>
            </w:r>
            <w:r w:rsidRPr="00752CEE">
              <w:rPr>
                <w:rFonts w:cs="Arial" w:eastAsia="Times New Roman" w:hAnsi="Arial" w:ascii="Arial"/>
                <w:b/>
                <w:bCs/>
                <w:sz w:val="16"/>
                <w:szCs w:val="16"/>
                <w:lang w:eastAsia="hr-BA" w:val="hr-BA"/>
              </w:rPr>
              <w:br/>
              <w:t>br.</w:t>
            </w:r>
          </w:p>
        </w:tc>
        <w:tc>
          <w:tcPr>
            <w:tcW w:type="pct" w:w="3205"/>
            <w:tcBorders>
              <w:top w:val="nil"/>
              <w:left w:val="nil"/>
              <w:bottom w:space="0" w:sz="4" w:color="auto" w:val="single"/>
              <w:right w:val="nil"/>
            </w:tcBorders>
            <w:shd w:fill="auto" w:color="auto" w:val="clear"/>
            <w:noWrap/>
            <w:hideMark/>
          </w:tcPr>
          <w:p w:rsidRDefault="00752CEE" w:rsidP="00752CEE" w:rsidR="00752CEE" w:rsidRPr="00752CEE">
            <w:pPr>
              <w:spacing w:lineRule="auto" w:line="240" w:after="0"/>
              <w:rPr>
                <w:rFonts w:cs="Arial" w:eastAsia="Times New Roman" w:hAnsi="Arial" w:ascii="Arial"/>
                <w:b/>
                <w:bCs/>
                <w:sz w:val="16"/>
                <w:szCs w:val="16"/>
                <w:lang w:eastAsia="hr-BA" w:val="hr-BA"/>
              </w:rPr>
            </w:pPr>
            <w:r w:rsidRPr="00752CEE">
              <w:rPr>
                <w:rFonts w:cs="Arial" w:eastAsia="Times New Roman" w:hAnsi="Arial" w:ascii="Arial"/>
                <w:b/>
                <w:bCs/>
                <w:sz w:val="16"/>
                <w:szCs w:val="16"/>
                <w:lang w:eastAsia="hr-BA" w:val="hr-BA"/>
              </w:rPr>
              <w:t>Naziv vjerovnika</w:t>
            </w:r>
          </w:p>
        </w:tc>
        <w:tc>
          <w:tcPr>
            <w:tcW w:type="pct" w:w="601"/>
            <w:tcBorders>
              <w:top w:val="nil"/>
              <w:left w:val="nil"/>
              <w:bottom w:space="0" w:sz="4" w:color="auto" w:val="single"/>
              <w:right w:val="nil"/>
            </w:tcBorders>
            <w:shd w:fill="auto" w:color="auto" w:val="clear"/>
            <w:hideMark/>
          </w:tcPr>
          <w:p w:rsidRDefault="00752CEE" w:rsidP="00752CEE" w:rsidR="00752CEE" w:rsidRPr="00752CEE">
            <w:pPr>
              <w:spacing w:lineRule="auto" w:line="240" w:after="0"/>
              <w:jc w:val="right"/>
              <w:rPr>
                <w:rFonts w:cs="Arial" w:eastAsia="Times New Roman" w:hAnsi="Arial" w:ascii="Arial"/>
                <w:b/>
                <w:bCs/>
                <w:sz w:val="16"/>
                <w:szCs w:val="16"/>
                <w:lang w:eastAsia="hr-BA" w:val="hr-BA"/>
              </w:rPr>
            </w:pPr>
            <w:r w:rsidRPr="00752CEE">
              <w:rPr>
                <w:rFonts w:cs="Arial" w:eastAsia="Times New Roman" w:hAnsi="Arial" w:ascii="Arial"/>
                <w:b/>
                <w:bCs/>
                <w:sz w:val="16"/>
                <w:szCs w:val="16"/>
                <w:lang w:eastAsia="hr-BA" w:val="hr-BA"/>
              </w:rPr>
              <w:t>Utvrđeni</w:t>
            </w:r>
            <w:r w:rsidRPr="00752CEE">
              <w:rPr>
                <w:rFonts w:cs="Arial" w:eastAsia="Times New Roman" w:hAnsi="Arial" w:ascii="Arial"/>
                <w:b/>
                <w:bCs/>
                <w:sz w:val="16"/>
                <w:szCs w:val="16"/>
                <w:lang w:eastAsia="hr-BA" w:val="hr-BA"/>
              </w:rPr>
              <w:br/>
              <w:t>iznos</w:t>
            </w:r>
          </w:p>
        </w:tc>
        <w:tc>
          <w:tcPr>
            <w:tcW w:type="pct" w:w="450"/>
            <w:tcBorders>
              <w:top w:val="nil"/>
              <w:left w:val="nil"/>
              <w:bottom w:space="0" w:sz="4" w:color="auto" w:val="single"/>
              <w:right w:val="nil"/>
            </w:tcBorders>
            <w:shd w:fill="auto" w:color="auto" w:val="clear"/>
            <w:hideMark/>
          </w:tcPr>
          <w:p w:rsidRDefault="00752CEE" w:rsidP="00752CEE" w:rsidR="00752CEE" w:rsidRPr="00752CEE">
            <w:pPr>
              <w:spacing w:lineRule="auto" w:line="240" w:after="0"/>
              <w:jc w:val="right"/>
              <w:rPr>
                <w:rFonts w:cs="Arial" w:eastAsia="Times New Roman" w:hAnsi="Arial" w:ascii="Arial"/>
                <w:b/>
                <w:bCs/>
                <w:sz w:val="16"/>
                <w:szCs w:val="16"/>
                <w:lang w:eastAsia="hr-BA" w:val="hr-BA"/>
              </w:rPr>
            </w:pPr>
            <w:r w:rsidRPr="00752CEE">
              <w:rPr>
                <w:rFonts w:cs="Arial" w:eastAsia="Times New Roman" w:hAnsi="Arial" w:ascii="Arial"/>
                <w:b/>
                <w:bCs/>
                <w:sz w:val="16"/>
                <w:szCs w:val="16"/>
                <w:lang w:eastAsia="hr-BA" w:val="hr-BA"/>
              </w:rPr>
              <w:t>Namireni</w:t>
            </w:r>
            <w:r w:rsidRPr="00752CEE">
              <w:rPr>
                <w:rFonts w:cs="Arial" w:eastAsia="Times New Roman" w:hAnsi="Arial" w:ascii="Arial"/>
                <w:b/>
                <w:bCs/>
                <w:sz w:val="16"/>
                <w:szCs w:val="16"/>
                <w:lang w:eastAsia="hr-BA" w:val="hr-BA"/>
              </w:rPr>
              <w:br/>
              <w:t>iznos</w:t>
            </w:r>
          </w:p>
        </w:tc>
        <w:tc>
          <w:tcPr>
            <w:tcW w:type="pct" w:w="471"/>
            <w:tcBorders>
              <w:top w:val="nil"/>
              <w:left w:val="nil"/>
              <w:bottom w:space="0" w:sz="4" w:color="auto" w:val="single"/>
              <w:right w:val="nil"/>
            </w:tcBorders>
            <w:shd w:fill="auto" w:color="auto" w:val="clear"/>
            <w:hideMark/>
          </w:tcPr>
          <w:p w:rsidRDefault="00752CEE" w:rsidP="00752CEE" w:rsidR="00752CEE" w:rsidRPr="00752CEE">
            <w:pPr>
              <w:spacing w:lineRule="auto" w:line="240" w:after="0"/>
              <w:jc w:val="right"/>
              <w:rPr>
                <w:rFonts w:cs="Arial" w:eastAsia="Times New Roman" w:hAnsi="Arial" w:ascii="Arial"/>
                <w:b/>
                <w:bCs/>
                <w:sz w:val="16"/>
                <w:szCs w:val="16"/>
                <w:lang w:eastAsia="hr-BA" w:val="hr-BA"/>
              </w:rPr>
            </w:pPr>
            <w:r w:rsidRPr="00752CEE">
              <w:rPr>
                <w:rFonts w:cs="Arial" w:eastAsia="Times New Roman" w:hAnsi="Arial" w:ascii="Arial"/>
                <w:b/>
                <w:bCs/>
                <w:sz w:val="16"/>
                <w:szCs w:val="16"/>
                <w:lang w:eastAsia="hr-BA" w:val="hr-BA"/>
              </w:rPr>
              <w:t>Iznos za</w:t>
            </w:r>
            <w:r w:rsidRPr="00752CEE">
              <w:rPr>
                <w:rFonts w:cs="Arial" w:eastAsia="Times New Roman" w:hAnsi="Arial" w:ascii="Arial"/>
                <w:b/>
                <w:bCs/>
                <w:sz w:val="16"/>
                <w:szCs w:val="16"/>
                <w:lang w:eastAsia="hr-BA" w:val="hr-BA"/>
              </w:rPr>
              <w:br/>
              <w:t>namirenje</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01.</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Feros d.o.o., Čulinečka 234, 10040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56.921,90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02.</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Phoenix Gorica d.o.o., Velikogorička 10b, Staro Čiće, 10419 Vukovina</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15.471,55</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03.</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Davorka Zver, vl.obrta Napoli, Ul.grada Wirgesa 6, 10430 Samobor</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46.700,11</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04.</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CSS d.o.o., Savska cesta 144a,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1.378.601,11</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05.</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Wurth-Hrvatska d.o.o., Franje Lučića 32,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43.669,40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408"/>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06.</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Hrvatske vode,Vodnogospod.odjel za Gornju Savu,</w:t>
            </w:r>
            <w:r w:rsidRPr="00752CEE">
              <w:rPr>
                <w:rFonts w:cs="Arial" w:eastAsia="Times New Roman" w:hAnsi="Arial" w:ascii="Arial"/>
                <w:sz w:val="16"/>
                <w:szCs w:val="16"/>
                <w:lang w:eastAsia="hr-BA" w:val="hr-BA"/>
              </w:rPr>
              <w:br/>
              <w:t xml:space="preserve"> Ul.grada Vukovara 220,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38.346,49</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07.</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Grad Zagreb, Trg Stjepana Radića 1,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224,65</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08.</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Marko Skender Autoprijevoznik, Desno Sredičko 63, 47206 Lasinja</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108.627,77</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09.</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Vulkal d.o.o., Samoborska cesta 310,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30.408,50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10.</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VIPnet d.o.o., Customer Accounting , Vrtni put 1,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91.964,53</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Croatia osiguranje d.d.,Filijala Zadar, Obala kneza Branimira 20, 23000 Zadar</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12.546,76</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12.</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HP-Hrvatska pošta d.d., Jurišićeva 13,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6.810,47</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13.</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Hrvatsko društvo skladatelja, Berislavićeva 9,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9.849,33</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14.</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Dor-mat d.o.o., Željeznička 73, 10361 Sesvetski Kraljevec</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14.821,66</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15.</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Pin-hidraulika d.o.o., Sjeverna 41, 10040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20.838,44</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16.</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Lager Bašić d.o.o., I.B.Mažuranić 8, 10090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367.283,58</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17.</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Financijska agencija, Vrtni put 3,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6.551,00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18.</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Vesna Kelečić javni bilježnik, Zagrebačka avenija 104 C/III, 10090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14.547,50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19.</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Eurobeton d.d., Kalmana Mesarića 38, 40323 Prelog</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186.364,59</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20.</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Hrvatske šume d.o.o., Ljudevita Farkaša Vukotinovića 2,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465.262,96</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21.</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HŽ Infrastruktura d.o.o., Mihanovićeva 12,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50.474,88</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22.</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Elektro-voda d.o.o., Peškera 2, 51557 Cres</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134.466,19</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23.</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Hrvatski telekom d.d., Savska 32,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6.608,48</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24.</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HEP-Opskrba d.o.o., Ulica grada Vukovara 37,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3.542,72</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25.</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Istarska kreditna banka Umag d.d., Ernesta Miloša 1, 52470 Umag</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546,00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26.</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Iliric-DSW d.o.o., Put Petrića 45d, 23000 Zadar</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20.992,59</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27.</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Vodovod d.o.o., Špire Brusine 17, 23000 Zadar</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1.365,78</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28.</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Zagorski vodovod d.o.o., Ul.Ksavera Šandora Gjalskog 1, 49210 Zabok</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4.152,52</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29.</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Hidroelektra niskogradnja d.d., Zeleni trg 6a,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551.324,70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408"/>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30.</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 xml:space="preserve">HEP-Operator distribucijskog sustava d.o.o., Elektra Zabok, </w:t>
            </w:r>
            <w:r w:rsidRPr="00752CEE">
              <w:rPr>
                <w:rFonts w:cs="Arial" w:eastAsia="Times New Roman" w:hAnsi="Arial" w:ascii="Arial"/>
                <w:sz w:val="16"/>
                <w:szCs w:val="16"/>
                <w:lang w:eastAsia="hr-BA" w:val="hr-BA"/>
              </w:rPr>
              <w:br/>
              <w:t>Matije Gupca 57, 49210 Zabok</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1.433,68</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31.</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H-Abduco d.o.o., Slavonska avenija 6a,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23.935.806,47</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32.</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Hypo Alpe Adria Bank d.d., Slavonska avenija 6,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151.314,15</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33.</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Severitas d.o.o, Polljana Zdenka Mikine 46,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5.512.706,85</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34.</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Stjepan Gereci, Laz Stubički 41, 49246 Marija Bistrica</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21.582,76</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35.</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Geotehnika-konsolidacija d.o.o., Siget 16/B,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604.545,69</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36.</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Albatros media d.o.o., Ilica 92,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158.863,11</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37.</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Anima olea d.o.o., Nikole Hećimovića 24,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1.357,00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38.</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Hrvatska radiotelevizija, Prisavlje 3,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14.480,61</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39.</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 xml:space="preserve">Kem-bis d.o.o., Ivana Mažuranića 3, 10362 Kašina </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42.675,00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40.</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Željko Turčić vl. Cat-Merc, Ljudevita Gaja 14, 49218 Pregrada</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83.322,00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41.</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Croatia osiguranje d.d., Filijala Split, Hrvatske bratske zajednice 8, 21000 Split</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2.166.309,22</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42.</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Croatia osiguranje d.d., Filijala Zabok, Matije Gupca 13, 49210 Zabok</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316.100,24</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43.</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Sljeme ugostiteljstvo d.o.o., Dobra 1, 51326 Vrbovsko</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111.697,17</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408"/>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44.</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 xml:space="preserve">Hrvatske vode, Vodnogospodarski odjel za Gornju Savu, </w:t>
            </w:r>
            <w:r w:rsidRPr="00752CEE">
              <w:rPr>
                <w:rFonts w:cs="Arial" w:eastAsia="Times New Roman" w:hAnsi="Arial" w:ascii="Arial"/>
                <w:sz w:val="16"/>
                <w:szCs w:val="16"/>
                <w:lang w:eastAsia="hr-BA" w:val="hr-BA"/>
              </w:rPr>
              <w:br/>
              <w:t>Ul. grada Vukovara 220,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235,37</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45.</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Ćosić Marija , Zagrebačka avenija 104,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80.657,63</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408"/>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46.</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 xml:space="preserve">Hrvatski zavod za zdravstveno osiguranje,Regionalni ured Zagreb, </w:t>
            </w:r>
            <w:r w:rsidRPr="00752CEE">
              <w:rPr>
                <w:rFonts w:cs="Arial" w:eastAsia="Times New Roman" w:hAnsi="Arial" w:ascii="Arial"/>
                <w:sz w:val="16"/>
                <w:szCs w:val="16"/>
                <w:lang w:eastAsia="hr-BA" w:val="hr-BA"/>
              </w:rPr>
              <w:br/>
              <w:t>Područna služba Krapina, , Ivana Rendića 7,49000 Krapina</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43.957,78</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47.</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Suvlasnici zgrade Ležaj trade d.o.o. i dr. , Strojarska cesta 4,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2.518,27</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48.</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Bajkmont d.o.o., Svetomatejska 12, 10360 Sesvete</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31.846,57</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49.</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Hypo-Leasing Kroatien d.o.o. , Koranska 16,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1.157.348,32</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50.</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Republika Hrvatska</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27.338,90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51.</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IGM Moslavinakamen d.o.o., Mikleuška, Garićka 74, 44320 Kutina</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43.300,27</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52.</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Banka kovanica d.d., P.Preradovića 29, 42000 Varaždin</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11.120.257,03</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53.</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RH Ministarstvo financija, Porezna uprava, Područni ured Krapina</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26.017.764,06</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54.</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Osijek-Koteks d.d. , Šamačka 11, 31000 Osijek</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8.599.733,63</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55.</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ACO građevinski elementi d.o.o., Radnička cesta 177,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193.957,01</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56.</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Kamenolomi Krašić d.o.o., Medven Draga 18, 10454 Krašić</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486.243,56</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57.</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Hypo-Leasing Steiermark d.o.o., Garićgradska 18,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2.467.787,19</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58.</w:t>
            </w: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Hrvatski ured za osiguranje, Martićeva 73,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185.982,61</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420"/>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lastRenderedPageBreak/>
              <w:t>59.</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 xml:space="preserve">Građevinsko  društvo Granit a.d. Makedonija,Podružnica Zagreb,i.G.Kovačića 13, </w:t>
            </w:r>
            <w:r w:rsidRPr="00752CEE">
              <w:rPr>
                <w:rFonts w:cs="Arial" w:eastAsia="Times New Roman" w:hAnsi="Arial" w:ascii="Arial"/>
                <w:sz w:val="16"/>
                <w:szCs w:val="16"/>
                <w:lang w:eastAsia="hr-BA" w:val="hr-BA"/>
              </w:rPr>
              <w:br/>
              <w:t xml:space="preserve">10410 V.Gorica </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70.797,00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192"/>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60.</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Odlagalište sirovina d.o.o.,Ive Dulčića 6, 23000 Zadar</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268.876,41</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61.</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Čukelj d.o.o. ,Zagrebačka 79, 10410 Velika Gorica</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22.722,15</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62.</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HEP-Operator distribucijskog sustava d.o.o., Ul. grada Vukovara 37,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273,74</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63.</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Anamarija Vrančić, vlasnik Ugostiteljskog obrta Palma, Ventilatorska 2, 10250 Lučko</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4.488,37</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64.</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Darko Orešić vl. Autoprijevoz i niskogradnja "Orešić", Repićevo selo 15, 49245 G.Stubica</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27.590,51</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65.</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Marijan Matak vl. Pizzeria "No 1", L. Naletelića 7,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7.204,14</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40"/>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66.</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Barak gradnja d.o.o., Liševo 6, 10362 Kašina</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21.064,13</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67.</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VG Vodoopskrba d.o.o. , Kolodvorska 64, 10410 Velika Gorica</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5.546,07</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76"/>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68.</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Grad Zada, Narodni trg 12, 23000 Zadar</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13.100,43</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76"/>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69.</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Damir Šarić, Put Petrića 10a, 23000 Zadar</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42.984,52</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76"/>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70.</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Hrvatske ceste d.o.o, Vončinina 3, 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38.593,56</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76"/>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71.</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Zelenjak plin d.o.o., Trg A. Mihanovića 1, Klanjec</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21.168,29</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72.</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Beton-Lučko d.o.o., Puškarićeva 1/b,10250 Lučko</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259.596,06</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88"/>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73.</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Zagreb-Beton d.o.o., Strojarska 5,10361 Sesvetski Kraljevec</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323.366,07</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88"/>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74.</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Zagreb-Beton projekt d.o.o., Strojarska 5,10361 Sesvetski Kraljevec</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256.083,84</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76"/>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75.</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Auto Heras d.o.o., Dinjevački put 6a,10040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25.690,10</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44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76.</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Hrvatske šume d.o.o.,Ljudevita Farkaša Vukotinovića 2,10000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33.267,77</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76"/>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77.</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J.J. gradnja d.o.o, .Harambašićeva 4,10000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246.144,58</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76"/>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78.</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Bruno Borić, vl. obrta Autoprijevoznik Bruno,Cesarićeva 1,10360 Sesvete</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43.806,43</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88"/>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79.</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Gamont d.o.o. u stečaju,Primorska 8,10000 Zagreb</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644.967,33</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432"/>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80.</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HEP-Operator distribucijskog sustava d.o.o., Elaktra Zadar, Kralja Dmitra Zvonimira 8, 23000 Zadar</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247.989,21</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300"/>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81.</w:t>
            </w:r>
          </w:p>
        </w:tc>
        <w:tc>
          <w:tcPr>
            <w:tcW w:type="pct" w:w="3205"/>
            <w:tcBorders>
              <w:top w:val="nil"/>
              <w:left w:val="nil"/>
              <w:bottom w:val="nil"/>
              <w:right w:val="nil"/>
            </w:tcBorders>
            <w:shd w:fill="auto" w:color="auto" w:val="clear"/>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Ivica Uremović, vl. građevinskog obrta Beli, I.Pergošića 19, 44317 Popovača</w:t>
            </w: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251.939,38</w:t>
            </w: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jc w:val="right"/>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0,00</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r>
      <w:tr w:rsidTr="00950E72" w:rsidR="00752CEE" w:rsidRPr="00752CEE">
        <w:trPr>
          <w:trHeight w:val="204"/>
        </w:trPr>
        <w:tc>
          <w:tcPr>
            <w:tcW w:type="pct" w:w="5000"/>
            <w:gridSpan w:val="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b/>
                <w:bCs/>
                <w:sz w:val="16"/>
                <w:szCs w:val="16"/>
                <w:lang w:eastAsia="hr-BA" w:val="hr-BA"/>
              </w:rPr>
              <w:t>Napomena</w:t>
            </w:r>
            <w:r w:rsidRPr="00752CEE">
              <w:rPr>
                <w:rFonts w:cs="Arial" w:eastAsia="Times New Roman" w:hAnsi="Arial" w:ascii="Arial"/>
                <w:sz w:val="16"/>
                <w:szCs w:val="16"/>
                <w:lang w:eastAsia="hr-BA" w:val="hr-BA"/>
              </w:rPr>
              <w:t xml:space="preserve">: Utvrđene tražbine iz čl. 84. SZ-a usklađene sa namirenjem po razlučnom pravu  sukladno rješenjima  o namirenju i podnesenim </w:t>
            </w:r>
          </w:p>
        </w:tc>
      </w:tr>
      <w:tr w:rsidTr="00950E72" w:rsidR="00752CEE" w:rsidRPr="00752CEE">
        <w:trPr>
          <w:trHeight w:val="204"/>
        </w:trPr>
        <w:tc>
          <w:tcPr>
            <w:tcW w:type="pct" w:w="5000"/>
            <w:gridSpan w:val="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r w:rsidRPr="00752CEE">
              <w:rPr>
                <w:rFonts w:cs="Arial" w:eastAsia="Times New Roman" w:hAnsi="Arial" w:ascii="Arial"/>
                <w:sz w:val="16"/>
                <w:szCs w:val="16"/>
                <w:lang w:eastAsia="hr-BA" w:val="hr-BA"/>
              </w:rPr>
              <w:t xml:space="preserve">                   obračunima na ročištu.</w:t>
            </w:r>
          </w:p>
        </w:tc>
      </w:tr>
      <w:tr w:rsidTr="00950E72" w:rsidR="00752CEE" w:rsidRPr="00752CEE">
        <w:trPr>
          <w:trHeight w:val="204"/>
        </w:trPr>
        <w:tc>
          <w:tcPr>
            <w:tcW w:type="pct" w:w="273"/>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3205"/>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601"/>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450"/>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c>
          <w:tcPr>
            <w:tcW w:type="pct" w:w="471"/>
            <w:tcBorders>
              <w:top w:val="nil"/>
              <w:left w:val="nil"/>
              <w:bottom w:val="nil"/>
              <w:right w:val="nil"/>
            </w:tcBorders>
            <w:shd w:fill="auto" w:color="auto" w:val="clear"/>
            <w:noWrap/>
            <w:hideMark/>
          </w:tcPr>
          <w:p w:rsidRDefault="00752CEE" w:rsidP="00752CEE" w:rsidR="00752CEE" w:rsidRPr="00752CEE">
            <w:pPr>
              <w:spacing w:lineRule="auto" w:line="240" w:after="0"/>
              <w:rPr>
                <w:rFonts w:cs="Arial" w:eastAsia="Times New Roman" w:hAnsi="Arial" w:ascii="Arial"/>
                <w:sz w:val="16"/>
                <w:szCs w:val="16"/>
                <w:lang w:eastAsia="hr-BA" w:val="hr-BA"/>
              </w:rPr>
            </w:pPr>
          </w:p>
        </w:tc>
      </w:tr>
    </w:tbl>
    <w:p w:rsidRDefault="00752CEE" w:rsidP="00752CEE" w:rsidR="00752CEE" w:rsidRPr="00752CEE">
      <w:pPr>
        <w:spacing w:lineRule="auto" w:line="240" w:after="0"/>
        <w:ind w:left="36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ind w:left="36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ind w:left="36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 Parnice na utvrđenje tražbina koje po okončanju mogu uticati na izmjenu diobenog popisa:</w:t>
      </w:r>
    </w:p>
    <w:p w:rsidRDefault="00752CEE" w:rsidP="00752CEE" w:rsidR="00752CEE" w:rsidRPr="00752CEE">
      <w:pPr>
        <w:spacing w:lineRule="auto" w:line="240" w:after="0"/>
        <w:ind w:left="360"/>
        <w:jc w:val="both"/>
        <w:rPr>
          <w:rFonts w:cs="Times New Roman" w:eastAsia="Times New Roman" w:hAnsi="Times New Roman" w:ascii="Times New Roman"/>
          <w:sz w:val="24"/>
          <w:szCs w:val="20"/>
          <w:lang w:eastAsia="hr-HR"/>
        </w:rPr>
      </w:pPr>
    </w:p>
    <w:tbl>
      <w:tblPr>
        <w:tblW w:type="auto" w:w="0"/>
        <w:tblInd w:type="dxa" w:w="10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457"/>
        <w:gridCol w:w="1384"/>
        <w:gridCol w:w="1476"/>
        <w:gridCol w:w="1253"/>
      </w:tblGrid>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Tužitelj /Tuženik</w:t>
            </w:r>
          </w:p>
        </w:tc>
        <w:tc>
          <w:tcPr>
            <w:tcW w:type="dxa" w:w="1384"/>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osnov</w:t>
            </w:r>
          </w:p>
        </w:tc>
        <w:tc>
          <w:tcPr>
            <w:tcW w:type="dxa" w:w="1476"/>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v.p.s.   kn</w:t>
            </w:r>
          </w:p>
        </w:tc>
        <w:tc>
          <w:tcPr>
            <w:tcW w:type="dxa" w:w="1253"/>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24"/>
                <w:szCs w:val="20"/>
              </w:rPr>
            </w:pPr>
            <w:r w:rsidRPr="00752CEE">
              <w:rPr>
                <w:rFonts w:cs="Times New Roman" w:eastAsia="Times New Roman" w:hAnsi="Times New Roman" w:ascii="Times New Roman"/>
                <w:sz w:val="24"/>
                <w:szCs w:val="20"/>
              </w:rPr>
              <w:t>Predmet na TSZ</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MGT / Terra jaska d.o.o.</w:t>
            </w:r>
          </w:p>
        </w:tc>
        <w:tc>
          <w:tcPr>
            <w:tcW w:type="dxa" w:w="1384"/>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utvrđenja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xml:space="preserve">    13.263,80</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P-3025/13</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MGT / Elektrovoda d.o.o.</w:t>
            </w:r>
          </w:p>
        </w:tc>
        <w:tc>
          <w:tcPr>
            <w:tcW w:type="dxa" w:w="1384"/>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utvrđenja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xml:space="preserve">         885,43</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Odlagalište sirovina d.o.o.</w:t>
            </w:r>
          </w:p>
        </w:tc>
        <w:tc>
          <w:tcPr>
            <w:tcW w:type="dxa" w:w="1384"/>
            <w:tcBorders>
              <w:top w:space="0" w:sz="4" w:color="auto" w:val="single"/>
              <w:left w:space="0" w:sz="4" w:color="auto" w:val="single"/>
              <w:bottom w:space="0" w:sz="4" w:color="auto" w:val="single"/>
              <w:right w:space="0" w:sz="4" w:color="auto" w:val="single"/>
            </w:tcBorders>
            <w:hideMark/>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utvrđenja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xml:space="preserve">    34.431,88</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P-398/15</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Cestar d.o.o./MGT</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utvrđenja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 xml:space="preserve">   617.038,08</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P-1240/14</w:t>
            </w:r>
          </w:p>
        </w:tc>
      </w:tr>
      <w:tr w:rsidTr="00950E72" w:rsidR="00752CEE" w:rsidRPr="00752CEE">
        <w:trPr>
          <w:trHeight w:val="108"/>
        </w:trPr>
        <w:tc>
          <w:tcPr>
            <w:tcW w:type="dxa" w:w="2457"/>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20"/>
                <w:szCs w:val="20"/>
              </w:rPr>
            </w:pPr>
            <w:r w:rsidRPr="00752CEE">
              <w:rPr>
                <w:rFonts w:cs="Times New Roman" w:eastAsia="Times New Roman" w:hAnsi="Times New Roman" w:ascii="Times New Roman"/>
                <w:sz w:val="20"/>
                <w:szCs w:val="20"/>
              </w:rPr>
              <w:t>Croatia osiguranje d.d./ MGT</w:t>
            </w:r>
          </w:p>
        </w:tc>
        <w:tc>
          <w:tcPr>
            <w:tcW w:type="dxa" w:w="1384"/>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Radi utvrđenja</w:t>
            </w:r>
          </w:p>
        </w:tc>
        <w:tc>
          <w:tcPr>
            <w:tcW w:type="dxa" w:w="1476"/>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1.117.946,25</w:t>
            </w:r>
          </w:p>
        </w:tc>
        <w:tc>
          <w:tcPr>
            <w:tcW w:type="dxa" w:w="1253"/>
            <w:tcBorders>
              <w:top w:space="0" w:sz="4" w:color="auto" w:val="single"/>
              <w:left w:space="0" w:sz="4" w:color="auto" w:val="single"/>
              <w:bottom w:space="0" w:sz="4" w:color="auto" w:val="single"/>
              <w:right w:space="0" w:sz="4" w:color="auto" w:val="single"/>
            </w:tcBorders>
          </w:tcPr>
          <w:p w:rsidRDefault="00752CEE" w:rsidP="00752CEE" w:rsidR="00752CEE" w:rsidRPr="00752CEE">
            <w:pPr>
              <w:spacing w:after="0"/>
              <w:jc w:val="both"/>
              <w:rPr>
                <w:rFonts w:cs="Times New Roman" w:eastAsia="Times New Roman" w:hAnsi="Times New Roman" w:ascii="Times New Roman"/>
                <w:sz w:val="16"/>
                <w:szCs w:val="16"/>
              </w:rPr>
            </w:pPr>
            <w:r w:rsidRPr="00752CEE">
              <w:rPr>
                <w:rFonts w:cs="Times New Roman" w:eastAsia="Times New Roman" w:hAnsi="Times New Roman" w:ascii="Times New Roman"/>
                <w:sz w:val="16"/>
                <w:szCs w:val="16"/>
              </w:rPr>
              <w:t>P-3002/13</w:t>
            </w:r>
          </w:p>
        </w:tc>
      </w:tr>
    </w:tbl>
    <w:p w:rsidRDefault="00752CEE" w:rsidP="00752CEE" w:rsidR="00752CEE" w:rsidRPr="00752CEE">
      <w:pPr>
        <w:spacing w:lineRule="auto" w:line="240" w:after="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 xml:space="preserve">                      </w:t>
      </w:r>
    </w:p>
    <w:p w:rsidRDefault="00752CEE" w:rsidP="00752CEE" w:rsidR="00752CEE" w:rsidRPr="00752CEE">
      <w:pPr>
        <w:spacing w:lineRule="auto" w:line="240" w:after="0"/>
        <w:ind w:left="36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ind w:left="36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 xml:space="preserve">                                                                                        Stečajni upravitelj:</w:t>
      </w:r>
    </w:p>
    <w:p w:rsidRDefault="00752CEE" w:rsidP="00752CEE" w:rsidR="00752CEE" w:rsidRPr="00752CEE">
      <w:pPr>
        <w:spacing w:lineRule="auto" w:line="240" w:after="0"/>
        <w:ind w:left="360"/>
        <w:jc w:val="both"/>
        <w:rPr>
          <w:rFonts w:cs="Times New Roman" w:eastAsia="Times New Roman" w:hAnsi="Times New Roman" w:ascii="Times New Roman"/>
          <w:sz w:val="24"/>
          <w:szCs w:val="20"/>
          <w:lang w:eastAsia="hr-HR"/>
        </w:rPr>
      </w:pPr>
    </w:p>
    <w:p w:rsidRDefault="00752CEE" w:rsidP="00752CEE" w:rsidR="00752CEE" w:rsidRPr="00752CEE">
      <w:pPr>
        <w:spacing w:lineRule="auto" w:line="240" w:after="0"/>
        <w:ind w:left="360"/>
        <w:jc w:val="both"/>
        <w:rPr>
          <w:rFonts w:cs="Times New Roman" w:eastAsia="Times New Roman" w:hAnsi="Times New Roman" w:ascii="Times New Roman"/>
          <w:sz w:val="24"/>
          <w:szCs w:val="20"/>
          <w:lang w:eastAsia="hr-HR"/>
        </w:rPr>
      </w:pPr>
      <w:r w:rsidRPr="00752CEE">
        <w:rPr>
          <w:rFonts w:cs="Times New Roman" w:eastAsia="Times New Roman" w:hAnsi="Times New Roman" w:ascii="Times New Roman"/>
          <w:sz w:val="24"/>
          <w:szCs w:val="20"/>
          <w:lang w:eastAsia="hr-HR"/>
        </w:rPr>
        <w:t xml:space="preserve">                                                                                        Zdravko Mitak dipl. oec.</w:t>
      </w:r>
    </w:p>
    <w:p w:rsidRDefault="00562839" w:rsidR="00562839"/>
    <w:sectPr w:rsidR="005628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422871"/>
    <w:multiLevelType w:val="hybridMultilevel"/>
    <w:tmpl w:val="66B48C30"/>
    <w:lvl w:tplc="041A000F" w:ilvl="0">
      <w:start w:val="1"/>
      <w:numFmt w:val="decimal"/>
      <w:lvlText w:val="%1."/>
      <w:lvlJc w:val="left"/>
      <w:pPr>
        <w:ind w:hanging="360" w:left="64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7F985116"/>
    <w:multiLevelType w:val="singleLevel"/>
    <w:tmpl w:val="E86289A2"/>
    <w:lvl w:ilvl="0">
      <w:start w:val="1"/>
      <w:numFmt w:val="upperRoman"/>
      <w:pStyle w:val="Naslov2"/>
      <w:lvlText w:val="%1."/>
      <w:lvlJc w:val="left"/>
      <w:pPr>
        <w:tabs>
          <w:tab w:pos="567" w:val="num"/>
        </w:tabs>
        <w:ind w:hanging="567" w:left="567"/>
      </w:pPr>
    </w:lvl>
  </w:abstractNum>
  <w:num w:numId="1">
    <w:abstractNumId w:val="1"/>
    <w:lvlOverride w:ilvl="0">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2CEE"/>
    <w:rsid w:val="004135FD"/>
    <w:rsid w:val="00562839"/>
    <w:rsid w:val="00752CEE"/>
    <w:rsid w:val="00821F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2" w:type="paragraph">
    <w:name w:val="heading 2"/>
    <w:basedOn w:val="Normal"/>
    <w:next w:val="Normal"/>
    <w:link w:val="Naslov2Char"/>
    <w:semiHidden/>
    <w:unhideWhenUsed/>
    <w:qFormat/>
    <w:rsid w:val="00752CEE"/>
    <w:pPr>
      <w:keepNext/>
      <w:numPr>
        <w:numId w:val="1"/>
      </w:numPr>
      <w:spacing w:lineRule="auto" w:line="240" w:after="0"/>
      <w:outlineLvl w:val="1"/>
    </w:pPr>
    <w:rPr>
      <w:rFonts w:cs="Times New Roman" w:eastAsia="Times New Roman" w:hAnsi="Times New Roman" w:ascii="Times New Roman"/>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semiHidden/>
    <w:rsid w:val="00752CEE"/>
    <w:rPr>
      <w:rFonts w:cs="Times New Roman" w:eastAsia="Times New Roman" w:hAnsi="Times New Roman" w:ascii="Times New Roman"/>
      <w:sz w:val="24"/>
      <w:szCs w:val="20"/>
      <w:lang w:eastAsia="hr-HR"/>
    </w:rPr>
  </w:style>
  <w:style w:customStyle="true" w:styleId="Bezpopisa1" w:type="numbering">
    <w:name w:val="Bez popisa1"/>
    <w:next w:val="Bezpopisa"/>
    <w:uiPriority w:val="99"/>
    <w:semiHidden/>
    <w:unhideWhenUsed/>
    <w:rsid w:val="00752CEE"/>
  </w:style>
  <w:style w:styleId="Tijeloteksta" w:type="paragraph">
    <w:name w:val="Body Text"/>
    <w:basedOn w:val="Normal"/>
    <w:link w:val="TijelotekstaChar"/>
    <w:unhideWhenUsed/>
    <w:rsid w:val="00752CEE"/>
    <w:pPr>
      <w:spacing w:lineRule="auto" w:line="240" w:after="0"/>
    </w:pPr>
    <w:rPr>
      <w:rFonts w:cs="Times New Roman" w:eastAsia="Times New Roman" w:hAnsi="Times New Roman" w:ascii="Times New Roman"/>
      <w:sz w:val="24"/>
      <w:szCs w:val="20"/>
      <w:lang w:eastAsia="hr-HR"/>
    </w:rPr>
  </w:style>
  <w:style w:customStyle="true" w:styleId="TijelotekstaChar" w:type="character">
    <w:name w:val="Tijelo teksta Char"/>
    <w:basedOn w:val="Zadanifontodlomka"/>
    <w:link w:val="Tijeloteksta"/>
    <w:rsid w:val="00752CEE"/>
    <w:rPr>
      <w:rFonts w:cs="Times New Roman" w:eastAsia="Times New Roman" w:hAnsi="Times New Roman" w:ascii="Times New Roman"/>
      <w:sz w:val="24"/>
      <w:szCs w:val="20"/>
      <w:lang w:eastAsia="hr-HR"/>
    </w:rPr>
  </w:style>
  <w:style w:styleId="Reetkatablice" w:type="table">
    <w:name w:val="Table Grid"/>
    <w:basedOn w:val="Obinatablica"/>
    <w:uiPriority w:val="59"/>
    <w:rsid w:val="00752CEE"/>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752CEE"/>
    <w:pPr>
      <w:spacing w:lineRule="auto" w:line="240" w:after="0"/>
    </w:pPr>
    <w:rPr>
      <w:rFonts w:cs="Tahoma" w:eastAsia="Times New Roman" w:hAnsi="Tahoma" w:ascii="Tahoma"/>
      <w:sz w:val="16"/>
      <w:szCs w:val="16"/>
      <w:lang w:eastAsia="hr-HR" w:val="en-US"/>
    </w:rPr>
  </w:style>
  <w:style w:customStyle="true" w:styleId="TekstbaloniaChar" w:type="character">
    <w:name w:val="Tekst balončića Char"/>
    <w:basedOn w:val="Zadanifontodlomka"/>
    <w:link w:val="Tekstbalonia"/>
    <w:uiPriority w:val="99"/>
    <w:semiHidden/>
    <w:rsid w:val="00752CEE"/>
    <w:rPr>
      <w:rFonts w:cs="Tahoma" w:eastAsia="Times New Roman" w:hAnsi="Tahoma" w:ascii="Tahoma"/>
      <w:sz w:val="16"/>
      <w:szCs w:val="16"/>
      <w:lang w:eastAsia="hr-HR" w:val="en-US"/>
    </w:rPr>
  </w:style>
  <w:style w:styleId="Hiperveza" w:type="character">
    <w:name w:val="Hyperlink"/>
    <w:basedOn w:val="Zadanifontodlomka"/>
    <w:uiPriority w:val="99"/>
    <w:semiHidden/>
    <w:unhideWhenUsed/>
    <w:rsid w:val="00752CEE"/>
    <w:rPr>
      <w:color w:val="0000FF"/>
      <w:u w:val="single"/>
    </w:rPr>
  </w:style>
  <w:style w:styleId="SlijeenaHiperveza" w:type="character">
    <w:name w:val="FollowedHyperlink"/>
    <w:basedOn w:val="Zadanifontodlomka"/>
    <w:uiPriority w:val="99"/>
    <w:semiHidden/>
    <w:unhideWhenUsed/>
    <w:rsid w:val="00752CEE"/>
    <w:rPr>
      <w:color w:val="800080"/>
      <w:u w:val="single"/>
    </w:rPr>
  </w:style>
  <w:style w:customStyle="true" w:styleId="font5" w:type="paragraph">
    <w:name w:val="font5"/>
    <w:basedOn w:val="Normal"/>
    <w:rsid w:val="00752CEE"/>
    <w:pPr>
      <w:spacing w:lineRule="auto" w:line="240" w:afterAutospacing="true" w:after="100" w:beforeAutospacing="true" w:before="100"/>
    </w:pPr>
    <w:rPr>
      <w:rFonts w:cs="Arial" w:eastAsia="Times New Roman" w:hAnsi="Arial" w:ascii="Arial"/>
      <w:b/>
      <w:bCs/>
      <w:sz w:val="16"/>
      <w:szCs w:val="16"/>
      <w:lang w:eastAsia="hr-BA" w:val="hr-BA"/>
    </w:rPr>
  </w:style>
  <w:style w:customStyle="true" w:styleId="font6" w:type="paragraph">
    <w:name w:val="font6"/>
    <w:basedOn w:val="Normal"/>
    <w:rsid w:val="00752CEE"/>
    <w:pPr>
      <w:spacing w:lineRule="auto" w:line="240" w:afterAutospacing="true" w:after="100" w:beforeAutospacing="true" w:before="100"/>
    </w:pPr>
    <w:rPr>
      <w:rFonts w:cs="Arial" w:eastAsia="Times New Roman" w:hAnsi="Arial" w:ascii="Arial"/>
      <w:sz w:val="16"/>
      <w:szCs w:val="16"/>
      <w:lang w:eastAsia="hr-BA" w:val="hr-BA"/>
    </w:rPr>
  </w:style>
  <w:style w:customStyle="true" w:styleId="xl63" w:type="paragraph">
    <w:name w:val="xl63"/>
    <w:basedOn w:val="Normal"/>
    <w:rsid w:val="00752CEE"/>
    <w:pPr>
      <w:spacing w:lineRule="auto" w:line="240" w:afterAutospacing="true" w:after="100" w:beforeAutospacing="true" w:before="100"/>
    </w:pPr>
    <w:rPr>
      <w:rFonts w:cs="Arial" w:eastAsia="Times New Roman" w:hAnsi="Arial" w:ascii="Arial"/>
      <w:b/>
      <w:bCs/>
      <w:sz w:val="16"/>
      <w:szCs w:val="16"/>
      <w:lang w:eastAsia="hr-BA" w:val="hr-BA"/>
    </w:rPr>
  </w:style>
  <w:style w:customStyle="true" w:styleId="xl64" w:type="paragraph">
    <w:name w:val="xl64"/>
    <w:basedOn w:val="Normal"/>
    <w:rsid w:val="00752CEE"/>
    <w:pPr>
      <w:spacing w:lineRule="auto" w:line="240" w:afterAutospacing="true" w:after="100" w:beforeAutospacing="true" w:before="100"/>
    </w:pPr>
    <w:rPr>
      <w:rFonts w:cs="Arial" w:eastAsia="Times New Roman" w:hAnsi="Arial" w:ascii="Arial"/>
      <w:sz w:val="16"/>
      <w:szCs w:val="16"/>
      <w:lang w:eastAsia="hr-BA" w:val="hr-BA"/>
    </w:rPr>
  </w:style>
  <w:style w:customStyle="true" w:styleId="xl65" w:type="paragraph">
    <w:name w:val="xl65"/>
    <w:basedOn w:val="Normal"/>
    <w:rsid w:val="00752CEE"/>
    <w:pPr>
      <w:spacing w:lineRule="auto" w:line="240" w:afterAutospacing="true" w:after="100" w:beforeAutospacing="true" w:before="100"/>
    </w:pPr>
    <w:rPr>
      <w:rFonts w:cs="Arial" w:eastAsia="Times New Roman" w:hAnsi="Arial" w:ascii="Arial"/>
      <w:sz w:val="16"/>
      <w:szCs w:val="16"/>
      <w:lang w:eastAsia="hr-BA" w:val="hr-BA"/>
    </w:rPr>
  </w:style>
  <w:style w:customStyle="true" w:styleId="xl66" w:type="paragraph">
    <w:name w:val="xl66"/>
    <w:basedOn w:val="Normal"/>
    <w:rsid w:val="00752CEE"/>
    <w:pPr>
      <w:spacing w:lineRule="auto" w:line="240" w:afterAutospacing="true" w:after="100" w:beforeAutospacing="true" w:before="100"/>
    </w:pPr>
    <w:rPr>
      <w:rFonts w:cs="Arial" w:eastAsia="Times New Roman" w:hAnsi="Arial" w:ascii="Arial"/>
      <w:b/>
      <w:bCs/>
      <w:sz w:val="16"/>
      <w:szCs w:val="16"/>
      <w:lang w:eastAsia="hr-BA" w:val="hr-BA"/>
    </w:rPr>
  </w:style>
  <w:style w:customStyle="true" w:styleId="xl67" w:type="paragraph">
    <w:name w:val="xl67"/>
    <w:basedOn w:val="Normal"/>
    <w:rsid w:val="00752CEE"/>
    <w:pPr>
      <w:pBdr>
        <w:bottom w:space="0" w:sz="4" w:color="auto" w:val="single"/>
      </w:pBdr>
      <w:spacing w:lineRule="auto" w:line="240" w:afterAutospacing="true" w:after="100" w:beforeAutospacing="true" w:before="100"/>
      <w:jc w:val="center"/>
    </w:pPr>
    <w:rPr>
      <w:rFonts w:cs="Arial" w:eastAsia="Times New Roman" w:hAnsi="Arial" w:ascii="Arial"/>
      <w:b/>
      <w:bCs/>
      <w:sz w:val="16"/>
      <w:szCs w:val="16"/>
      <w:lang w:eastAsia="hr-BA" w:val="hr-BA"/>
    </w:rPr>
  </w:style>
  <w:style w:customStyle="true" w:styleId="xl68" w:type="paragraph">
    <w:name w:val="xl68"/>
    <w:basedOn w:val="Normal"/>
    <w:rsid w:val="00752CEE"/>
    <w:pPr>
      <w:pBdr>
        <w:bottom w:space="0" w:sz="4" w:color="auto" w:val="single"/>
      </w:pBdr>
      <w:spacing w:lineRule="auto" w:line="240" w:afterAutospacing="true" w:after="100" w:beforeAutospacing="true" w:before="100"/>
      <w:jc w:val="center"/>
      <w:textAlignment w:val="center"/>
    </w:pPr>
    <w:rPr>
      <w:rFonts w:cs="Arial" w:eastAsia="Times New Roman" w:hAnsi="Arial" w:ascii="Arial"/>
      <w:b/>
      <w:bCs/>
      <w:sz w:val="16"/>
      <w:szCs w:val="16"/>
      <w:lang w:eastAsia="hr-BA" w:val="hr-BA"/>
    </w:rPr>
  </w:style>
  <w:style w:customStyle="true" w:styleId="xl69" w:type="paragraph">
    <w:name w:val="xl69"/>
    <w:basedOn w:val="Normal"/>
    <w:rsid w:val="00752CEE"/>
    <w:pPr>
      <w:pBdr>
        <w:bottom w:space="0" w:sz="4" w:color="auto" w:val="single"/>
      </w:pBdr>
      <w:spacing w:lineRule="auto" w:line="240" w:afterAutospacing="true" w:after="100" w:beforeAutospacing="true" w:before="100"/>
      <w:jc w:val="center"/>
    </w:pPr>
    <w:rPr>
      <w:rFonts w:cs="Arial" w:eastAsia="Times New Roman" w:hAnsi="Arial" w:ascii="Arial"/>
      <w:b/>
      <w:bCs/>
      <w:sz w:val="16"/>
      <w:szCs w:val="16"/>
      <w:lang w:eastAsia="hr-BA" w:val="hr-BA"/>
    </w:rPr>
  </w:style>
  <w:style w:customStyle="true" w:styleId="xl70" w:type="paragraph">
    <w:name w:val="xl70"/>
    <w:basedOn w:val="Normal"/>
    <w:rsid w:val="00752CEE"/>
    <w:pPr>
      <w:spacing w:lineRule="auto" w:line="240" w:afterAutospacing="true" w:after="100" w:beforeAutospacing="true" w:before="100"/>
      <w:jc w:val="center"/>
    </w:pPr>
    <w:rPr>
      <w:rFonts w:cs="Arial" w:eastAsia="Times New Roman" w:hAnsi="Arial" w:ascii="Arial"/>
      <w:sz w:val="16"/>
      <w:szCs w:val="16"/>
      <w:lang w:eastAsia="hr-BA" w:val="hr-BA"/>
    </w:rPr>
  </w:style>
  <w:style w:customStyle="true" w:styleId="xl71" w:type="paragraph">
    <w:name w:val="xl71"/>
    <w:basedOn w:val="Normal"/>
    <w:rsid w:val="00752CEE"/>
    <w:pPr>
      <w:spacing w:lineRule="auto" w:line="240" w:afterAutospacing="true" w:after="100" w:beforeAutospacing="true" w:before="100"/>
      <w:jc w:val="center"/>
      <w:textAlignment w:val="center"/>
    </w:pPr>
    <w:rPr>
      <w:rFonts w:cs="Arial" w:eastAsia="Times New Roman" w:hAnsi="Arial" w:ascii="Arial"/>
      <w:sz w:val="16"/>
      <w:szCs w:val="16"/>
      <w:lang w:eastAsia="hr-BA" w:val="hr-BA"/>
    </w:rPr>
  </w:style>
  <w:style w:customStyle="true" w:styleId="xl72" w:type="paragraph">
    <w:name w:val="xl72"/>
    <w:basedOn w:val="Normal"/>
    <w:rsid w:val="00752CEE"/>
    <w:pPr>
      <w:spacing w:lineRule="auto" w:line="240" w:afterAutospacing="true" w:after="100" w:beforeAutospacing="true" w:before="100"/>
    </w:pPr>
    <w:rPr>
      <w:rFonts w:cs="Arial" w:eastAsia="Times New Roman" w:hAnsi="Arial" w:ascii="Arial"/>
      <w:sz w:val="16"/>
      <w:szCs w:val="16"/>
      <w:lang w:eastAsia="hr-BA" w:val="hr-BA"/>
    </w:rPr>
  </w:style>
  <w:style w:customStyle="true" w:styleId="xl73" w:type="paragraph">
    <w:name w:val="xl73"/>
    <w:basedOn w:val="Normal"/>
    <w:rsid w:val="00752CEE"/>
    <w:pPr>
      <w:spacing w:lineRule="auto" w:line="240" w:afterAutospacing="true" w:after="100" w:beforeAutospacing="true" w:before="100"/>
      <w:textAlignment w:val="center"/>
    </w:pPr>
    <w:rPr>
      <w:rFonts w:cs="Arial" w:eastAsia="Times New Roman" w:hAnsi="Arial" w:ascii="Arial"/>
      <w:sz w:val="16"/>
      <w:szCs w:val="16"/>
      <w:lang w:eastAsia="hr-BA" w:val="hr-BA"/>
    </w:rPr>
  </w:style>
  <w:style w:customStyle="true" w:styleId="xl74" w:type="paragraph">
    <w:name w:val="xl74"/>
    <w:basedOn w:val="Normal"/>
    <w:rsid w:val="00752CEE"/>
    <w:pPr>
      <w:pBdr>
        <w:bottom w:space="0" w:sz="4" w:color="auto" w:val="single"/>
      </w:pBdr>
      <w:spacing w:lineRule="auto" w:line="240" w:afterAutospacing="true" w:after="100" w:beforeAutospacing="true" w:before="100"/>
    </w:pPr>
    <w:rPr>
      <w:rFonts w:cs="Arial" w:eastAsia="Times New Roman" w:hAnsi="Arial" w:ascii="Arial"/>
      <w:sz w:val="16"/>
      <w:szCs w:val="16"/>
      <w:lang w:eastAsia="hr-BA" w:val="hr-BA"/>
    </w:rPr>
  </w:style>
  <w:style w:customStyle="true" w:styleId="xl75" w:type="paragraph">
    <w:name w:val="xl75"/>
    <w:basedOn w:val="Normal"/>
    <w:rsid w:val="00752CEE"/>
    <w:pPr>
      <w:spacing w:lineRule="auto" w:line="240" w:afterAutospacing="true" w:after="100" w:beforeAutospacing="true" w:before="100"/>
      <w:jc w:val="center"/>
      <w:textAlignment w:val="center"/>
    </w:pPr>
    <w:rPr>
      <w:rFonts w:cs="Arial" w:eastAsia="Times New Roman" w:hAnsi="Arial" w:ascii="Arial"/>
      <w:sz w:val="16"/>
      <w:szCs w:val="16"/>
      <w:lang w:eastAsia="hr-BA" w:val="hr-BA"/>
    </w:rPr>
  </w:style>
  <w:style w:customStyle="true" w:styleId="xl76" w:type="paragraph">
    <w:name w:val="xl76"/>
    <w:basedOn w:val="Normal"/>
    <w:rsid w:val="00752CEE"/>
    <w:pPr>
      <w:pBdr>
        <w:bottom w:space="0" w:sz="4" w:color="auto" w:val="single"/>
      </w:pBdr>
      <w:spacing w:lineRule="auto" w:line="240" w:afterAutospacing="true" w:after="100" w:beforeAutospacing="true" w:before="100"/>
    </w:pPr>
    <w:rPr>
      <w:rFonts w:cs="Arial" w:eastAsia="Times New Roman" w:hAnsi="Arial" w:ascii="Arial"/>
      <w:sz w:val="16"/>
      <w:szCs w:val="16"/>
      <w:lang w:eastAsia="hr-BA" w:val="hr-BA"/>
    </w:rPr>
  </w:style>
  <w:style w:customStyle="true" w:styleId="xl77" w:type="paragraph">
    <w:name w:val="xl77"/>
    <w:basedOn w:val="Normal"/>
    <w:rsid w:val="00752CEE"/>
    <w:pPr>
      <w:spacing w:lineRule="auto" w:line="240" w:afterAutospacing="true" w:after="100" w:beforeAutospacing="true" w:before="100"/>
      <w:textAlignment w:val="center"/>
    </w:pPr>
    <w:rPr>
      <w:rFonts w:cs="Arial" w:eastAsia="Times New Roman" w:hAnsi="Arial" w:ascii="Arial"/>
      <w:sz w:val="16"/>
      <w:szCs w:val="16"/>
      <w:lang w:eastAsia="hr-BA" w:val="hr-BA"/>
    </w:rPr>
  </w:style>
  <w:style w:customStyle="true" w:styleId="xl78" w:type="paragraph">
    <w:name w:val="xl78"/>
    <w:basedOn w:val="Normal"/>
    <w:rsid w:val="00752CEE"/>
    <w:pPr>
      <w:pBdr>
        <w:right w:space="0" w:sz="4" w:color="auto" w:val="single"/>
      </w:pBdr>
      <w:spacing w:lineRule="auto" w:line="240" w:afterAutospacing="true" w:after="100" w:beforeAutospacing="true" w:before="100"/>
      <w:textAlignment w:val="center"/>
    </w:pPr>
    <w:rPr>
      <w:rFonts w:cs="Arial" w:eastAsia="Times New Roman" w:hAnsi="Arial" w:ascii="Arial"/>
      <w:sz w:val="16"/>
      <w:szCs w:val="16"/>
      <w:lang w:eastAsia="hr-BA" w:val="hr-BA"/>
    </w:rPr>
  </w:style>
  <w:style w:customStyle="true" w:styleId="xl79" w:type="paragraph">
    <w:name w:val="xl79"/>
    <w:basedOn w:val="Normal"/>
    <w:rsid w:val="00752CEE"/>
    <w:pPr>
      <w:pBdr>
        <w:bottom w:space="0" w:sz="4" w:color="auto" w:val="single"/>
      </w:pBdr>
      <w:spacing w:lineRule="auto" w:line="240" w:afterAutospacing="true" w:after="100" w:beforeAutospacing="true" w:before="100"/>
      <w:jc w:val="center"/>
      <w:textAlignment w:val="center"/>
    </w:pPr>
    <w:rPr>
      <w:rFonts w:cs="Arial" w:eastAsia="Times New Roman" w:hAnsi="Arial" w:ascii="Arial"/>
      <w:b/>
      <w:bCs/>
      <w:sz w:val="16"/>
      <w:szCs w:val="16"/>
      <w:lang w:eastAsia="hr-BA" w:val="hr-BA"/>
    </w:rPr>
  </w:style>
  <w:style w:customStyle="true" w:styleId="xl80" w:type="paragraph">
    <w:name w:val="xl80"/>
    <w:basedOn w:val="Normal"/>
    <w:rsid w:val="00752CEE"/>
    <w:pPr>
      <w:pBdr>
        <w:bottom w:space="0" w:sz="4" w:color="auto" w:val="single"/>
      </w:pBdr>
      <w:spacing w:lineRule="auto" w:line="240" w:afterAutospacing="true" w:after="100" w:beforeAutospacing="true" w:before="100"/>
      <w:textAlignment w:val="center"/>
    </w:pPr>
    <w:rPr>
      <w:rFonts w:cs="Arial" w:eastAsia="Times New Roman" w:hAnsi="Arial" w:ascii="Arial"/>
      <w:sz w:val="16"/>
      <w:szCs w:val="16"/>
      <w:lang w:eastAsia="hr-BA" w:val="hr-BA"/>
    </w:rPr>
  </w:style>
  <w:style w:customStyle="true" w:styleId="xl81" w:type="paragraph">
    <w:name w:val="xl81"/>
    <w:basedOn w:val="Normal"/>
    <w:rsid w:val="00752CEE"/>
    <w:pPr>
      <w:spacing w:lineRule="auto" w:line="240" w:afterAutospacing="true" w:after="100" w:beforeAutospacing="true" w:before="100"/>
      <w:jc w:val="center"/>
      <w:textAlignment w:val="center"/>
    </w:pPr>
    <w:rPr>
      <w:rFonts w:cs="Arial" w:eastAsia="Times New Roman" w:hAnsi="Arial" w:ascii="Arial"/>
      <w:b/>
      <w:bCs/>
      <w:sz w:val="16"/>
      <w:szCs w:val="16"/>
      <w:lang w:eastAsia="hr-BA" w:val="hr-BA"/>
    </w:rPr>
  </w:style>
  <w:style w:customStyle="true" w:styleId="xl82" w:type="paragraph">
    <w:name w:val="xl82"/>
    <w:basedOn w:val="Normal"/>
    <w:rsid w:val="00752CEE"/>
    <w:pPr>
      <w:pBdr>
        <w:bottom w:space="0" w:sz="4" w:color="auto" w:val="single"/>
      </w:pBdr>
      <w:spacing w:lineRule="auto" w:line="240" w:afterAutospacing="true" w:after="100" w:beforeAutospacing="true" w:before="100"/>
      <w:jc w:val="center"/>
      <w:textAlignment w:val="center"/>
    </w:pPr>
    <w:rPr>
      <w:rFonts w:cs="Arial" w:eastAsia="Times New Roman" w:hAnsi="Arial" w:ascii="Arial"/>
      <w:b/>
      <w:bCs/>
      <w:sz w:val="16"/>
      <w:szCs w:val="16"/>
      <w:lang w:eastAsia="hr-BA" w:val="hr-BA"/>
    </w:rPr>
  </w:style>
  <w:style w:customStyle="true" w:styleId="xl83" w:type="paragraph">
    <w:name w:val="xl83"/>
    <w:basedOn w:val="Normal"/>
    <w:rsid w:val="00752CEE"/>
    <w:pPr>
      <w:pBdr>
        <w:bottom w:space="0" w:sz="4" w:color="auto" w:val="single"/>
      </w:pBdr>
      <w:spacing w:lineRule="auto" w:line="240" w:afterAutospacing="true" w:after="100" w:beforeAutospacing="true" w:before="100"/>
    </w:pPr>
    <w:rPr>
      <w:rFonts w:cs="Arial" w:eastAsia="Times New Roman" w:hAnsi="Arial" w:ascii="Arial"/>
      <w:b/>
      <w:bCs/>
      <w:sz w:val="16"/>
      <w:szCs w:val="16"/>
      <w:lang w:eastAsia="hr-BA" w:val="hr-BA"/>
    </w:rPr>
  </w:style>
  <w:style w:customStyle="true" w:styleId="xl84" w:type="paragraph">
    <w:name w:val="xl84"/>
    <w:basedOn w:val="Normal"/>
    <w:rsid w:val="00752CEE"/>
    <w:pPr>
      <w:pBdr>
        <w:bottom w:space="0" w:sz="4" w:color="auto" w:val="single"/>
      </w:pBdr>
      <w:spacing w:lineRule="auto" w:line="240" w:afterAutospacing="true" w:after="100" w:beforeAutospacing="true" w:before="100"/>
      <w:textAlignment w:val="center"/>
    </w:pPr>
    <w:rPr>
      <w:rFonts w:cs="Arial" w:eastAsia="Times New Roman" w:hAnsi="Arial" w:ascii="Arial"/>
      <w:b/>
      <w:bCs/>
      <w:sz w:val="16"/>
      <w:szCs w:val="16"/>
      <w:lang w:eastAsia="hr-BA" w:val="hr-BA"/>
    </w:rPr>
  </w:style>
  <w:style w:customStyle="true" w:styleId="xl85" w:type="paragraph">
    <w:name w:val="xl85"/>
    <w:basedOn w:val="Normal"/>
    <w:rsid w:val="00752CEE"/>
    <w:pPr>
      <w:pBdr>
        <w:bottom w:space="0" w:sz="4" w:color="auto" w:val="single"/>
      </w:pBdr>
      <w:spacing w:lineRule="auto" w:line="240" w:afterAutospacing="true" w:after="100" w:beforeAutospacing="true" w:before="100"/>
      <w:textAlignment w:val="center"/>
    </w:pPr>
    <w:rPr>
      <w:rFonts w:cs="Arial" w:eastAsia="Times New Roman" w:hAnsi="Arial" w:ascii="Arial"/>
      <w:b/>
      <w:bCs/>
      <w:sz w:val="16"/>
      <w:szCs w:val="16"/>
      <w:lang w:eastAsia="hr-BA" w:val="hr-BA"/>
    </w:rPr>
  </w:style>
  <w:style w:customStyle="true" w:styleId="xl86" w:type="paragraph">
    <w:name w:val="xl86"/>
    <w:basedOn w:val="Normal"/>
    <w:rsid w:val="00752CEE"/>
    <w:pPr>
      <w:spacing w:lineRule="auto" w:line="240" w:afterAutospacing="true" w:after="100" w:beforeAutospacing="true" w:before="100"/>
    </w:pPr>
    <w:rPr>
      <w:rFonts w:cs="Arial" w:eastAsia="Times New Roman" w:hAnsi="Arial" w:ascii="Arial"/>
      <w:sz w:val="16"/>
      <w:szCs w:val="16"/>
      <w:lang w:eastAsia="hr-BA" w:val="hr-BA"/>
    </w:rPr>
  </w:style>
  <w:style w:customStyle="true" w:styleId="xl87" w:type="paragraph">
    <w:name w:val="xl87"/>
    <w:basedOn w:val="Normal"/>
    <w:rsid w:val="00752CEE"/>
    <w:pPr>
      <w:pBdr>
        <w:top w:space="0" w:sz="4" w:color="auto" w:val="single"/>
        <w:left w:space="0" w:sz="4" w:color="auto" w:val="single"/>
        <w:bottom w:space="0" w:sz="4" w:color="auto" w:val="single"/>
      </w:pBdr>
      <w:spacing w:lineRule="auto" w:line="240" w:afterAutospacing="true" w:after="100" w:beforeAutospacing="true" w:before="100"/>
      <w:jc w:val="center"/>
    </w:pPr>
    <w:rPr>
      <w:rFonts w:cs="Arial" w:eastAsia="Times New Roman" w:hAnsi="Arial" w:ascii="Arial"/>
      <w:sz w:val="16"/>
      <w:szCs w:val="16"/>
      <w:lang w:eastAsia="hr-BA" w:val="hr-BA"/>
    </w:rPr>
  </w:style>
  <w:style w:customStyle="true" w:styleId="xl88" w:type="paragraph">
    <w:name w:val="xl88"/>
    <w:basedOn w:val="Normal"/>
    <w:rsid w:val="00752CEE"/>
    <w:pPr>
      <w:pBdr>
        <w:top w:space="0" w:sz="4" w:color="auto" w:val="single"/>
        <w:left w:space="0" w:sz="4" w:color="auto" w:val="single"/>
        <w:bottom w:space="0" w:sz="4" w:color="auto" w:val="single"/>
      </w:pBdr>
      <w:spacing w:lineRule="auto" w:line="240" w:afterAutospacing="true" w:after="100" w:beforeAutospacing="true" w:before="100"/>
      <w:jc w:val="center"/>
      <w:textAlignment w:val="center"/>
    </w:pPr>
    <w:rPr>
      <w:rFonts w:cs="Arial" w:eastAsia="Times New Roman" w:hAnsi="Arial" w:ascii="Arial"/>
      <w:sz w:val="16"/>
      <w:szCs w:val="16"/>
      <w:lang w:eastAsia="hr-BA" w:val="hr-BA"/>
    </w:rPr>
  </w:style>
  <w:style w:customStyle="true" w:styleId="xl89" w:type="paragraph">
    <w:name w:val="xl89"/>
    <w:basedOn w:val="Normal"/>
    <w:rsid w:val="00752CEE"/>
    <w:pPr>
      <w:spacing w:lineRule="auto" w:line="240" w:afterAutospacing="true" w:after="100" w:beforeAutospacing="true" w:before="100"/>
      <w:textAlignment w:val="top"/>
    </w:pPr>
    <w:rPr>
      <w:rFonts w:cs="Arial" w:eastAsia="Times New Roman" w:hAnsi="Arial" w:ascii="Arial"/>
      <w:sz w:val="16"/>
      <w:szCs w:val="16"/>
      <w:lang w:eastAsia="hr-BA" w:val="hr-BA"/>
    </w:rPr>
  </w:style>
  <w:style w:customStyle="true" w:styleId="xl90" w:type="paragraph">
    <w:name w:val="xl90"/>
    <w:basedOn w:val="Normal"/>
    <w:rsid w:val="00752CEE"/>
    <w:pPr>
      <w:spacing w:lineRule="auto" w:line="240" w:afterAutospacing="true" w:after="100" w:beforeAutospacing="true" w:before="100"/>
    </w:pPr>
    <w:rPr>
      <w:rFonts w:cs="Arial" w:eastAsia="Times New Roman" w:hAnsi="Arial" w:ascii="Arial"/>
      <w:sz w:val="16"/>
      <w:szCs w:val="16"/>
      <w:lang w:eastAsia="hr-BA" w:val="hr-BA"/>
    </w:rPr>
  </w:style>
  <w:style w:styleId="Tekstrezerviranogmjesta" w:type="character">
    <w:name w:val="Placeholder Text"/>
    <w:basedOn w:val="Zadanifontodlomka"/>
    <w:uiPriority w:val="99"/>
    <w:semiHidden/>
    <w:rsid w:val="004135FD"/>
    <w:rPr>
      <w:color w:val="808080"/>
      <w:bdr w:space="0" w:sz="0" w:color="auto" w:val="none"/>
      <w:shd w:fill="auto" w:color="auto" w:val="clear"/>
    </w:rPr>
  </w:style>
  <w:style w:customStyle="true" w:styleId="eSPISCCParagraphDefaultFont" w:type="character">
    <w:name w:val="eSPIS_CC_Paragraph Default Font"/>
    <w:basedOn w:val="Zadanifontodlomka"/>
    <w:rsid w:val="004135F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135FD"/>
    <w:rPr>
      <w:rFonts w:cs="Times New Roman" w:eastAsia="Times New Roman" w:hAnsi="Times New Roman" w:ascii="Times New Roman"/>
      <w:sz w:val="24"/>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135FD"/>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135FD"/>
    <w:rPr>
      <w:rFonts w:cs="Times New Roman" w:eastAsia="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2" w:type="paragraph">
    <w:name w:val="heading 2"/>
    <w:basedOn w:val="Normal"/>
    <w:next w:val="Normal"/>
    <w:link w:val="Naslov2Char"/>
    <w:semiHidden/>
    <w:unhideWhenUsed/>
    <w:qFormat/>
    <w:rsid w:val="00752CEE"/>
    <w:pPr>
      <w:keepNext/>
      <w:numPr>
        <w:numId w:val="1"/>
      </w:numPr>
      <w:spacing w:after="0" w:line="240" w:lineRule="auto"/>
      <w:outlineLvl w:val="1"/>
    </w:pPr>
    <w:rPr>
      <w:rFonts w:ascii="Times New Roman" w:cs="Times New Roman" w:eastAsia="Times New Roman" w:hAnsi="Times New Roman"/>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semiHidden/>
    <w:rsid w:val="00752CEE"/>
    <w:rPr>
      <w:rFonts w:ascii="Times New Roman" w:cs="Times New Roman" w:eastAsia="Times New Roman" w:hAnsi="Times New Roman"/>
      <w:sz w:val="24"/>
      <w:szCs w:val="20"/>
      <w:lang w:eastAsia="hr-HR"/>
    </w:rPr>
  </w:style>
  <w:style w:customStyle="1" w:styleId="Bezpopisa1" w:type="numbering">
    <w:name w:val="Bez popisa1"/>
    <w:next w:val="Bezpopisa"/>
    <w:uiPriority w:val="99"/>
    <w:semiHidden/>
    <w:unhideWhenUsed/>
    <w:rsid w:val="00752CEE"/>
  </w:style>
  <w:style w:styleId="Tijeloteksta" w:type="paragraph">
    <w:name w:val="Body Text"/>
    <w:basedOn w:val="Normal"/>
    <w:link w:val="TijelotekstaChar"/>
    <w:unhideWhenUsed/>
    <w:rsid w:val="00752CEE"/>
    <w:pPr>
      <w:spacing w:after="0" w:line="240" w:lineRule="auto"/>
    </w:pPr>
    <w:rPr>
      <w:rFonts w:ascii="Times New Roman" w:cs="Times New Roman" w:eastAsia="Times New Roman" w:hAnsi="Times New Roman"/>
      <w:sz w:val="24"/>
      <w:szCs w:val="20"/>
      <w:lang w:eastAsia="hr-HR"/>
    </w:rPr>
  </w:style>
  <w:style w:customStyle="1" w:styleId="TijelotekstaChar" w:type="character">
    <w:name w:val="Tijelo teksta Char"/>
    <w:basedOn w:val="Zadanifontodlomka"/>
    <w:link w:val="Tijeloteksta"/>
    <w:rsid w:val="00752CEE"/>
    <w:rPr>
      <w:rFonts w:ascii="Times New Roman" w:cs="Times New Roman" w:eastAsia="Times New Roman" w:hAnsi="Times New Roman"/>
      <w:sz w:val="24"/>
      <w:szCs w:val="20"/>
      <w:lang w:eastAsia="hr-HR"/>
    </w:rPr>
  </w:style>
  <w:style w:styleId="Reetkatablice" w:type="table">
    <w:name w:val="Table Grid"/>
    <w:basedOn w:val="Obinatablica"/>
    <w:uiPriority w:val="59"/>
    <w:rsid w:val="00752CEE"/>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752CEE"/>
    <w:pPr>
      <w:spacing w:after="0" w:line="240" w:lineRule="auto"/>
    </w:pPr>
    <w:rPr>
      <w:rFonts w:ascii="Tahoma" w:cs="Tahoma" w:eastAsia="Times New Roman" w:hAnsi="Tahoma"/>
      <w:sz w:val="16"/>
      <w:szCs w:val="16"/>
      <w:lang w:eastAsia="hr-HR" w:val="en-US"/>
    </w:rPr>
  </w:style>
  <w:style w:customStyle="1" w:styleId="TekstbaloniaChar" w:type="character">
    <w:name w:val="Tekst balončića Char"/>
    <w:basedOn w:val="Zadanifontodlomka"/>
    <w:link w:val="Tekstbalonia"/>
    <w:uiPriority w:val="99"/>
    <w:semiHidden/>
    <w:rsid w:val="00752CEE"/>
    <w:rPr>
      <w:rFonts w:ascii="Tahoma" w:cs="Tahoma" w:eastAsia="Times New Roman" w:hAnsi="Tahoma"/>
      <w:sz w:val="16"/>
      <w:szCs w:val="16"/>
      <w:lang w:eastAsia="hr-HR" w:val="en-US"/>
    </w:rPr>
  </w:style>
  <w:style w:styleId="Hiperveza" w:type="character">
    <w:name w:val="Hyperlink"/>
    <w:basedOn w:val="Zadanifontodlomka"/>
    <w:uiPriority w:val="99"/>
    <w:semiHidden/>
    <w:unhideWhenUsed/>
    <w:rsid w:val="00752CEE"/>
    <w:rPr>
      <w:color w:val="0000FF"/>
      <w:u w:val="single"/>
    </w:rPr>
  </w:style>
  <w:style w:styleId="SlijeenaHiperveza" w:type="character">
    <w:name w:val="FollowedHyperlink"/>
    <w:basedOn w:val="Zadanifontodlomka"/>
    <w:uiPriority w:val="99"/>
    <w:semiHidden/>
    <w:unhideWhenUsed/>
    <w:rsid w:val="00752CEE"/>
    <w:rPr>
      <w:color w:val="800080"/>
      <w:u w:val="single"/>
    </w:rPr>
  </w:style>
  <w:style w:customStyle="1" w:styleId="font5" w:type="paragraph">
    <w:name w:val="font5"/>
    <w:basedOn w:val="Normal"/>
    <w:rsid w:val="00752CEE"/>
    <w:pPr>
      <w:spacing w:after="100" w:afterAutospacing="1" w:before="100" w:beforeAutospacing="1" w:line="240" w:lineRule="auto"/>
    </w:pPr>
    <w:rPr>
      <w:rFonts w:ascii="Arial" w:cs="Arial" w:eastAsia="Times New Roman" w:hAnsi="Arial"/>
      <w:b/>
      <w:bCs/>
      <w:sz w:val="16"/>
      <w:szCs w:val="16"/>
      <w:lang w:eastAsia="hr-BA" w:val="hr-BA"/>
    </w:rPr>
  </w:style>
  <w:style w:customStyle="1" w:styleId="font6" w:type="paragraph">
    <w:name w:val="font6"/>
    <w:basedOn w:val="Normal"/>
    <w:rsid w:val="00752CEE"/>
    <w:pPr>
      <w:spacing w:after="100" w:afterAutospacing="1" w:before="100" w:beforeAutospacing="1" w:line="240" w:lineRule="auto"/>
    </w:pPr>
    <w:rPr>
      <w:rFonts w:ascii="Arial" w:cs="Arial" w:eastAsia="Times New Roman" w:hAnsi="Arial"/>
      <w:sz w:val="16"/>
      <w:szCs w:val="16"/>
      <w:lang w:eastAsia="hr-BA" w:val="hr-BA"/>
    </w:rPr>
  </w:style>
  <w:style w:customStyle="1" w:styleId="xl63" w:type="paragraph">
    <w:name w:val="xl63"/>
    <w:basedOn w:val="Normal"/>
    <w:rsid w:val="00752CEE"/>
    <w:pPr>
      <w:spacing w:after="100" w:afterAutospacing="1" w:before="100" w:beforeAutospacing="1" w:line="240" w:lineRule="auto"/>
    </w:pPr>
    <w:rPr>
      <w:rFonts w:ascii="Arial" w:cs="Arial" w:eastAsia="Times New Roman" w:hAnsi="Arial"/>
      <w:b/>
      <w:bCs/>
      <w:sz w:val="16"/>
      <w:szCs w:val="16"/>
      <w:lang w:eastAsia="hr-BA" w:val="hr-BA"/>
    </w:rPr>
  </w:style>
  <w:style w:customStyle="1" w:styleId="xl64" w:type="paragraph">
    <w:name w:val="xl64"/>
    <w:basedOn w:val="Normal"/>
    <w:rsid w:val="00752CEE"/>
    <w:pPr>
      <w:spacing w:after="100" w:afterAutospacing="1" w:before="100" w:beforeAutospacing="1" w:line="240" w:lineRule="auto"/>
    </w:pPr>
    <w:rPr>
      <w:rFonts w:ascii="Arial" w:cs="Arial" w:eastAsia="Times New Roman" w:hAnsi="Arial"/>
      <w:sz w:val="16"/>
      <w:szCs w:val="16"/>
      <w:lang w:eastAsia="hr-BA" w:val="hr-BA"/>
    </w:rPr>
  </w:style>
  <w:style w:customStyle="1" w:styleId="xl65" w:type="paragraph">
    <w:name w:val="xl65"/>
    <w:basedOn w:val="Normal"/>
    <w:rsid w:val="00752CEE"/>
    <w:pPr>
      <w:spacing w:after="100" w:afterAutospacing="1" w:before="100" w:beforeAutospacing="1" w:line="240" w:lineRule="auto"/>
    </w:pPr>
    <w:rPr>
      <w:rFonts w:ascii="Arial" w:cs="Arial" w:eastAsia="Times New Roman" w:hAnsi="Arial"/>
      <w:sz w:val="16"/>
      <w:szCs w:val="16"/>
      <w:lang w:eastAsia="hr-BA" w:val="hr-BA"/>
    </w:rPr>
  </w:style>
  <w:style w:customStyle="1" w:styleId="xl66" w:type="paragraph">
    <w:name w:val="xl66"/>
    <w:basedOn w:val="Normal"/>
    <w:rsid w:val="00752CEE"/>
    <w:pPr>
      <w:spacing w:after="100" w:afterAutospacing="1" w:before="100" w:beforeAutospacing="1" w:line="240" w:lineRule="auto"/>
    </w:pPr>
    <w:rPr>
      <w:rFonts w:ascii="Arial" w:cs="Arial" w:eastAsia="Times New Roman" w:hAnsi="Arial"/>
      <w:b/>
      <w:bCs/>
      <w:sz w:val="16"/>
      <w:szCs w:val="16"/>
      <w:lang w:eastAsia="hr-BA" w:val="hr-BA"/>
    </w:rPr>
  </w:style>
  <w:style w:customStyle="1" w:styleId="xl67" w:type="paragraph">
    <w:name w:val="xl67"/>
    <w:basedOn w:val="Normal"/>
    <w:rsid w:val="00752CEE"/>
    <w:pPr>
      <w:pBdr>
        <w:bottom w:color="auto" w:space="0" w:sz="4" w:val="single"/>
      </w:pBdr>
      <w:spacing w:after="100" w:afterAutospacing="1" w:before="100" w:beforeAutospacing="1" w:line="240" w:lineRule="auto"/>
      <w:jc w:val="center"/>
    </w:pPr>
    <w:rPr>
      <w:rFonts w:ascii="Arial" w:cs="Arial" w:eastAsia="Times New Roman" w:hAnsi="Arial"/>
      <w:b/>
      <w:bCs/>
      <w:sz w:val="16"/>
      <w:szCs w:val="16"/>
      <w:lang w:eastAsia="hr-BA" w:val="hr-BA"/>
    </w:rPr>
  </w:style>
  <w:style w:customStyle="1" w:styleId="xl68" w:type="paragraph">
    <w:name w:val="xl68"/>
    <w:basedOn w:val="Normal"/>
    <w:rsid w:val="00752CEE"/>
    <w:pPr>
      <w:pBdr>
        <w:bottom w:color="auto" w:space="0" w:sz="4" w:val="single"/>
      </w:pBdr>
      <w:spacing w:after="100" w:afterAutospacing="1" w:before="100" w:beforeAutospacing="1" w:line="240" w:lineRule="auto"/>
      <w:jc w:val="center"/>
      <w:textAlignment w:val="center"/>
    </w:pPr>
    <w:rPr>
      <w:rFonts w:ascii="Arial" w:cs="Arial" w:eastAsia="Times New Roman" w:hAnsi="Arial"/>
      <w:b/>
      <w:bCs/>
      <w:sz w:val="16"/>
      <w:szCs w:val="16"/>
      <w:lang w:eastAsia="hr-BA" w:val="hr-BA"/>
    </w:rPr>
  </w:style>
  <w:style w:customStyle="1" w:styleId="xl69" w:type="paragraph">
    <w:name w:val="xl69"/>
    <w:basedOn w:val="Normal"/>
    <w:rsid w:val="00752CEE"/>
    <w:pPr>
      <w:pBdr>
        <w:bottom w:color="auto" w:space="0" w:sz="4" w:val="single"/>
      </w:pBdr>
      <w:spacing w:after="100" w:afterAutospacing="1" w:before="100" w:beforeAutospacing="1" w:line="240" w:lineRule="auto"/>
      <w:jc w:val="center"/>
    </w:pPr>
    <w:rPr>
      <w:rFonts w:ascii="Arial" w:cs="Arial" w:eastAsia="Times New Roman" w:hAnsi="Arial"/>
      <w:b/>
      <w:bCs/>
      <w:sz w:val="16"/>
      <w:szCs w:val="16"/>
      <w:lang w:eastAsia="hr-BA" w:val="hr-BA"/>
    </w:rPr>
  </w:style>
  <w:style w:customStyle="1" w:styleId="xl70" w:type="paragraph">
    <w:name w:val="xl70"/>
    <w:basedOn w:val="Normal"/>
    <w:rsid w:val="00752CEE"/>
    <w:pPr>
      <w:spacing w:after="100" w:afterAutospacing="1" w:before="100" w:beforeAutospacing="1" w:line="240" w:lineRule="auto"/>
      <w:jc w:val="center"/>
    </w:pPr>
    <w:rPr>
      <w:rFonts w:ascii="Arial" w:cs="Arial" w:eastAsia="Times New Roman" w:hAnsi="Arial"/>
      <w:sz w:val="16"/>
      <w:szCs w:val="16"/>
      <w:lang w:eastAsia="hr-BA" w:val="hr-BA"/>
    </w:rPr>
  </w:style>
  <w:style w:customStyle="1" w:styleId="xl71" w:type="paragraph">
    <w:name w:val="xl71"/>
    <w:basedOn w:val="Normal"/>
    <w:rsid w:val="00752CEE"/>
    <w:pPr>
      <w:spacing w:after="100" w:afterAutospacing="1" w:before="100" w:beforeAutospacing="1" w:line="240" w:lineRule="auto"/>
      <w:jc w:val="center"/>
      <w:textAlignment w:val="center"/>
    </w:pPr>
    <w:rPr>
      <w:rFonts w:ascii="Arial" w:cs="Arial" w:eastAsia="Times New Roman" w:hAnsi="Arial"/>
      <w:sz w:val="16"/>
      <w:szCs w:val="16"/>
      <w:lang w:eastAsia="hr-BA" w:val="hr-BA"/>
    </w:rPr>
  </w:style>
  <w:style w:customStyle="1" w:styleId="xl72" w:type="paragraph">
    <w:name w:val="xl72"/>
    <w:basedOn w:val="Normal"/>
    <w:rsid w:val="00752CEE"/>
    <w:pPr>
      <w:spacing w:after="100" w:afterAutospacing="1" w:before="100" w:beforeAutospacing="1" w:line="240" w:lineRule="auto"/>
    </w:pPr>
    <w:rPr>
      <w:rFonts w:ascii="Arial" w:cs="Arial" w:eastAsia="Times New Roman" w:hAnsi="Arial"/>
      <w:sz w:val="16"/>
      <w:szCs w:val="16"/>
      <w:lang w:eastAsia="hr-BA" w:val="hr-BA"/>
    </w:rPr>
  </w:style>
  <w:style w:customStyle="1" w:styleId="xl73" w:type="paragraph">
    <w:name w:val="xl73"/>
    <w:basedOn w:val="Normal"/>
    <w:rsid w:val="00752CEE"/>
    <w:pPr>
      <w:spacing w:after="100" w:afterAutospacing="1" w:before="100" w:beforeAutospacing="1" w:line="240" w:lineRule="auto"/>
      <w:textAlignment w:val="center"/>
    </w:pPr>
    <w:rPr>
      <w:rFonts w:ascii="Arial" w:cs="Arial" w:eastAsia="Times New Roman" w:hAnsi="Arial"/>
      <w:sz w:val="16"/>
      <w:szCs w:val="16"/>
      <w:lang w:eastAsia="hr-BA" w:val="hr-BA"/>
    </w:rPr>
  </w:style>
  <w:style w:customStyle="1" w:styleId="xl74" w:type="paragraph">
    <w:name w:val="xl74"/>
    <w:basedOn w:val="Normal"/>
    <w:rsid w:val="00752CEE"/>
    <w:pPr>
      <w:pBdr>
        <w:bottom w:color="auto" w:space="0" w:sz="4" w:val="single"/>
      </w:pBdr>
      <w:spacing w:after="100" w:afterAutospacing="1" w:before="100" w:beforeAutospacing="1" w:line="240" w:lineRule="auto"/>
    </w:pPr>
    <w:rPr>
      <w:rFonts w:ascii="Arial" w:cs="Arial" w:eastAsia="Times New Roman" w:hAnsi="Arial"/>
      <w:sz w:val="16"/>
      <w:szCs w:val="16"/>
      <w:lang w:eastAsia="hr-BA" w:val="hr-BA"/>
    </w:rPr>
  </w:style>
  <w:style w:customStyle="1" w:styleId="xl75" w:type="paragraph">
    <w:name w:val="xl75"/>
    <w:basedOn w:val="Normal"/>
    <w:rsid w:val="00752CEE"/>
    <w:pPr>
      <w:spacing w:after="100" w:afterAutospacing="1" w:before="100" w:beforeAutospacing="1" w:line="240" w:lineRule="auto"/>
      <w:jc w:val="center"/>
      <w:textAlignment w:val="center"/>
    </w:pPr>
    <w:rPr>
      <w:rFonts w:ascii="Arial" w:cs="Arial" w:eastAsia="Times New Roman" w:hAnsi="Arial"/>
      <w:sz w:val="16"/>
      <w:szCs w:val="16"/>
      <w:lang w:eastAsia="hr-BA" w:val="hr-BA"/>
    </w:rPr>
  </w:style>
  <w:style w:customStyle="1" w:styleId="xl76" w:type="paragraph">
    <w:name w:val="xl76"/>
    <w:basedOn w:val="Normal"/>
    <w:rsid w:val="00752CEE"/>
    <w:pPr>
      <w:pBdr>
        <w:bottom w:color="auto" w:space="0" w:sz="4" w:val="single"/>
      </w:pBdr>
      <w:spacing w:after="100" w:afterAutospacing="1" w:before="100" w:beforeAutospacing="1" w:line="240" w:lineRule="auto"/>
    </w:pPr>
    <w:rPr>
      <w:rFonts w:ascii="Arial" w:cs="Arial" w:eastAsia="Times New Roman" w:hAnsi="Arial"/>
      <w:sz w:val="16"/>
      <w:szCs w:val="16"/>
      <w:lang w:eastAsia="hr-BA" w:val="hr-BA"/>
    </w:rPr>
  </w:style>
  <w:style w:customStyle="1" w:styleId="xl77" w:type="paragraph">
    <w:name w:val="xl77"/>
    <w:basedOn w:val="Normal"/>
    <w:rsid w:val="00752CEE"/>
    <w:pPr>
      <w:spacing w:after="100" w:afterAutospacing="1" w:before="100" w:beforeAutospacing="1" w:line="240" w:lineRule="auto"/>
      <w:textAlignment w:val="center"/>
    </w:pPr>
    <w:rPr>
      <w:rFonts w:ascii="Arial" w:cs="Arial" w:eastAsia="Times New Roman" w:hAnsi="Arial"/>
      <w:sz w:val="16"/>
      <w:szCs w:val="16"/>
      <w:lang w:eastAsia="hr-BA" w:val="hr-BA"/>
    </w:rPr>
  </w:style>
  <w:style w:customStyle="1" w:styleId="xl78" w:type="paragraph">
    <w:name w:val="xl78"/>
    <w:basedOn w:val="Normal"/>
    <w:rsid w:val="00752CEE"/>
    <w:pPr>
      <w:pBdr>
        <w:right w:color="auto" w:space="0" w:sz="4" w:val="single"/>
      </w:pBdr>
      <w:spacing w:after="100" w:afterAutospacing="1" w:before="100" w:beforeAutospacing="1" w:line="240" w:lineRule="auto"/>
      <w:textAlignment w:val="center"/>
    </w:pPr>
    <w:rPr>
      <w:rFonts w:ascii="Arial" w:cs="Arial" w:eastAsia="Times New Roman" w:hAnsi="Arial"/>
      <w:sz w:val="16"/>
      <w:szCs w:val="16"/>
      <w:lang w:eastAsia="hr-BA" w:val="hr-BA"/>
    </w:rPr>
  </w:style>
  <w:style w:customStyle="1" w:styleId="xl79" w:type="paragraph">
    <w:name w:val="xl79"/>
    <w:basedOn w:val="Normal"/>
    <w:rsid w:val="00752CEE"/>
    <w:pPr>
      <w:pBdr>
        <w:bottom w:color="auto" w:space="0" w:sz="4" w:val="single"/>
      </w:pBdr>
      <w:spacing w:after="100" w:afterAutospacing="1" w:before="100" w:beforeAutospacing="1" w:line="240" w:lineRule="auto"/>
      <w:jc w:val="center"/>
      <w:textAlignment w:val="center"/>
    </w:pPr>
    <w:rPr>
      <w:rFonts w:ascii="Arial" w:cs="Arial" w:eastAsia="Times New Roman" w:hAnsi="Arial"/>
      <w:b/>
      <w:bCs/>
      <w:sz w:val="16"/>
      <w:szCs w:val="16"/>
      <w:lang w:eastAsia="hr-BA" w:val="hr-BA"/>
    </w:rPr>
  </w:style>
  <w:style w:customStyle="1" w:styleId="xl80" w:type="paragraph">
    <w:name w:val="xl80"/>
    <w:basedOn w:val="Normal"/>
    <w:rsid w:val="00752CEE"/>
    <w:pPr>
      <w:pBdr>
        <w:bottom w:color="auto" w:space="0" w:sz="4" w:val="single"/>
      </w:pBdr>
      <w:spacing w:after="100" w:afterAutospacing="1" w:before="100" w:beforeAutospacing="1" w:line="240" w:lineRule="auto"/>
      <w:textAlignment w:val="center"/>
    </w:pPr>
    <w:rPr>
      <w:rFonts w:ascii="Arial" w:cs="Arial" w:eastAsia="Times New Roman" w:hAnsi="Arial"/>
      <w:sz w:val="16"/>
      <w:szCs w:val="16"/>
      <w:lang w:eastAsia="hr-BA" w:val="hr-BA"/>
    </w:rPr>
  </w:style>
  <w:style w:customStyle="1" w:styleId="xl81" w:type="paragraph">
    <w:name w:val="xl81"/>
    <w:basedOn w:val="Normal"/>
    <w:rsid w:val="00752CEE"/>
    <w:pPr>
      <w:spacing w:after="100" w:afterAutospacing="1" w:before="100" w:beforeAutospacing="1" w:line="240" w:lineRule="auto"/>
      <w:jc w:val="center"/>
      <w:textAlignment w:val="center"/>
    </w:pPr>
    <w:rPr>
      <w:rFonts w:ascii="Arial" w:cs="Arial" w:eastAsia="Times New Roman" w:hAnsi="Arial"/>
      <w:b/>
      <w:bCs/>
      <w:sz w:val="16"/>
      <w:szCs w:val="16"/>
      <w:lang w:eastAsia="hr-BA" w:val="hr-BA"/>
    </w:rPr>
  </w:style>
  <w:style w:customStyle="1" w:styleId="xl82" w:type="paragraph">
    <w:name w:val="xl82"/>
    <w:basedOn w:val="Normal"/>
    <w:rsid w:val="00752CEE"/>
    <w:pPr>
      <w:pBdr>
        <w:bottom w:color="auto" w:space="0" w:sz="4" w:val="single"/>
      </w:pBdr>
      <w:spacing w:after="100" w:afterAutospacing="1" w:before="100" w:beforeAutospacing="1" w:line="240" w:lineRule="auto"/>
      <w:jc w:val="center"/>
      <w:textAlignment w:val="center"/>
    </w:pPr>
    <w:rPr>
      <w:rFonts w:ascii="Arial" w:cs="Arial" w:eastAsia="Times New Roman" w:hAnsi="Arial"/>
      <w:b/>
      <w:bCs/>
      <w:sz w:val="16"/>
      <w:szCs w:val="16"/>
      <w:lang w:eastAsia="hr-BA" w:val="hr-BA"/>
    </w:rPr>
  </w:style>
  <w:style w:customStyle="1" w:styleId="xl83" w:type="paragraph">
    <w:name w:val="xl83"/>
    <w:basedOn w:val="Normal"/>
    <w:rsid w:val="00752CEE"/>
    <w:pPr>
      <w:pBdr>
        <w:bottom w:color="auto" w:space="0" w:sz="4" w:val="single"/>
      </w:pBdr>
      <w:spacing w:after="100" w:afterAutospacing="1" w:before="100" w:beforeAutospacing="1" w:line="240" w:lineRule="auto"/>
    </w:pPr>
    <w:rPr>
      <w:rFonts w:ascii="Arial" w:cs="Arial" w:eastAsia="Times New Roman" w:hAnsi="Arial"/>
      <w:b/>
      <w:bCs/>
      <w:sz w:val="16"/>
      <w:szCs w:val="16"/>
      <w:lang w:eastAsia="hr-BA" w:val="hr-BA"/>
    </w:rPr>
  </w:style>
  <w:style w:customStyle="1" w:styleId="xl84" w:type="paragraph">
    <w:name w:val="xl84"/>
    <w:basedOn w:val="Normal"/>
    <w:rsid w:val="00752CEE"/>
    <w:pPr>
      <w:pBdr>
        <w:bottom w:color="auto" w:space="0" w:sz="4" w:val="single"/>
      </w:pBdr>
      <w:spacing w:after="100" w:afterAutospacing="1" w:before="100" w:beforeAutospacing="1" w:line="240" w:lineRule="auto"/>
      <w:textAlignment w:val="center"/>
    </w:pPr>
    <w:rPr>
      <w:rFonts w:ascii="Arial" w:cs="Arial" w:eastAsia="Times New Roman" w:hAnsi="Arial"/>
      <w:b/>
      <w:bCs/>
      <w:sz w:val="16"/>
      <w:szCs w:val="16"/>
      <w:lang w:eastAsia="hr-BA" w:val="hr-BA"/>
    </w:rPr>
  </w:style>
  <w:style w:customStyle="1" w:styleId="xl85" w:type="paragraph">
    <w:name w:val="xl85"/>
    <w:basedOn w:val="Normal"/>
    <w:rsid w:val="00752CEE"/>
    <w:pPr>
      <w:pBdr>
        <w:bottom w:color="auto" w:space="0" w:sz="4" w:val="single"/>
      </w:pBdr>
      <w:spacing w:after="100" w:afterAutospacing="1" w:before="100" w:beforeAutospacing="1" w:line="240" w:lineRule="auto"/>
      <w:textAlignment w:val="center"/>
    </w:pPr>
    <w:rPr>
      <w:rFonts w:ascii="Arial" w:cs="Arial" w:eastAsia="Times New Roman" w:hAnsi="Arial"/>
      <w:b/>
      <w:bCs/>
      <w:sz w:val="16"/>
      <w:szCs w:val="16"/>
      <w:lang w:eastAsia="hr-BA" w:val="hr-BA"/>
    </w:rPr>
  </w:style>
  <w:style w:customStyle="1" w:styleId="xl86" w:type="paragraph">
    <w:name w:val="xl86"/>
    <w:basedOn w:val="Normal"/>
    <w:rsid w:val="00752CEE"/>
    <w:pPr>
      <w:spacing w:after="100" w:afterAutospacing="1" w:before="100" w:beforeAutospacing="1" w:line="240" w:lineRule="auto"/>
    </w:pPr>
    <w:rPr>
      <w:rFonts w:ascii="Arial" w:cs="Arial" w:eastAsia="Times New Roman" w:hAnsi="Arial"/>
      <w:sz w:val="16"/>
      <w:szCs w:val="16"/>
      <w:lang w:eastAsia="hr-BA" w:val="hr-BA"/>
    </w:rPr>
  </w:style>
  <w:style w:customStyle="1" w:styleId="xl87" w:type="paragraph">
    <w:name w:val="xl87"/>
    <w:basedOn w:val="Normal"/>
    <w:rsid w:val="00752CEE"/>
    <w:pPr>
      <w:pBdr>
        <w:top w:color="auto" w:space="0" w:sz="4" w:val="single"/>
        <w:left w:color="auto" w:space="0" w:sz="4" w:val="single"/>
        <w:bottom w:color="auto" w:space="0" w:sz="4" w:val="single"/>
      </w:pBdr>
      <w:spacing w:after="100" w:afterAutospacing="1" w:before="100" w:beforeAutospacing="1" w:line="240" w:lineRule="auto"/>
      <w:jc w:val="center"/>
    </w:pPr>
    <w:rPr>
      <w:rFonts w:ascii="Arial" w:cs="Arial" w:eastAsia="Times New Roman" w:hAnsi="Arial"/>
      <w:sz w:val="16"/>
      <w:szCs w:val="16"/>
      <w:lang w:eastAsia="hr-BA" w:val="hr-BA"/>
    </w:rPr>
  </w:style>
  <w:style w:customStyle="1" w:styleId="xl88" w:type="paragraph">
    <w:name w:val="xl88"/>
    <w:basedOn w:val="Normal"/>
    <w:rsid w:val="00752CEE"/>
    <w:pPr>
      <w:pBdr>
        <w:top w:color="auto" w:space="0" w:sz="4" w:val="single"/>
        <w:left w:color="auto" w:space="0" w:sz="4" w:val="single"/>
        <w:bottom w:color="auto" w:space="0" w:sz="4" w:val="single"/>
      </w:pBdr>
      <w:spacing w:after="100" w:afterAutospacing="1" w:before="100" w:beforeAutospacing="1" w:line="240" w:lineRule="auto"/>
      <w:jc w:val="center"/>
      <w:textAlignment w:val="center"/>
    </w:pPr>
    <w:rPr>
      <w:rFonts w:ascii="Arial" w:cs="Arial" w:eastAsia="Times New Roman" w:hAnsi="Arial"/>
      <w:sz w:val="16"/>
      <w:szCs w:val="16"/>
      <w:lang w:eastAsia="hr-BA" w:val="hr-BA"/>
    </w:rPr>
  </w:style>
  <w:style w:customStyle="1" w:styleId="xl89" w:type="paragraph">
    <w:name w:val="xl89"/>
    <w:basedOn w:val="Normal"/>
    <w:rsid w:val="00752CEE"/>
    <w:pPr>
      <w:spacing w:after="100" w:afterAutospacing="1" w:before="100" w:beforeAutospacing="1" w:line="240" w:lineRule="auto"/>
      <w:textAlignment w:val="top"/>
    </w:pPr>
    <w:rPr>
      <w:rFonts w:ascii="Arial" w:cs="Arial" w:eastAsia="Times New Roman" w:hAnsi="Arial"/>
      <w:sz w:val="16"/>
      <w:szCs w:val="16"/>
      <w:lang w:eastAsia="hr-BA" w:val="hr-BA"/>
    </w:rPr>
  </w:style>
  <w:style w:customStyle="1" w:styleId="xl90" w:type="paragraph">
    <w:name w:val="xl90"/>
    <w:basedOn w:val="Normal"/>
    <w:rsid w:val="00752CEE"/>
    <w:pPr>
      <w:spacing w:after="100" w:afterAutospacing="1" w:before="100" w:beforeAutospacing="1" w:line="240" w:lineRule="auto"/>
    </w:pPr>
    <w:rPr>
      <w:rFonts w:ascii="Arial" w:cs="Arial" w:eastAsia="Times New Roman" w:hAnsi="Arial"/>
      <w:sz w:val="16"/>
      <w:szCs w:val="16"/>
      <w:lang w:eastAsia="hr-BA" w:val="hr-BA"/>
    </w:rPr>
  </w:style>
  <w:style w:styleId="Tekstrezerviranogmjesta" w:type="character">
    <w:name w:val="Placeholder Text"/>
    <w:basedOn w:val="Zadanifontodlomka"/>
    <w:uiPriority w:val="99"/>
    <w:semiHidden/>
    <w:rsid w:val="004135FD"/>
    <w:rPr>
      <w:color w:val="808080"/>
      <w:bdr w:color="auto" w:space="0" w:sz="0" w:val="none"/>
      <w:shd w:color="auto" w:fill="auto" w:val="clear"/>
    </w:rPr>
  </w:style>
  <w:style w:customStyle="1" w:styleId="eSPISCCParagraphDefaultFont" w:type="character">
    <w:name w:val="eSPIS_CC_Paragraph Default Font"/>
    <w:basedOn w:val="Zadanifontodlomka"/>
    <w:rsid w:val="004135F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135FD"/>
    <w:rPr>
      <w:rFonts w:ascii="Times New Roman" w:cs="Times New Roman" w:eastAsia="Times New Roman" w:hAnsi="Times New Roman"/>
      <w:sz w:val="24"/>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135FD"/>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135FD"/>
    <w:rPr>
      <w:rFonts w:ascii="Times New Roman" w:cs="Times New Roman" w:eastAsia="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St-621/2013-405</izvorni_sadrzaj>
    <derivirana_varijabla naziv="DomainObject.Oznaka_1">St-621/2013-405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15</izvorni_sadrzaj>
    <derivirana_varijabla naziv="DomainObject.BrojStranica_1">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 Višnjica Broz</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 SEVERITAS d.o.o. za trgovinu i usluge; JANA ČRNIGOJ; Ivana Sever; Višnjica Broz</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 Višnjica Broz, OIB 97409917882</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 SEVERITAS d.o.o. za trgovinu i usluge, OIB 92595616163; JANA ČRNIGOJ; Ivana Sever, OIB 22462137826; Višnjica Broz, OIB 97409917882</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 Višnjica Broz, Ulica Kralja Tomislava 43, 49243 Oroslavje</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 SEVERITAS d.o.o. za trgovinu i usluge, Poljana Zdenka Mikine 46, 10000 Zagreb; JANA ČRNIGOJ, Polževa ulica 39, Ajdovščina; Ivana Sever, Mrkšina Ulica 14, 10000 Zagreb; Višnjica Broz, Ulica Kralja Tomislava 43, 49243 Oroslavje</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 Višnjica Broz, OIB 97409917882, Ulica Kralja Tomislava 43, 49243 Oroslavje</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 SEVERITAS d.o.o. za trgovinu i usluge, OIB 92595616163, Poljana Zdenka Mikine 46, 10000 Zagreb; JANA ČRNIGOJ, Polževa ulica 39, Ajdovščina; Ivana Sever, OIB 22462137826, Mrkšina Ulica 14, 10000 Zagreb; Višnjica Broz, OIB 97409917882, Ulica Kralja Tomislava 43, 49243 Oroslavje</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Zagreb,Višnjica Broz Ulica Kralja Tomislava 43,49243 Oroslavje</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Andrilovec,SEVERITAS d.o.o. za trgovinu i usluge Poljana Zdenka Mikine 46,10000 Zagreb,JANA ČRNIGOJ Polževa ulica 39,Ajdovščina,Ivana Sever Mrkšina Ulica 14,10000 Zagreb,Višnjica Broz Ulica Kralja Tomislava 43,49243 Oroslavje</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Zagreb,Višnjica Broz, OIB 97409917882, Ulica Kralja Tomislava 43,49243 Oroslavje</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Andrilovec,SEVERITAS d.o.o. za trgovinu i usluge, OIB 92595616163, Poljana Zdenka Mikine 46,10000 Zagreb,JANA ČRNIGOJ, Polževa ulica 39,Ajdovščina,Ivana Sever, OIB 22462137826, Mrkšina Ulica 14,10000 Zagreb,Višnjica Broz, OIB 97409917882, Ulica Kralja Tomislava 43,49243 Oroslavje</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Sever,Višnjica Broz</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Pranjić,SEVERITAS d.o.o. za trgovinu i usluge,JANA ČRNIGOJ,Ivana Sever,Višnjica Broz</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22462137826,Višnjica Broz, OIB 97409917882</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82413027256,SEVERITAS d.o.o. za trgovinu i usluge, OIB 92595616163,JANA ČRNIGOJ,Ivana Sever, OIB 22462137826,Višnjica Broz, OIB 97409917882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tem>Višnjica Broz, Ulica Kralja Tomislava 43, 49243 Oroslavje</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tem>SEVERITAS d.o.o. za trgovinu i usluge, Poljana Zdenka Mikine 46, 10000 Zagreb</item>
      <item>JANA ČRNIGOJ, Polževa ulica 39, Ajdovščina</item>
      <item>Ivana Sever, Mrkšina Ulica 14, 10000 Zagreb</item>
      <item>Višnjica Broz, Ulica Kralja Tomislava 43, 49243 Oroslavje</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tem>Višnjica Broz, OIB 97409917882, Ulica Kralja Tomislava 43, 49243 Oroslavje</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tem>SEVERITAS d.o.o. za trgovinu i usluge, OIB 92595616163, Poljana Zdenka Mikine 46, 10000 Zagreb</item>
      <item>JANA ČRNIGOJ, Polževa ulica 39, Ajdovščina</item>
      <item>Ivana Sever, OIB 22462137826, Mrkšina Ulica 14, 10000 Zagreb</item>
      <item>Višnjica Broz, OIB 97409917882, Ulica Kralja Tomislava 43, 49243 Oroslavje</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tem>SEVERITAS d.o.o. za trgovinu i usluge, OIB 92595616163</item>
      <item>JANA ČRNIGOJ</item>
      <item>Ivana Sever, OIB 22462137826</item>
      <item>Višnjica Broz, OIB 97409917882</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 A. Starčevića 9, 23000 Zadar</item>
      <item>CROATIA osiguranje d.d., Miramarska 22, 10000 Zagreb</item>
      <item>ŽDO-GRAĐANSKO UPRAVNI ODJEL</item>
      <item>HZZO-PODRUČNI URED KRAPINA, I. RENDIĆA 7, 49000 Krapina</item>
      <item>REMENAR &amp; REMENAR odvjetničko društvo, j.t.d., Trg hrvatskih velikana 4, 10000 Zagreb</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 A. Starčevića 9, 23000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2017.</izvorni_sadrzaj>
    <derivirana_varijabla naziv="DomainObject.Datum_1">13. rujna 2017.</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tem>SEVERITAS d.o.o. za trgovinu i usluge</item>
      <item>JANA ČRNIGOJ</item>
      <item>Ivana Sever</item>
      <item>Višnjica Broz</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tem>Višnjica Broz, OIB 97409917882, Ulica Kralja Tomislava 43,49243 Oroslavje</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 A. Starčevića 9,23000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tem>SEVERITAS d.o.o. za trgovinu i usluge, OIB 92595616163, Poljana Zdenka Mikine 46,10000 Zagreb</item>
      <item>JANA ČRNIGOJ, Polževa ulica 39,Ajdovščina</item>
      <item>Ivana Sever, OIB 22462137826, Mrkšina Ulica 14,10000 Zagreb</item>
      <item>Višnjica Broz, OIB 97409917882, Ulica Kralja Tomislava 43,49243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tem>, OIB 97409917882</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tem>, OIB 92595616163</item>
      <item>, OIB null</item>
      <item>, OIB 22462137826</item>
      <item>, OIB 97409917882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15</properties:Pages>
  <properties:Words>6517</properties:Words>
  <properties:Characters>40087</properties:Characters>
  <properties:Lines>2013</properties:Lines>
  <properties:Paragraphs>1498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2017-09-12T10:19:00Z</dcterms:created>
  <dc:creator>Zdravko</dc:creator>
  <cp:lastModifiedBy>Vinka Mihalinčić</cp:lastModifiedBy>
  <dcterms:modified xmlns:xsi="http://www.w3.org/2001/XMLSchema-instance" xsi:type="dcterms:W3CDTF">2017-09-13T12:30:00Z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St-621/2013-405 / Podnesak - Završni račun</vt:lpwstr>
  </prop:property>
  <prop:property name="CC_coloring" pid="4" fmtid="{D5CDD505-2E9C-101B-9397-08002B2CF9AE}">
    <vt:bool>false</vt:bool>
  </prop:property>
  <prop:property name="BrojStranica" pid="5" fmtid="{D5CDD505-2E9C-101B-9397-08002B2CF9AE}">
    <vt:i4>15</vt:i4>
  </prop:property>
</prop:Properties>
</file>