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dc73" w14:paraId="d42dc73" w:rsidRDefault="006A3338" w:rsidP="006A3338" w:rsidR="006A3338">
      <w:pPr>
        <w15:collapsed w:val="false"/>
        <w:rPr>
          <w:rFonts w:cs="Arial" w:hAnsi="Arial" w:ascii="Arial"/>
          <w:b/>
          <w:lang w:val="hr-HR"/>
        </w:rPr>
      </w:pPr>
    </w:p>
    <w:p w:rsidRDefault="006A3338" w:rsidP="006A3338" w:rsidR="006A3338">
      <w:pPr>
        <w:rPr>
          <w:rFonts w:cs="Arial" w:hAnsi="Arial" w:ascii="Arial"/>
          <w:b/>
          <w:sz w:val="20"/>
          <w:lang w:val="hr-HR"/>
        </w:rPr>
      </w:pP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5578E" w:rsidR="00F5578E">
        <w:tc>
          <w:tcPr>
            <w:tcW w:type="dxa" w:w="2985"/>
            <w:hideMark/>
          </w:tcPr>
          <w:p w:rsidRDefault="00F5578E" w:rsidR="00F5578E">
            <w:pPr>
              <w:jc w:val="center"/>
              <w:rPr>
                <w:szCs w:val="24"/>
                <w:lang w:eastAsia="en-US"/>
              </w:rPr>
            </w:pPr>
            <w:r>
              <w:rPr>
                <w:noProof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5578E" w:rsidR="00F5578E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Republika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Hrvatska</w:t>
            </w:r>
            <w:proofErr w:type="spellEnd"/>
          </w:p>
          <w:p w:rsidRDefault="00F5578E" w:rsidR="00F5578E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Trgovački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sud</w:t>
            </w:r>
            <w:proofErr w:type="spellEnd"/>
            <w:r>
              <w:rPr>
                <w:szCs w:val="24"/>
              </w:rPr>
              <w:t xml:space="preserve"> u </w:t>
            </w:r>
            <w:proofErr w:type="spellStart"/>
            <w:r>
              <w:rPr>
                <w:szCs w:val="24"/>
              </w:rPr>
              <w:t>Varaždinu</w:t>
            </w:r>
            <w:proofErr w:type="spellEnd"/>
          </w:p>
          <w:p w:rsidRDefault="00F5578E" w:rsidR="00F5578E">
            <w:pPr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</w:rPr>
              <w:t>Varaždin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Braće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Radić</w:t>
            </w:r>
            <w:proofErr w:type="spellEnd"/>
            <w:r>
              <w:rPr>
                <w:szCs w:val="24"/>
              </w:rPr>
              <w:t xml:space="preserve"> 2.</w:t>
            </w:r>
          </w:p>
        </w:tc>
      </w:tr>
    </w:tbl>
    <w:p w:rsidRDefault="00F5578E" w:rsidP="00F5578E" w:rsidR="00F5578E">
      <w:pPr>
        <w:jc w:val="right"/>
        <w:rPr>
          <w:sz w:val="12"/>
          <w:szCs w:val="24"/>
          <w:lang w:eastAsia="en-US"/>
        </w:rPr>
      </w:pPr>
      <w:r>
        <w:rPr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5578E" w:rsidR="00F5578E">
        <w:trPr>
          <w:trHeight w:val="206"/>
          <w:jc w:val="right"/>
        </w:trPr>
        <w:tc>
          <w:tcPr>
            <w:tcW w:type="dxa" w:w="4320"/>
            <w:hideMark/>
          </w:tcPr>
          <w:p w:rsidRDefault="00F5578E" w:rsidP="00F5578E" w:rsidR="00F5578E">
            <w:pPr>
              <w:pStyle w:val="VSVerzija"/>
              <w:jc w:val="center"/>
            </w:pPr>
            <w:r>
              <w:t xml:space="preserve">                   </w:t>
            </w:r>
            <w:r>
              <w:t xml:space="preserve">Poslovni broj: </w:t>
            </w:r>
            <w:r>
              <w:t>6 St-144/2013-94</w:t>
            </w:r>
            <w:r>
              <w:t xml:space="preserve">  </w:t>
            </w:r>
          </w:p>
        </w:tc>
      </w:tr>
    </w:tbl>
    <w:p w:rsidRDefault="00F5578E" w:rsidP="00F5578E" w:rsidR="00F5578E">
      <w:pPr>
        <w:jc w:val="both"/>
        <w:rPr>
          <w:szCs w:val="24"/>
          <w:lang w:eastAsia="en-US"/>
        </w:rPr>
      </w:pPr>
    </w:p>
    <w:p w:rsidRDefault="006A3338" w:rsidP="006A3338" w:rsidR="006A3338">
      <w:pPr>
        <w:rPr>
          <w:szCs w:val="24"/>
          <w:lang w:val="hr-HR"/>
        </w:rPr>
      </w:pPr>
    </w:p>
    <w:p w:rsidRDefault="006A3338" w:rsidP="006A3338" w:rsidR="006A3338">
      <w:pPr>
        <w:rPr>
          <w:szCs w:val="24"/>
          <w:lang w:val="hr-HR"/>
        </w:rPr>
      </w:pPr>
    </w:p>
    <w:p w:rsidRDefault="006A3338" w:rsidP="006A3338" w:rsidR="006A3338">
      <w:pPr>
        <w:rPr>
          <w:szCs w:val="24"/>
          <w:lang w:val="hr-HR"/>
        </w:rPr>
      </w:pPr>
    </w:p>
    <w:p w:rsidRDefault="006A3338" w:rsidP="006A3338" w:rsidR="006A333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E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P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U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B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L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K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A</w:t>
      </w:r>
      <w:r w:rsidR="00F5578E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H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R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V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A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T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K</w:t>
      </w:r>
      <w:r w:rsidR="00F5578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A</w:t>
      </w:r>
    </w:p>
    <w:p w:rsidRDefault="006A3338" w:rsidP="006A3338" w:rsidR="006A3338">
      <w:pPr>
        <w:jc w:val="center"/>
        <w:rPr>
          <w:szCs w:val="24"/>
          <w:lang w:val="hr-HR"/>
        </w:rPr>
      </w:pPr>
    </w:p>
    <w:p w:rsidRDefault="006A3338" w:rsidP="006A3338" w:rsidR="006A333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6A3338" w:rsidP="006A3338" w:rsidR="006A3338">
      <w:pPr>
        <w:rPr>
          <w:szCs w:val="24"/>
          <w:lang w:val="hr-HR"/>
        </w:rPr>
      </w:pPr>
    </w:p>
    <w:p w:rsidRDefault="006A3338" w:rsidP="006A3338" w:rsidR="006A3338">
      <w:pPr>
        <w:rPr>
          <w:szCs w:val="24"/>
          <w:lang w:val="hr-HR"/>
        </w:rPr>
      </w:pPr>
    </w:p>
    <w:p w:rsidRDefault="00F5578E" w:rsidP="00F5578E" w:rsidR="006A333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Trgovački sud u Varaždinu, po sucu</w:t>
      </w:r>
      <w:r w:rsidR="006A3338">
        <w:rPr>
          <w:szCs w:val="24"/>
          <w:lang w:val="hr-HR"/>
        </w:rPr>
        <w:t xml:space="preserve"> Hugu </w:t>
      </w:r>
      <w:proofErr w:type="spellStart"/>
      <w:r w:rsidR="006A3338">
        <w:rPr>
          <w:szCs w:val="24"/>
          <w:lang w:val="hr-HR"/>
        </w:rPr>
        <w:t>Wedemeyeru</w:t>
      </w:r>
      <w:proofErr w:type="spellEnd"/>
      <w:r w:rsidR="006A3338">
        <w:rPr>
          <w:szCs w:val="24"/>
          <w:lang w:val="hr-HR"/>
        </w:rPr>
        <w:t xml:space="preserve">, u stečajnom postupku koji se vodi nad stečajnim dužnikom </w:t>
      </w:r>
      <w:bookmarkStart w:name="_Hlk528310322" w:id="0"/>
      <w:r w:rsidR="006A3338">
        <w:rPr>
          <w:szCs w:val="24"/>
          <w:lang w:val="hr-HR"/>
        </w:rPr>
        <w:t>AUTO KUĆA</w:t>
      </w:r>
      <w:r>
        <w:rPr>
          <w:szCs w:val="24"/>
          <w:lang w:val="hr-HR"/>
        </w:rPr>
        <w:t xml:space="preserve"> BIŠKUP  d.o.o.. u stečaju,</w:t>
      </w:r>
      <w:r w:rsidR="006A3338">
        <w:rPr>
          <w:szCs w:val="24"/>
          <w:lang w:val="hr-HR"/>
        </w:rPr>
        <w:t xml:space="preserve"> iz Varaždina, Ivana Mažuranića 24, OIB:</w:t>
      </w:r>
      <w:r w:rsidR="006A3338">
        <w:rPr>
          <w:szCs w:val="24"/>
        </w:rPr>
        <w:t xml:space="preserve"> </w:t>
      </w:r>
      <w:r w:rsidR="006A3338">
        <w:rPr>
          <w:szCs w:val="24"/>
          <w:lang w:val="hr-HR"/>
        </w:rPr>
        <w:t>29715621579, MBS: 070060511</w:t>
      </w:r>
      <w:bookmarkEnd w:id="0"/>
      <w:r w:rsidR="006A3338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kojeg zastupa </w:t>
      </w:r>
      <w:r w:rsidR="006A3338">
        <w:rPr>
          <w:szCs w:val="24"/>
          <w:lang w:val="hr-HR"/>
        </w:rPr>
        <w:t>stečajn</w:t>
      </w:r>
      <w:r>
        <w:rPr>
          <w:szCs w:val="24"/>
          <w:lang w:val="hr-HR"/>
        </w:rPr>
        <w:t>i</w:t>
      </w:r>
      <w:r w:rsidR="006A3338">
        <w:rPr>
          <w:szCs w:val="24"/>
          <w:lang w:val="hr-HR"/>
        </w:rPr>
        <w:t xml:space="preserve"> upravitelj Nenad </w:t>
      </w:r>
      <w:proofErr w:type="spellStart"/>
      <w:r w:rsidR="006A3338">
        <w:rPr>
          <w:szCs w:val="24"/>
          <w:lang w:val="hr-HR"/>
        </w:rPr>
        <w:t>Homaru</w:t>
      </w:r>
      <w:proofErr w:type="spellEnd"/>
      <w:r>
        <w:rPr>
          <w:szCs w:val="24"/>
          <w:lang w:val="hr-HR"/>
        </w:rPr>
        <w:t>,</w:t>
      </w:r>
      <w:r w:rsidR="006A3338">
        <w:rPr>
          <w:szCs w:val="24"/>
          <w:lang w:val="hr-HR"/>
        </w:rPr>
        <w:t xml:space="preserve">iz Koprivnice, Dravska </w:t>
      </w:r>
      <w:r>
        <w:rPr>
          <w:szCs w:val="24"/>
          <w:lang w:val="hr-HR"/>
        </w:rPr>
        <w:t>br. 1, izvan ročišta 21.</w:t>
      </w:r>
      <w:r w:rsidR="006A3338">
        <w:rPr>
          <w:szCs w:val="24"/>
          <w:lang w:val="hr-HR"/>
        </w:rPr>
        <w:t xml:space="preserve"> studenog</w:t>
      </w:r>
      <w:r>
        <w:rPr>
          <w:szCs w:val="24"/>
          <w:lang w:val="hr-HR"/>
        </w:rPr>
        <w:t>a 2018.,</w:t>
      </w:r>
    </w:p>
    <w:p w:rsidRDefault="006A3338" w:rsidP="006A3338" w:rsidR="006A3338">
      <w:pPr>
        <w:jc w:val="both"/>
        <w:rPr>
          <w:szCs w:val="24"/>
          <w:lang w:val="hr-HR"/>
        </w:rPr>
      </w:pPr>
    </w:p>
    <w:p w:rsidRDefault="006A3338" w:rsidP="006A3338" w:rsidR="006A333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r i j e š i o </w:t>
      </w:r>
      <w:r w:rsidR="00F5578E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j e</w:t>
      </w:r>
    </w:p>
    <w:p w:rsidRDefault="006A3338" w:rsidP="006A3338" w:rsidR="006A3338">
      <w:pPr>
        <w:jc w:val="both"/>
        <w:rPr>
          <w:szCs w:val="24"/>
          <w:lang w:val="hr-HR"/>
        </w:rPr>
      </w:pPr>
    </w:p>
    <w:p w:rsidRDefault="006A3338" w:rsidP="006A3338" w:rsidR="006A3338">
      <w:pPr>
        <w:jc w:val="both"/>
        <w:rPr>
          <w:szCs w:val="24"/>
          <w:lang w:val="hr-HR"/>
        </w:rPr>
      </w:pPr>
    </w:p>
    <w:p w:rsidRDefault="0064297B" w:rsidP="0064297B" w:rsidR="006A3338" w:rsidRPr="0064297B">
      <w:proofErr w:type="gramStart"/>
      <w:r>
        <w:t>1)</w:t>
      </w:r>
      <w:proofErr w:type="spellStart"/>
      <w:r w:rsidR="006A3338" w:rsidRPr="0064297B">
        <w:t>Iz</w:t>
      </w:r>
      <w:proofErr w:type="spellEnd"/>
      <w:proofErr w:type="gramEnd"/>
      <w:r w:rsidR="006A3338" w:rsidRPr="0064297B">
        <w:t xml:space="preserve"> </w:t>
      </w:r>
      <w:proofErr w:type="spellStart"/>
      <w:r w:rsidR="006A3338" w:rsidRPr="0064297B">
        <w:t>cijene</w:t>
      </w:r>
      <w:proofErr w:type="spellEnd"/>
      <w:r w:rsidR="006A3338" w:rsidRPr="0064297B">
        <w:t xml:space="preserve"> </w:t>
      </w:r>
      <w:proofErr w:type="spellStart"/>
      <w:r w:rsidR="006A3338" w:rsidRPr="0064297B">
        <w:t>ostvarene</w:t>
      </w:r>
      <w:proofErr w:type="spellEnd"/>
      <w:r w:rsidR="006A3338" w:rsidRPr="0064297B">
        <w:t xml:space="preserve"> </w:t>
      </w:r>
      <w:proofErr w:type="spellStart"/>
      <w:r w:rsidR="006A3338" w:rsidRPr="0064297B">
        <w:t>prodajom</w:t>
      </w:r>
      <w:proofErr w:type="spellEnd"/>
      <w:r w:rsidR="006A3338" w:rsidRPr="0064297B">
        <w:t xml:space="preserve"> pokretnina stečajnog dužnika </w:t>
      </w:r>
      <w:bookmarkStart w:name="_Hlk528311949" w:id="1"/>
      <w:r w:rsidR="006A3338" w:rsidRPr="0064297B">
        <w:t>AUTO KUĆA BIŠKUP  d.o.o.</w:t>
      </w:r>
      <w:r w:rsidR="00F5578E" w:rsidRPr="0064297B">
        <w:t>, u stečaju,</w:t>
      </w:r>
      <w:r w:rsidR="006A3338" w:rsidRPr="0064297B">
        <w:t xml:space="preserve"> iz Varaždina, Ivana Mažuranića 24, OIB: 29715621579, MBS: 070060511</w:t>
      </w:r>
      <w:r w:rsidR="00F5578E" w:rsidRPr="0064297B">
        <w:t>,</w:t>
      </w:r>
      <w:r w:rsidR="006A3338" w:rsidRPr="0064297B">
        <w:t xml:space="preserve"> </w:t>
      </w:r>
      <w:bookmarkEnd w:id="1"/>
      <w:r w:rsidR="006A3338" w:rsidRPr="0064297B">
        <w:t>i to</w:t>
      </w:r>
      <w:r w:rsidR="00F5578E" w:rsidRPr="0064297B">
        <w:t>,</w:t>
      </w:r>
      <w:r w:rsidR="006A3338" w:rsidRPr="0064297B">
        <w:t xml:space="preserve"> PC Pentium 3 kom, u iznosu od 553,00 kuna, namiruju se</w:t>
      </w:r>
      <w:r w:rsidR="00F5578E" w:rsidRPr="0064297B">
        <w:t xml:space="preserve"> </w:t>
      </w:r>
      <w:r w:rsidR="006A3338" w:rsidRPr="0064297B">
        <w:t>:</w:t>
      </w:r>
    </w:p>
    <w:p w:rsidRDefault="0064297B" w:rsidP="0064297B" w:rsidR="0064297B" w:rsidRPr="0064297B"/>
    <w:p w:rsidRDefault="006A3338" w:rsidP="006A3338" w:rsidR="006A333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1) troškovi utvrđivanja tražbine u paušalnom iznosu od 27,65 kuna (5 posto od utrška) </w:t>
      </w:r>
    </w:p>
    <w:p w:rsidRDefault="006A3338" w:rsidP="006A3338" w:rsidR="006A333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2) stvarno nastali troškovi unovčenja u iznosu od </w:t>
      </w:r>
      <w:bookmarkStart w:name="_Hlk528314046" w:id="2"/>
      <w:r>
        <w:rPr>
          <w:szCs w:val="24"/>
          <w:lang w:val="hr-HR"/>
        </w:rPr>
        <w:t>170,35 kuna</w:t>
      </w:r>
      <w:bookmarkEnd w:id="2"/>
    </w:p>
    <w:p w:rsidRDefault="006A3338" w:rsidP="006A3338" w:rsidR="006A333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3) </w:t>
      </w:r>
      <w:proofErr w:type="spellStart"/>
      <w:r>
        <w:rPr>
          <w:szCs w:val="24"/>
          <w:lang w:val="hr-HR"/>
        </w:rPr>
        <w:t>razlučni</w:t>
      </w:r>
      <w:proofErr w:type="spellEnd"/>
      <w:r>
        <w:rPr>
          <w:szCs w:val="24"/>
          <w:lang w:val="hr-HR"/>
        </w:rPr>
        <w:t xml:space="preserve"> vjerovnik REPUBLIKA HRVATSKA, u iznosu od 355,00 kuna</w:t>
      </w:r>
    </w:p>
    <w:p w:rsidRDefault="006A3338" w:rsidP="006A3338" w:rsidR="006A333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5578E" w:rsidP="006A3338" w:rsidR="006A333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2)  Nalaže se s</w:t>
      </w:r>
      <w:r w:rsidR="006A3338">
        <w:rPr>
          <w:szCs w:val="24"/>
          <w:lang w:val="hr-HR"/>
        </w:rPr>
        <w:t>tečajnom upravitelju da s računa stečajnog dužnika po pravomoćnosti ovog rješenja izvrši isplatu iznosa od</w:t>
      </w:r>
      <w:r w:rsidR="00DC26F0">
        <w:rPr>
          <w:szCs w:val="24"/>
          <w:lang w:val="hr-HR"/>
        </w:rPr>
        <w:t xml:space="preserve"> </w:t>
      </w:r>
      <w:r w:rsidR="006A3338">
        <w:rPr>
          <w:szCs w:val="24"/>
          <w:lang w:val="hr-HR"/>
        </w:rPr>
        <w:t>:</w:t>
      </w:r>
    </w:p>
    <w:p w:rsidRDefault="0064297B" w:rsidP="006A3338" w:rsidR="0064297B">
      <w:pPr>
        <w:jc w:val="both"/>
        <w:rPr>
          <w:szCs w:val="24"/>
          <w:lang w:val="hr-HR"/>
        </w:rPr>
      </w:pPr>
    </w:p>
    <w:p w:rsidRDefault="006A3338" w:rsidP="006A3338" w:rsidR="006A333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- 355,00 kuna na račun </w:t>
      </w:r>
      <w:proofErr w:type="spellStart"/>
      <w:r>
        <w:rPr>
          <w:szCs w:val="24"/>
          <w:lang w:val="hr-HR"/>
        </w:rPr>
        <w:t>razlučnog</w:t>
      </w:r>
      <w:proofErr w:type="spellEnd"/>
      <w:r>
        <w:rPr>
          <w:szCs w:val="24"/>
          <w:lang w:val="hr-HR"/>
        </w:rPr>
        <w:t xml:space="preserve"> vjerovnika</w:t>
      </w:r>
      <w:r>
        <w:t xml:space="preserve"> </w:t>
      </w:r>
      <w:r>
        <w:rPr>
          <w:szCs w:val="24"/>
          <w:lang w:val="hr-HR"/>
        </w:rPr>
        <w:t>REPUBLIKA HRVATSKA, kod HNB-a, i to : IBAN HR12 1001 0051 8630 0016 0 s pozivom na broj HR68 1201-29715621579</w:t>
      </w:r>
      <w:r w:rsidR="0064297B">
        <w:rPr>
          <w:szCs w:val="24"/>
          <w:lang w:val="hr-HR"/>
        </w:rPr>
        <w:t>.</w:t>
      </w:r>
    </w:p>
    <w:p w:rsidRDefault="006A3338" w:rsidP="006A3338" w:rsidR="006A3338">
      <w:pPr>
        <w:jc w:val="center"/>
        <w:rPr>
          <w:szCs w:val="24"/>
          <w:lang w:val="hr-HR"/>
        </w:rPr>
      </w:pPr>
    </w:p>
    <w:p w:rsidRDefault="006A3338" w:rsidP="006A3338" w:rsidR="006A3338">
      <w:pPr>
        <w:jc w:val="center"/>
        <w:rPr>
          <w:szCs w:val="24"/>
          <w:lang w:val="hr-HR"/>
        </w:rPr>
      </w:pPr>
    </w:p>
    <w:p w:rsidRDefault="006A3338" w:rsidP="006A3338" w:rsidR="006A333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6A3338" w:rsidP="006A3338" w:rsidR="006A3338">
      <w:pPr>
        <w:jc w:val="both"/>
        <w:rPr>
          <w:rFonts w:cs="Arial" w:hAnsi="Arial" w:ascii="Arial"/>
          <w:sz w:val="20"/>
          <w:lang w:val="hr-HR"/>
        </w:rPr>
      </w:pPr>
    </w:p>
    <w:p w:rsidRDefault="006A3338" w:rsidP="006A3338" w:rsidR="006A3338">
      <w:pPr>
        <w:jc w:val="both"/>
        <w:rPr>
          <w:rFonts w:cs="Arial" w:hAnsi="Arial" w:ascii="Arial"/>
          <w:sz w:val="20"/>
          <w:lang w:val="hr-HR"/>
        </w:rPr>
      </w:pPr>
    </w:p>
    <w:p w:rsidRDefault="006A3338" w:rsidP="006A3338" w:rsidR="006A3338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Stečajni upravitelj je podneskom od 3. srpnja 2018. obavijestio sud  da su u stečajnom postupku unovčene pokretnine na kojima postoji založno pravo Republike Hrvatske</w:t>
      </w:r>
      <w:r w:rsidR="00034C4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Ministarstva financija</w:t>
      </w:r>
      <w:r w:rsidR="00034C4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i to</w:t>
      </w:r>
      <w:r w:rsidR="00034C4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PC Pentium 3 kom za ukupnu </w:t>
      </w:r>
      <w:r w:rsidR="00034C41">
        <w:rPr>
          <w:szCs w:val="24"/>
          <w:lang w:val="hr-HR"/>
        </w:rPr>
        <w:t>cijenu od 553,00 kuna, te je predlo</w:t>
      </w:r>
      <w:r>
        <w:rPr>
          <w:szCs w:val="24"/>
          <w:lang w:val="hr-HR"/>
        </w:rPr>
        <w:t>žio da se na ovaj iznos primijeni nač</w:t>
      </w:r>
      <w:r w:rsidR="00034C41">
        <w:rPr>
          <w:szCs w:val="24"/>
          <w:lang w:val="hr-HR"/>
        </w:rPr>
        <w:t>in obračuna troškova iz točke 2)</w:t>
      </w:r>
      <w:r>
        <w:rPr>
          <w:szCs w:val="24"/>
          <w:lang w:val="hr-HR"/>
        </w:rPr>
        <w:t xml:space="preserve"> predmetnog podneska, a razmjerno udjelu iznosa dobivenog unovčenjem pokretnina i ukupnog iznosa unovčenja imovine u ovom stečajnom postupku.</w:t>
      </w:r>
    </w:p>
    <w:p w:rsidRDefault="006A3338" w:rsidP="006A3338" w:rsidR="006A3338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Sud je pristupio namirenju vjerovnika primjenom odredbe čl. 169. st. 1. Stečajnog zakona (Narodne novine br. 44/96., 29/99., 129/00., 123/03., 197/03., 187/04., 82/</w:t>
      </w:r>
      <w:r w:rsidR="00034C41">
        <w:rPr>
          <w:szCs w:val="24"/>
          <w:lang w:val="hr-HR"/>
        </w:rPr>
        <w:t xml:space="preserve">06., 116/10., 25/12. i 133/12. i 45/13., </w:t>
      </w:r>
      <w:r>
        <w:rPr>
          <w:szCs w:val="24"/>
          <w:lang w:val="hr-HR"/>
        </w:rPr>
        <w:t xml:space="preserve">dalje </w:t>
      </w:r>
      <w:r w:rsidR="00034C41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SZ-a) i čl. 170. st. 1. i st. 2. SZ-a.</w:t>
      </w:r>
    </w:p>
    <w:p w:rsidRDefault="006A3338" w:rsidP="006A3338" w:rsidR="006A3338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Primjenom navedenih odredbi SZ-a iz iznosa ostvarenog prodajom najprije  su namireni  troškovi iz čl. 170. SZ-a, i to tako da su troškovi utvrđivanja tražbine određeni u paušalnom iznosu u visini od 5 posto utrška (27,65 kuna), a troškovi unovčenja u stvarno nastalom iznosu od 170,35 kuna.</w:t>
      </w:r>
    </w:p>
    <w:p w:rsidRDefault="006A3338" w:rsidP="00DC26F0" w:rsidR="006A3338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Stečajni upravitelj </w:t>
      </w:r>
      <w:r w:rsidR="00B32A39">
        <w:rPr>
          <w:szCs w:val="24"/>
          <w:lang w:val="hr-HR"/>
        </w:rPr>
        <w:t xml:space="preserve">navedenim </w:t>
      </w:r>
      <w:r>
        <w:rPr>
          <w:szCs w:val="24"/>
          <w:lang w:val="hr-HR"/>
        </w:rPr>
        <w:t xml:space="preserve">podneskom od 3. srpnja 2018.  dostavio je u spis specifikaciju strukture troškova unovčenja po čl. 170. st. 2. SZ-a, a vezano za unovčenje sve imovine opterećene </w:t>
      </w:r>
      <w:proofErr w:type="spellStart"/>
      <w:r>
        <w:rPr>
          <w:szCs w:val="24"/>
          <w:lang w:val="hr-HR"/>
        </w:rPr>
        <w:t>razlučnim</w:t>
      </w:r>
      <w:proofErr w:type="spellEnd"/>
      <w:r>
        <w:rPr>
          <w:szCs w:val="24"/>
          <w:lang w:val="hr-HR"/>
        </w:rPr>
        <w:t xml:space="preserve"> pravom u stečajnom postupku, kako prodane nekretnine, tako i unovčenih pokretnina. Također je predložio da se na namirenje troškova primjeni način obračuna troškova, kakav je primijenjen na obračun troškova unovčene nekretnine, a gdje su u obračun uzeti putni troškovi, dio nagrade stečajnog upravitelja, te dio općih troškova stečajnog postupka, pri čemu je namirenje troškova zatraženo razmjerno udjelu koji dobivena </w:t>
      </w:r>
      <w:proofErr w:type="spellStart"/>
      <w:r>
        <w:rPr>
          <w:szCs w:val="24"/>
          <w:lang w:val="hr-HR"/>
        </w:rPr>
        <w:t>kupovnina</w:t>
      </w:r>
      <w:proofErr w:type="spellEnd"/>
      <w:r>
        <w:rPr>
          <w:szCs w:val="24"/>
          <w:lang w:val="hr-HR"/>
        </w:rPr>
        <w:t xml:space="preserve"> ima u ukupnom iznosu unovčenja imovine stečajnog dužnika od 108.158,91 kuna, odnosno i manje jer stečajni upravitelj traži dio namirenja općih troškova samo do potrebnog iznosa za namirenje preostalih neplaćenih troškova.</w:t>
      </w:r>
    </w:p>
    <w:p w:rsidRDefault="006A3338" w:rsidP="00DC26F0" w:rsidR="006A333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Sud je uvidom u podnesak stečajnog upravitelja od 3. srpnja 2018. utvrdio da isti sadrži specifikaciju i obrazloženje strukture stvarno nastalih troškova unovčenja iz čl. 170. st. 2. SZ-a, kao i da je točno utvrđen paušalni iznos u iznosu od 5 posto od utrška iz čl. 170. st. 1. SZ-a.</w:t>
      </w:r>
    </w:p>
    <w:p w:rsidRDefault="006A3338" w:rsidP="00DC26F0" w:rsidR="006A3338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Zbog svega iznijetog valjalo je temeljem gore navedenih odredbi SZ-a odlučiti kao u izreci ovog rješenja.</w:t>
      </w:r>
    </w:p>
    <w:p w:rsidRDefault="006A3338" w:rsidP="006A3338" w:rsidR="006A3338">
      <w:pPr>
        <w:jc w:val="both"/>
        <w:rPr>
          <w:szCs w:val="24"/>
          <w:lang w:val="hr-HR"/>
        </w:rPr>
      </w:pPr>
    </w:p>
    <w:p w:rsidRDefault="006A3338" w:rsidP="006A3338" w:rsidR="006A3338">
      <w:pPr>
        <w:ind w:firstLine="851"/>
        <w:jc w:val="both"/>
        <w:rPr>
          <w:rFonts w:cs="Arial" w:hAnsi="Arial" w:ascii="Arial"/>
          <w:sz w:val="20"/>
          <w:lang w:val="hr-HR"/>
        </w:rPr>
      </w:pPr>
    </w:p>
    <w:p w:rsidRDefault="00DC26F0" w:rsidP="006A3338" w:rsidR="006A3338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Varaždinu 21. </w:t>
      </w:r>
      <w:r w:rsidR="006A3338">
        <w:rPr>
          <w:szCs w:val="24"/>
          <w:lang w:val="hr-HR"/>
        </w:rPr>
        <w:t>studenog</w:t>
      </w:r>
      <w:r>
        <w:rPr>
          <w:szCs w:val="24"/>
          <w:lang w:val="hr-HR"/>
        </w:rPr>
        <w:t>a</w:t>
      </w:r>
      <w:r w:rsidR="006A3338">
        <w:rPr>
          <w:szCs w:val="24"/>
          <w:lang w:val="hr-HR"/>
        </w:rPr>
        <w:t xml:space="preserve"> 2018.</w:t>
      </w:r>
    </w:p>
    <w:p w:rsidRDefault="006A3338" w:rsidP="006A3338" w:rsidR="006A3338">
      <w:pPr>
        <w:jc w:val="both"/>
        <w:rPr>
          <w:szCs w:val="24"/>
          <w:lang w:val="hr-HR"/>
        </w:rPr>
      </w:pPr>
    </w:p>
    <w:p w:rsidRDefault="006A3338" w:rsidP="006A3338" w:rsidR="006A3338">
      <w:pPr>
        <w:jc w:val="both"/>
        <w:rPr>
          <w:szCs w:val="24"/>
          <w:lang w:val="hr-HR"/>
        </w:rPr>
      </w:pPr>
    </w:p>
    <w:p w:rsidRDefault="00DC26F0" w:rsidP="006A3338" w:rsidR="006A3338">
      <w:pPr>
        <w:ind w:firstLine="5387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Sudac </w:t>
      </w:r>
      <w:r w:rsidR="006A3338">
        <w:rPr>
          <w:szCs w:val="24"/>
          <w:lang w:val="hr-HR"/>
        </w:rPr>
        <w:t>:</w:t>
      </w:r>
    </w:p>
    <w:p w:rsidRDefault="00DC26F0" w:rsidP="00DC26F0" w:rsidR="00DC26F0">
      <w:pPr>
        <w:jc w:val="both"/>
        <w:rPr>
          <w:szCs w:val="24"/>
          <w:lang w:val="hr-HR"/>
        </w:rPr>
      </w:pPr>
    </w:p>
    <w:p w:rsidRDefault="00DC26F0" w:rsidP="00DC26F0" w:rsidR="006A3338">
      <w:pPr>
        <w:ind w:firstLine="708" w:left="354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</w:t>
      </w:r>
      <w:r w:rsidR="006A3338">
        <w:rPr>
          <w:szCs w:val="24"/>
          <w:lang w:val="hr-HR"/>
        </w:rPr>
        <w:t>Hugo Wedemeyer</w:t>
      </w:r>
      <w:r>
        <w:rPr>
          <w:szCs w:val="24"/>
          <w:lang w:val="hr-HR"/>
        </w:rPr>
        <w:t xml:space="preserve">, v. r. </w:t>
      </w:r>
    </w:p>
    <w:p w:rsidRDefault="00DC26F0" w:rsidP="00DC26F0" w:rsidR="00DC26F0">
      <w:pPr>
        <w:ind w:firstLine="708" w:left="3540"/>
        <w:jc w:val="both"/>
        <w:rPr>
          <w:szCs w:val="24"/>
          <w:lang w:val="hr-HR"/>
        </w:rPr>
      </w:pPr>
    </w:p>
    <w:p w:rsidRDefault="00DC26F0" w:rsidP="00DC26F0" w:rsidR="00DC26F0">
      <w:pPr>
        <w:ind w:firstLine="708" w:left="3540"/>
        <w:jc w:val="both"/>
        <w:rPr>
          <w:szCs w:val="24"/>
          <w:lang w:val="hr-HR"/>
        </w:rPr>
      </w:pPr>
    </w:p>
    <w:p w:rsidRDefault="00DC26F0" w:rsidP="00DC26F0" w:rsidR="00DC26F0">
      <w:pPr>
        <w:ind w:firstLine="708" w:left="354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C730CD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 :</w:t>
      </w:r>
    </w:p>
    <w:p w:rsidRDefault="006A3338" w:rsidP="006A3338" w:rsidR="006A3338">
      <w:pPr>
        <w:ind w:firstLine="4820"/>
        <w:jc w:val="both"/>
        <w:rPr>
          <w:szCs w:val="24"/>
          <w:lang w:val="hr-HR"/>
        </w:rPr>
      </w:pPr>
    </w:p>
    <w:p w:rsidRDefault="006A3338" w:rsidP="006A3338" w:rsidR="006A3338">
      <w:pPr>
        <w:ind w:firstLine="4820"/>
        <w:jc w:val="both"/>
        <w:rPr>
          <w:szCs w:val="24"/>
          <w:lang w:val="hr-HR"/>
        </w:rPr>
      </w:pPr>
    </w:p>
    <w:p w:rsidRDefault="006A3338" w:rsidP="006A3338" w:rsidR="006A3338">
      <w:pPr>
        <w:ind w:firstLine="4820"/>
        <w:jc w:val="both"/>
        <w:rPr>
          <w:szCs w:val="24"/>
          <w:lang w:val="hr-HR"/>
        </w:rPr>
      </w:pPr>
    </w:p>
    <w:p w:rsidRDefault="006A3338" w:rsidP="006A3338" w:rsidR="006A3338">
      <w:pPr>
        <w:ind w:firstLine="4820"/>
        <w:jc w:val="both"/>
        <w:rPr>
          <w:szCs w:val="24"/>
          <w:lang w:val="hr-HR"/>
        </w:rPr>
      </w:pPr>
    </w:p>
    <w:p w:rsidRDefault="00006123" w:rsidP="006A3338" w:rsidR="00006123">
      <w:pPr>
        <w:ind w:firstLine="4820"/>
        <w:jc w:val="both"/>
        <w:rPr>
          <w:szCs w:val="24"/>
          <w:lang w:val="hr-HR"/>
        </w:rPr>
      </w:pPr>
    </w:p>
    <w:p w:rsidRDefault="00DC26F0" w:rsidP="006A3338" w:rsidR="006A3338" w:rsidRPr="00DC26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Uputa  o  pravnom lijeku </w:t>
      </w:r>
      <w:r w:rsidR="006A3338" w:rsidRPr="00DC26F0">
        <w:rPr>
          <w:szCs w:val="24"/>
          <w:lang w:val="hr-HR"/>
        </w:rPr>
        <w:t xml:space="preserve">: </w:t>
      </w:r>
    </w:p>
    <w:p w:rsidRDefault="006A3338" w:rsidP="00DC26F0" w:rsidR="006A333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Protiv ovoga rješenja pravo na žalbu imaju stranke i sve osobe koje su polagale pravo na namirenje iz </w:t>
      </w:r>
      <w:proofErr w:type="spellStart"/>
      <w:r>
        <w:rPr>
          <w:szCs w:val="24"/>
          <w:lang w:val="hr-HR"/>
        </w:rPr>
        <w:t>kupovnine</w:t>
      </w:r>
      <w:proofErr w:type="spellEnd"/>
      <w:r>
        <w:rPr>
          <w:szCs w:val="24"/>
          <w:lang w:val="hr-HR"/>
        </w:rPr>
        <w:t xml:space="preserve">. Žalba se može izjaviti u roku od osam (8) dana od primitka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rješenja, pisano, u četiri (4) primjerka putem ovog suda, a o kojoj žalbi odlučuje Visoki trgovački sud Republike Hrvatske u Zagrebu.</w:t>
      </w:r>
    </w:p>
    <w:p w:rsidRDefault="006A3338" w:rsidP="006A3338" w:rsidR="006A3338">
      <w:pPr>
        <w:ind w:firstLine="720"/>
        <w:jc w:val="both"/>
        <w:rPr>
          <w:szCs w:val="24"/>
          <w:lang w:val="hr-HR"/>
        </w:rPr>
      </w:pPr>
    </w:p>
    <w:p w:rsidRDefault="006A3338" w:rsidP="006A3338" w:rsidR="006A3338">
      <w:pPr>
        <w:jc w:val="both"/>
        <w:rPr>
          <w:szCs w:val="24"/>
          <w:lang w:val="hr-HR"/>
        </w:rPr>
      </w:pPr>
    </w:p>
    <w:p w:rsidRDefault="00DC26F0" w:rsidP="006A3338" w:rsidR="00DC26F0">
      <w:pPr>
        <w:jc w:val="both"/>
        <w:rPr>
          <w:szCs w:val="24"/>
          <w:lang w:val="hr-HR"/>
        </w:rPr>
      </w:pPr>
    </w:p>
    <w:p w:rsidRDefault="00006123" w:rsidP="006A3338" w:rsidR="00006123">
      <w:pPr>
        <w:jc w:val="both"/>
        <w:rPr>
          <w:szCs w:val="24"/>
          <w:lang w:val="hr-HR"/>
        </w:rPr>
      </w:pPr>
    </w:p>
    <w:p w:rsidRDefault="006A3338" w:rsidP="006A3338" w:rsidR="006A333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DNA:</w:t>
      </w:r>
    </w:p>
    <w:p w:rsidRDefault="006A3338" w:rsidP="006A3338" w:rsidR="006A3338">
      <w:pPr>
        <w:jc w:val="both"/>
        <w:rPr>
          <w:szCs w:val="24"/>
          <w:lang w:val="hr-HR"/>
        </w:rPr>
      </w:pPr>
    </w:p>
    <w:p w:rsidRDefault="006A3338" w:rsidP="006A3338" w:rsidR="006A333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Stečajni upravitelj Nenad </w:t>
      </w:r>
      <w:proofErr w:type="spellStart"/>
      <w:r>
        <w:rPr>
          <w:szCs w:val="24"/>
          <w:lang w:val="hr-HR"/>
        </w:rPr>
        <w:t>Homar</w:t>
      </w:r>
      <w:proofErr w:type="spellEnd"/>
      <w:r>
        <w:rPr>
          <w:szCs w:val="24"/>
          <w:lang w:val="hr-HR"/>
        </w:rPr>
        <w:t xml:space="preserve"> iz Koprivnice, Dravska </w:t>
      </w:r>
      <w:r w:rsidR="00DC26F0">
        <w:rPr>
          <w:szCs w:val="24"/>
          <w:lang w:val="hr-HR"/>
        </w:rPr>
        <w:t xml:space="preserve">br. </w:t>
      </w:r>
      <w:r>
        <w:rPr>
          <w:szCs w:val="24"/>
          <w:lang w:val="hr-HR"/>
        </w:rPr>
        <w:t>1</w:t>
      </w:r>
      <w:r w:rsidR="00DC26F0">
        <w:rPr>
          <w:szCs w:val="24"/>
          <w:lang w:val="hr-HR"/>
        </w:rPr>
        <w:t>.</w:t>
      </w:r>
    </w:p>
    <w:p w:rsidRDefault="006A3338" w:rsidP="006A3338" w:rsidR="006A3338">
      <w:pPr>
        <w:jc w:val="both"/>
        <w:rPr>
          <w:szCs w:val="24"/>
        </w:rPr>
      </w:pPr>
    </w:p>
    <w:p w:rsidRDefault="006A3338" w:rsidP="006A3338" w:rsidR="006A3338">
      <w:pPr>
        <w:jc w:val="both"/>
        <w:rPr>
          <w:szCs w:val="24"/>
        </w:rPr>
      </w:pPr>
      <w:proofErr w:type="spellStart"/>
      <w:r>
        <w:rPr>
          <w:szCs w:val="24"/>
        </w:rPr>
        <w:t>Razlu</w:t>
      </w:r>
      <w:r w:rsidR="00C730CD">
        <w:rPr>
          <w:szCs w:val="24"/>
        </w:rPr>
        <w:t>čni</w:t>
      </w:r>
      <w:proofErr w:type="spellEnd"/>
      <w:r w:rsidR="00C730CD">
        <w:rPr>
          <w:szCs w:val="24"/>
        </w:rPr>
        <w:t xml:space="preserve"> </w:t>
      </w:r>
      <w:proofErr w:type="spellStart"/>
      <w:r w:rsidR="00C730CD">
        <w:rPr>
          <w:szCs w:val="24"/>
        </w:rPr>
        <w:t>vjerovnik</w:t>
      </w:r>
      <w:proofErr w:type="spellEnd"/>
      <w:r w:rsidR="00C730CD">
        <w:rPr>
          <w:szCs w:val="24"/>
        </w:rPr>
        <w:t xml:space="preserve"> </w:t>
      </w:r>
      <w:proofErr w:type="spellStart"/>
      <w:r w:rsidR="00C730CD">
        <w:rPr>
          <w:szCs w:val="24"/>
        </w:rPr>
        <w:t>Re</w:t>
      </w:r>
      <w:bookmarkStart w:name="_GoBack" w:id="3"/>
      <w:bookmarkEnd w:id="3"/>
      <w:r w:rsidR="00C730CD">
        <w:rPr>
          <w:szCs w:val="24"/>
        </w:rPr>
        <w:t>publika</w:t>
      </w:r>
      <w:proofErr w:type="spellEnd"/>
      <w:r w:rsidR="00C730CD">
        <w:rPr>
          <w:szCs w:val="24"/>
        </w:rPr>
        <w:t xml:space="preserve"> </w:t>
      </w:r>
      <w:proofErr w:type="spellStart"/>
      <w:r w:rsidR="00C730CD">
        <w:rPr>
          <w:szCs w:val="24"/>
        </w:rPr>
        <w:t>Hrvatska</w:t>
      </w:r>
      <w:proofErr w:type="spellEnd"/>
      <w:r w:rsidR="00C730CD">
        <w:rPr>
          <w:szCs w:val="24"/>
        </w:rPr>
        <w:t xml:space="preserve">, </w:t>
      </w:r>
      <w:proofErr w:type="spellStart"/>
      <w:r w:rsidR="00C730CD">
        <w:rPr>
          <w:szCs w:val="24"/>
        </w:rPr>
        <w:t>Ministarstvo</w:t>
      </w:r>
      <w:proofErr w:type="spellEnd"/>
      <w:r w:rsidR="00C730CD">
        <w:rPr>
          <w:szCs w:val="24"/>
        </w:rPr>
        <w:t xml:space="preserve"> </w:t>
      </w:r>
      <w:proofErr w:type="spellStart"/>
      <w:r w:rsidR="00C730CD">
        <w:rPr>
          <w:szCs w:val="24"/>
        </w:rPr>
        <w:t>financija</w:t>
      </w:r>
      <w:proofErr w:type="spellEnd"/>
      <w:r w:rsidR="00C730CD">
        <w:rPr>
          <w:szCs w:val="24"/>
        </w:rPr>
        <w:t xml:space="preserve">, </w:t>
      </w:r>
    </w:p>
    <w:p w:rsidRDefault="00C730CD" w:rsidP="006A3338" w:rsidR="00C730CD">
      <w:pPr>
        <w:jc w:val="both"/>
        <w:rPr>
          <w:szCs w:val="24"/>
        </w:rPr>
      </w:pPr>
      <w:proofErr w:type="spellStart"/>
      <w:r>
        <w:rPr>
          <w:szCs w:val="24"/>
        </w:rPr>
        <w:t>Porezna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Područni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ured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Varaždin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br. 1,</w:t>
      </w:r>
      <w:r w:rsidR="003D0619">
        <w:rPr>
          <w:szCs w:val="24"/>
        </w:rPr>
        <w:t xml:space="preserve"> </w:t>
      </w:r>
      <w:proofErr w:type="spellStart"/>
      <w:r w:rsidR="003D0619">
        <w:rPr>
          <w:szCs w:val="24"/>
        </w:rPr>
        <w:t>zastupana</w:t>
      </w:r>
      <w:proofErr w:type="spellEnd"/>
    </w:p>
    <w:p w:rsidRDefault="003D0619" w:rsidP="006A3338" w:rsidR="003D0619">
      <w:pPr>
        <w:jc w:val="both"/>
        <w:rPr>
          <w:szCs w:val="24"/>
        </w:rPr>
      </w:pPr>
      <w:proofErr w:type="spellStart"/>
      <w:proofErr w:type="gramStart"/>
      <w:r>
        <w:rPr>
          <w:szCs w:val="24"/>
        </w:rPr>
        <w:t>po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Županijskom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državnom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odvjetništvu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Varaždinu</w:t>
      </w:r>
      <w:proofErr w:type="spellEnd"/>
      <w:r>
        <w:rPr>
          <w:szCs w:val="24"/>
        </w:rPr>
        <w:t>,</w:t>
      </w:r>
    </w:p>
    <w:p w:rsidRDefault="006A3338" w:rsidP="006A3338" w:rsidR="006A3338">
      <w:pPr>
        <w:jc w:val="both"/>
        <w:rPr>
          <w:szCs w:val="24"/>
        </w:rPr>
      </w:pPr>
    </w:p>
    <w:p w:rsidRDefault="00DC26F0" w:rsidP="006A3338" w:rsidR="006A3338">
      <w:pPr>
        <w:jc w:val="both"/>
        <w:rPr>
          <w:szCs w:val="24"/>
        </w:rPr>
      </w:pP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</w:t>
      </w:r>
      <w:r w:rsidR="006A3338">
        <w:rPr>
          <w:szCs w:val="24"/>
        </w:rPr>
        <w:t>glasna</w:t>
      </w:r>
      <w:proofErr w:type="spellEnd"/>
      <w:proofErr w:type="gramEnd"/>
      <w:r w:rsidR="006A3338">
        <w:rPr>
          <w:szCs w:val="24"/>
        </w:rPr>
        <w:t xml:space="preserve"> </w:t>
      </w:r>
      <w:proofErr w:type="spellStart"/>
      <w:r w:rsidR="006A3338">
        <w:rPr>
          <w:szCs w:val="24"/>
        </w:rPr>
        <w:t>ploča</w:t>
      </w:r>
      <w:proofErr w:type="spellEnd"/>
      <w:r w:rsidR="006A3338">
        <w:rPr>
          <w:szCs w:val="24"/>
        </w:rPr>
        <w:t xml:space="preserve"> </w:t>
      </w:r>
      <w:proofErr w:type="spellStart"/>
      <w:r w:rsidR="006A3338">
        <w:rPr>
          <w:szCs w:val="24"/>
        </w:rPr>
        <w:t>ovog</w:t>
      </w:r>
      <w:r>
        <w:rPr>
          <w:szCs w:val="24"/>
        </w:rPr>
        <w:t>a</w:t>
      </w:r>
      <w:proofErr w:type="spellEnd"/>
      <w:r w:rsidR="006A3338">
        <w:rPr>
          <w:szCs w:val="24"/>
        </w:rPr>
        <w:t xml:space="preserve"> </w:t>
      </w:r>
      <w:proofErr w:type="spellStart"/>
      <w:r w:rsidR="006A3338">
        <w:rPr>
          <w:szCs w:val="24"/>
        </w:rPr>
        <w:t>suda</w:t>
      </w:r>
      <w:proofErr w:type="spellEnd"/>
      <w:r>
        <w:rPr>
          <w:szCs w:val="24"/>
        </w:rPr>
        <w:t>.</w:t>
      </w:r>
    </w:p>
    <w:p w:rsidRDefault="006A3338" w:rsidP="006A3338" w:rsidR="006A3338">
      <w:pPr>
        <w:jc w:val="both"/>
        <w:rPr>
          <w:szCs w:val="24"/>
        </w:rPr>
      </w:pPr>
    </w:p>
    <w:p w:rsidRDefault="006A3338" w:rsidP="006A3338" w:rsidR="006A3338">
      <w:pPr>
        <w:jc w:val="both"/>
        <w:rPr>
          <w:szCs w:val="24"/>
        </w:rPr>
      </w:pPr>
    </w:p>
    <w:p w:rsidRDefault="006A3338" w:rsidP="006A3338" w:rsidR="006A3338">
      <w:pPr>
        <w:jc w:val="both"/>
        <w:rPr>
          <w:szCs w:val="24"/>
        </w:rPr>
      </w:pPr>
    </w:p>
    <w:p w:rsidRDefault="006A3338" w:rsidP="006A3338" w:rsidR="006A3338">
      <w:pPr>
        <w:jc w:val="both"/>
        <w:rPr>
          <w:szCs w:val="24"/>
        </w:rPr>
      </w:pPr>
    </w:p>
    <w:p w:rsidRDefault="00AE649C" w:rsidP="004F27AE" w:rsidR="00AE649C" w:rsidRPr="00B76F3C">
      <w:pPr>
        <w:pStyle w:val="NormaleSPIS"/>
      </w:pPr>
    </w:p>
    <w:sectPr w:rsidSect="008850CF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276" w:rsidP="00537B78" w:rsidR="00FD7276">
      <w:r>
        <w:separator/>
      </w:r>
    </w:p>
  </w:endnote>
  <w:endnote w:id="0" w:type="continuationSeparator">
    <w:p w:rsidRDefault="00FD7276" w:rsidP="00537B78" w:rsidR="00FD7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3726388"/>
      <w:docPartObj>
        <w:docPartGallery w:val="Page Numbers (Bottom of Page)"/>
        <w:docPartUnique/>
      </w:docPartObj>
    </w:sdtPr>
    <w:sdtContent>
      <w:p w:rsidRDefault="00F5578E" w:rsidR="00F5578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123">
          <w:t>3</w:t>
        </w:r>
        <w:r>
          <w:fldChar w:fldCharType="end"/>
        </w:r>
      </w:p>
    </w:sdtContent>
  </w:sdt>
  <w:p w:rsidRDefault="00F5578E" w:rsidR="00F557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276" w:rsidP="00537B78" w:rsidR="00FD7276">
      <w:r>
        <w:separator/>
      </w:r>
    </w:p>
  </w:footnote>
  <w:footnote w:id="0" w:type="continuationSeparator">
    <w:p w:rsidRDefault="00FD7276" w:rsidP="00537B78" w:rsidR="00FD72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0CF" w:rsidR="008333A9">
    <w:pPr>
      <w:pStyle w:val="Zaglavlje"/>
    </w:pPr>
    <w:r>
      <w:rPr>
        <w:rStyle w:val="PozadinaSvijetloCrvena"/>
        <w:shd w:fill="auto" w:color="auto" w:val="clear"/>
      </w:rPr>
      <w:t>Poslovni broj : 6 St-144/2013-94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AC62C4"/>
    <w:multiLevelType w:val="hybridMultilevel"/>
    <w:tmpl w:val="982AFEC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123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C41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5CB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619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97B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338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0C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A39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0CD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6F0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578E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276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3338"/>
    <w:pPr>
      <w:suppressAutoHyphens/>
      <w:overflowPunct w:val="false"/>
      <w:autoSpaceDE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ar-SA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uppressAutoHyphens w:val="false"/>
      <w:overflowPunct/>
      <w:autoSpaceDE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uppressAutoHyphens w:val="false"/>
      <w:overflowPunct/>
      <w:autoSpaceDE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uppressAutoHyphens w:val="false"/>
      <w:overflowPunct/>
      <w:autoSpaceDE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uppressAutoHyphens w:val="false"/>
      <w:overflowPunct/>
      <w:autoSpaceDE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uppressAutoHyphens w:val="false"/>
      <w:overflowPunct/>
      <w:autoSpaceDE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uppressAutoHyphens w:val="false"/>
      <w:overflowPunct/>
      <w:autoSpaceDE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uppressAutoHyphens w:val="false"/>
      <w:overflowPunct/>
      <w:autoSpaceDE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uppressAutoHyphens w:val="false"/>
      <w:overflowPunct/>
      <w:autoSpaceDE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uppressAutoHyphens w:val="false"/>
      <w:overflowPunct/>
      <w:autoSpaceDE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uppressAutoHyphens w:val="false"/>
      <w:overflowPunct/>
      <w:autoSpaceDE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uppressAutoHyphens w:val="false"/>
      <w:overflowPunct/>
      <w:autoSpaceDE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uppressAutoHyphens w:val="false"/>
      <w:overflowPunct/>
      <w:autoSpaceDE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uppressAutoHyphens w:val="false"/>
      <w:overflowPunct/>
      <w:autoSpaceDE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uppressAutoHyphens w:val="false"/>
      <w:overflowPunct/>
      <w:autoSpaceDE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uppressAutoHyphens w:val="false"/>
      <w:overflowPunct/>
      <w:autoSpaceDE/>
      <w:spacing w:afterAutospacing="true" w:after="100" w:beforeAutospacing="true" w:before="100"/>
    </w:pPr>
    <w:rPr>
      <w:rFonts w:cstheme="minorBidi" w:eastAsiaTheme="minorHAnsi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uppressAutoHyphens w:val="false"/>
      <w:overflowPunct/>
      <w:autoSpaceDE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uppressAutoHyphens w:val="false"/>
      <w:overflowPunct/>
      <w:autoSpaceDE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uppressAutoHyphens w:val="false"/>
      <w:overflowPunct/>
      <w:autoSpaceDE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uppressAutoHyphens w:val="false"/>
      <w:overflowPunct/>
      <w:autoSpaceDE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uppressAutoHyphens w:val="false"/>
      <w:overflowPunct/>
      <w:autoSpaceDE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uppressAutoHyphens w:val="false"/>
      <w:overflowPunct/>
      <w:autoSpaceDE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uppressAutoHyphens w:val="false"/>
      <w:overflowPunct/>
      <w:autoSpaceDE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uppressAutoHyphens w:val="false"/>
      <w:overflowPunct/>
      <w:autoSpaceDE/>
      <w:spacing w:after="240"/>
      <w:ind w:firstLine="567"/>
      <w:jc w:val="both"/>
    </w:pPr>
    <w:rPr>
      <w:rFonts w:cstheme="minorBidi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uppressAutoHyphens w:val="false"/>
      <w:overflowPunct/>
      <w:autoSpaceDE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uppressAutoHyphens w:val="false"/>
      <w:overflowPunct/>
      <w:autoSpaceDE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uppressAutoHyphens w:val="false"/>
      <w:overflowPunct/>
      <w:autoSpaceDE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uppressAutoHyphens w:val="false"/>
      <w:overflowPunct/>
      <w:autoSpaceDE/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uppressAutoHyphens w:val="false"/>
      <w:overflowPunct/>
      <w:autoSpaceDE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uppressAutoHyphens w:val="false"/>
      <w:overflowPunct/>
      <w:autoSpaceDE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uppressAutoHyphens w:val="false"/>
      <w:overflowPunct/>
      <w:autoSpaceDE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uppressAutoHyphens w:val="false"/>
      <w:overflowPunct/>
      <w:autoSpaceDE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uppressAutoHyphens w:val="false"/>
      <w:overflowPunct/>
      <w:autoSpaceDE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uppressAutoHyphens w:val="false"/>
      <w:overflowPunct/>
      <w:autoSpaceDE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uppressAutoHyphens w:val="false"/>
      <w:overflowPunct/>
      <w:autoSpaceDE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uppressAutoHyphens w:val="false"/>
      <w:overflowPunct/>
      <w:autoSpaceDE/>
    </w:pPr>
    <w:rPr>
      <w:rFonts w:cstheme="minorBidi" w:eastAsiaTheme="minorHAnsi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uppressAutoHyphens w:val="false"/>
      <w:overflowPunct/>
      <w:autoSpaceDE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uppressAutoHyphens w:val="false"/>
      <w:overflowPunct/>
      <w:autoSpaceDE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uppressAutoHyphens w:val="false"/>
      <w:overflowPunct/>
      <w:autoSpaceDE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uppressAutoHyphens w:val="false"/>
      <w:overflowPunct/>
      <w:autoSpaceDE/>
    </w:pPr>
    <w:rPr>
      <w:rFonts w:cstheme="minorBidi" w:eastAsiaTheme="minorHAnsi"/>
      <w:i/>
      <w:iCs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uppressAutoHyphens w:val="false"/>
      <w:overflowPunct/>
      <w:autoSpaceDE/>
    </w:pPr>
    <w:rPr>
      <w:rFonts w:eastAsiaTheme="minorHAnsi" w:cs="Consolas" w:hAnsi="Consolas" w:ascii="Consolas"/>
      <w:sz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uppressAutoHyphens w:val="false"/>
      <w:overflowPunct/>
      <w:autoSpaceDE/>
      <w:ind w:hanging="1134" w:left="1134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uppressAutoHyphens w:val="false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uppressAutoHyphens w:val="false"/>
      <w:overflowPunct/>
      <w:autoSpaceDE/>
    </w:pPr>
    <w:rPr>
      <w:rFonts w:cstheme="minorBidi" w:eastAsiaTheme="minorHAnsi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uppressAutoHyphens w:val="false"/>
      <w:overflowPunct/>
      <w:autoSpaceDE/>
    </w:pPr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uppressAutoHyphens w:val="false"/>
      <w:overflowPunct/>
      <w:autoSpaceDE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uppressAutoHyphens w:val="false"/>
      <w:overflowPunct/>
      <w:autoSpaceDE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uppressAutoHyphens w:val="false"/>
      <w:overflowPunct/>
      <w:autoSpaceDE/>
    </w:pPr>
    <w:rPr>
      <w:rFonts w:eastAsia="Calibri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uppressAutoHyphens w:val="false"/>
      <w:overflowPunct/>
      <w:autoSpaceDE/>
      <w:spacing w:before="240"/>
    </w:pPr>
    <w:rPr>
      <w:rFonts w:eastAsia="Calibri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uppressAutoHyphens w:val="false"/>
      <w:overflowPunct/>
      <w:autoSpaceDE/>
    </w:pPr>
    <w:rPr>
      <w:rFonts w:eastAsia="Calibri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uppressAutoHyphens w:val="false"/>
      <w:overflowPunct/>
      <w:autoSpaceDE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uppressAutoHyphens w:val="false"/>
      <w:overflowPunct/>
      <w:autoSpaceDE/>
    </w:pPr>
    <w:rPr>
      <w:rFonts w:eastAsia="Calibri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uppressAutoHyphens w:val="false"/>
      <w:overflowPunct/>
      <w:autoSpaceDE/>
      <w:spacing w:before="360"/>
    </w:pPr>
    <w:rPr>
      <w:rFonts w:eastAsia="Calibri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uppressAutoHyphens w:val="false"/>
      <w:overflowPunct/>
      <w:autoSpaceDE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uppressAutoHyphens w:val="false"/>
      <w:overflowPunct/>
      <w:autoSpaceDE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5578E"/>
    <w:pPr>
      <w:suppressAutoHyphens w:val="false"/>
      <w:overflowPunct/>
      <w:autoSpaceDE/>
      <w:jc w:val="both"/>
    </w:pPr>
    <w:rPr>
      <w:szCs w:val="24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3338"/>
    <w:pPr>
      <w:suppressAutoHyphens/>
      <w:overflowPunct w:val="0"/>
      <w:autoSpaceDE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ar-SA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uppressAutoHyphens w:val="0"/>
      <w:overflowPunct/>
      <w:autoSpaceDE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uppressAutoHyphens w:val="0"/>
      <w:overflowPunct/>
      <w:autoSpaceDE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uppressAutoHyphens w:val="0"/>
      <w:overflowPunct/>
      <w:autoSpaceDE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uppressAutoHyphens w:val="0"/>
      <w:overflowPunct/>
      <w:autoSpaceDE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uppressAutoHyphens w:val="0"/>
      <w:overflowPunct/>
      <w:autoSpaceDE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uppressAutoHyphens w:val="0"/>
      <w:overflowPunct/>
      <w:autoSpaceDE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uppressAutoHyphens w:val="0"/>
      <w:overflowPunct/>
      <w:autoSpaceDE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uppressAutoHyphens w:val="0"/>
      <w:overflowPunct/>
      <w:autoSpaceDE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uppressAutoHyphens w:val="0"/>
      <w:overflowPunct/>
      <w:autoSpaceDE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uppressAutoHyphens w:val="0"/>
      <w:overflowPunct/>
      <w:autoSpaceDE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uppressAutoHyphens w:val="0"/>
      <w:overflowPunct/>
      <w:autoSpaceDE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uppressAutoHyphens w:val="0"/>
      <w:overflowPunct/>
      <w:autoSpaceDE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uppressAutoHyphens w:val="0"/>
      <w:overflowPunct/>
      <w:autoSpaceDE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uppressAutoHyphens w:val="0"/>
      <w:overflowPunct/>
      <w:autoSpaceDE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uppressAutoHyphens w:val="0"/>
      <w:overflowPunct/>
      <w:autoSpaceDE/>
      <w:spacing w:after="100" w:afterAutospacing="1" w:before="100" w:beforeAutospacing="1"/>
    </w:pPr>
    <w:rPr>
      <w:rFonts w:cstheme="minorBidi" w:eastAsiaTheme="minorHAnsi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uppressAutoHyphens w:val="0"/>
      <w:overflowPunct/>
      <w:autoSpaceDE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uppressAutoHyphens w:val="0"/>
      <w:overflowPunct/>
      <w:autoSpaceDE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uppressAutoHyphens w:val="0"/>
      <w:overflowPunct/>
      <w:autoSpaceDE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uppressAutoHyphens w:val="0"/>
      <w:overflowPunct/>
      <w:autoSpaceDE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uppressAutoHyphens w:val="0"/>
      <w:overflowPunct/>
      <w:autoSpaceDE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uppressAutoHyphens w:val="0"/>
      <w:overflowPunct/>
      <w:autoSpaceDE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uppressAutoHyphens w:val="0"/>
      <w:overflowPunct/>
      <w:autoSpaceDE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uppressAutoHyphens w:val="0"/>
      <w:overflowPunct/>
      <w:autoSpaceDE/>
      <w:spacing w:after="240"/>
      <w:ind w:firstLine="567"/>
      <w:jc w:val="both"/>
    </w:pPr>
    <w:rPr>
      <w:rFonts w:cstheme="minorBidi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uppressAutoHyphens w:val="0"/>
      <w:overflowPunct/>
      <w:autoSpaceDE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uppressAutoHyphens w:val="0"/>
      <w:overflowPunct/>
      <w:autoSpaceDE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uppressAutoHyphens w:val="0"/>
      <w:overflowPunct/>
      <w:autoSpaceDE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uppressAutoHyphens w:val="0"/>
      <w:overflowPunct/>
      <w:autoSpaceDE/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uppressAutoHyphens w:val="0"/>
      <w:overflowPunct/>
      <w:autoSpaceDE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uppressAutoHyphens w:val="0"/>
      <w:overflowPunct/>
      <w:autoSpaceDE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uppressAutoHyphens w:val="0"/>
      <w:overflowPunct/>
      <w:autoSpaceDE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uppressAutoHyphens w:val="0"/>
      <w:overflowPunct/>
      <w:autoSpaceDE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uppressAutoHyphens w:val="0"/>
      <w:overflowPunct/>
      <w:autoSpaceDE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uppressAutoHyphens w:val="0"/>
      <w:overflowPunct/>
      <w:autoSpaceDE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uppressAutoHyphens w:val="0"/>
      <w:overflowPunct/>
      <w:autoSpaceDE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uppressAutoHyphens w:val="0"/>
      <w:overflowPunct/>
      <w:autoSpaceDE/>
    </w:pPr>
    <w:rPr>
      <w:rFonts w:cstheme="minorBidi" w:eastAsiaTheme="minorHAnsi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uppressAutoHyphens w:val="0"/>
      <w:overflowPunct/>
      <w:autoSpaceDE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uppressAutoHyphens w:val="0"/>
      <w:overflowPunct/>
      <w:autoSpaceDE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uppressAutoHyphens w:val="0"/>
      <w:overflowPunct/>
      <w:autoSpaceDE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uppressAutoHyphens w:val="0"/>
      <w:overflowPunct/>
      <w:autoSpaceDE/>
    </w:pPr>
    <w:rPr>
      <w:rFonts w:cstheme="minorBidi" w:eastAsiaTheme="minorHAnsi"/>
      <w:i/>
      <w:iCs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uppressAutoHyphens w:val="0"/>
      <w:overflowPunct/>
      <w:autoSpaceDE/>
    </w:pPr>
    <w:rPr>
      <w:rFonts w:ascii="Consolas" w:cs="Consolas" w:eastAsiaTheme="minorHAnsi" w:hAnsi="Consolas"/>
      <w:sz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uppressAutoHyphens w:val="0"/>
      <w:overflowPunct/>
      <w:autoSpaceDE/>
      <w:ind w:hanging="1134" w:left="1134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uppressAutoHyphens w:val="0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uppressAutoHyphens w:val="0"/>
      <w:overflowPunct/>
      <w:autoSpaceDE/>
    </w:pPr>
    <w:rPr>
      <w:rFonts w:cstheme="minorBidi" w:eastAsiaTheme="minorHAnsi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uppressAutoHyphens w:val="0"/>
      <w:overflowPunct/>
      <w:autoSpaceDE/>
    </w:pPr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uppressAutoHyphens w:val="0"/>
      <w:overflowPunct/>
      <w:autoSpaceDE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uppressAutoHyphens w:val="0"/>
      <w:overflowPunct/>
      <w:autoSpaceDE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uppressAutoHyphens w:val="0"/>
      <w:overflowPunct/>
      <w:autoSpaceDE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uppressAutoHyphens w:val="0"/>
      <w:overflowPunct/>
      <w:autoSpaceDE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uppressAutoHyphens w:val="0"/>
      <w:overflowPunct/>
      <w:autoSpaceDE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uppressAutoHyphens w:val="0"/>
      <w:overflowPunct/>
      <w:autoSpaceDE/>
    </w:pPr>
    <w:rPr>
      <w:rFonts w:eastAsia="Calibri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uppressAutoHyphens w:val="0"/>
      <w:overflowPunct/>
      <w:autoSpaceDE/>
      <w:spacing w:before="240"/>
    </w:pPr>
    <w:rPr>
      <w:rFonts w:eastAsia="Calibri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uppressAutoHyphens w:val="0"/>
      <w:overflowPunct/>
      <w:autoSpaceDE/>
    </w:pPr>
    <w:rPr>
      <w:rFonts w:eastAsia="Calibri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uppressAutoHyphens w:val="0"/>
      <w:overflowPunct/>
      <w:autoSpaceDE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uppressAutoHyphens w:val="0"/>
      <w:overflowPunct/>
      <w:autoSpaceDE/>
    </w:pPr>
    <w:rPr>
      <w:rFonts w:eastAsia="Calibri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uppressAutoHyphens w:val="0"/>
      <w:overflowPunct/>
      <w:autoSpaceDE/>
      <w:spacing w:before="360"/>
    </w:pPr>
    <w:rPr>
      <w:rFonts w:eastAsia="Calibri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uppressAutoHyphens w:val="0"/>
      <w:overflowPunct/>
      <w:autoSpaceDE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uppressAutoHyphens w:val="0"/>
      <w:overflowPunct/>
      <w:autoSpaceDE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5578E"/>
    <w:pPr>
      <w:suppressAutoHyphens w:val="0"/>
      <w:overflowPunct/>
      <w:autoSpaceDE/>
      <w:jc w:val="both"/>
    </w:pPr>
    <w:rPr>
      <w:szCs w:val="24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25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911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St-144/2013-94</izvorni_sadrzaj>
    <derivirana_varijabla naziv="DomainObject.Oznaka_1">St-144/2013-94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St-144/2013-94</izvorni_sadrzaj>
    <derivirana_varijabla naziv="DomainObject.PoslovniBrojDokumenta_1">St-144/2013-94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DABC1-C980-429F-BEE2-456C78CBB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666</properties:Words>
  <properties:Characters>3535</properties:Characters>
  <properties:Lines>111</properties:Lines>
  <properties:Paragraphs>33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2018-11-21T12:37:00Z</cp:lastPrinted>
  <dcterms:modified xmlns:xsi="http://www.w3.org/2001/XMLSchema-instance" xsi:type="dcterms:W3CDTF">2018-11-21T12:37:00Z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St-144/2013-94 / Odluka - Rješenje - o namirenju (odluka_St-144_2013-94.docx)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