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17f14" w14:paraId="9b17f14" w:rsidRDefault="008C33CD" w:rsidP="008C33CD" w:rsidR="008C33CD">
      <w:pPr>
        <w:jc w:val="center"/>
        <w15:collapsed w:val="false"/>
        <w:rPr>
          <w:rFonts w:eastAsia="Calibri"/>
          <w:lang w:eastAsia="en-US"/>
        </w:rPr>
      </w:pPr>
      <w:bookmarkStart w:name="_GoBack" w:id="0"/>
      <w:bookmarkEnd w:id="0"/>
    </w:p>
    <w:tbl>
      <w:tblPr>
        <w:tblpPr w:tblpY="1" w:vertAnchor="text" w:bottomFromText="200" w:rightFromText="180" w:leftFromText="180"/>
        <w:tblOverlap w:val="never"/>
        <w:tblW w:type="auto" w:w="0"/>
        <w:tblLook w:val="04A0" w:noVBand="1" w:noHBand="0" w:lastColumn="0" w:firstColumn="1" w:lastRow="0" w:firstRow="1"/>
      </w:tblPr>
      <w:tblGrid>
        <w:gridCol w:w="2985"/>
      </w:tblGrid>
      <w:tr w:rsidTr="008C33CD" w:rsidR="008C33CD">
        <w:tc>
          <w:tcPr>
            <w:tcW w:type="dxa" w:w="2985"/>
            <w:hideMark/>
          </w:tcPr>
          <w:p w:rsidRDefault="008C33CD" w:rsidR="008C33CD">
            <w:pPr>
              <w:spacing w:lineRule="auto" w:line="276"/>
              <w:jc w:val="center"/>
              <w:rPr>
                <w:rFonts w:eastAsia="Calibri"/>
                <w:lang w:eastAsia="en-US" w:val="en-US"/>
              </w:rPr>
            </w:pPr>
            <w:r>
              <w:rPr>
                <w:rFonts w:eastAsia="Calibri"/>
                <w:noProof/>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8C33CD" w:rsidR="008C33CD">
            <w:pPr>
              <w:jc w:val="center"/>
              <w:rPr>
                <w:rFonts w:eastAsia="Calibri"/>
                <w:lang w:eastAsia="en-US" w:val="en-US"/>
              </w:rPr>
            </w:pPr>
            <w:proofErr w:type="spellStart"/>
            <w:r>
              <w:rPr>
                <w:rFonts w:eastAsia="Calibri"/>
                <w:lang w:eastAsia="en-US" w:val="en-US"/>
              </w:rPr>
              <w:t>Republika</w:t>
            </w:r>
            <w:proofErr w:type="spellEnd"/>
            <w:r>
              <w:rPr>
                <w:rFonts w:eastAsia="Calibri"/>
                <w:lang w:eastAsia="en-US" w:val="en-US"/>
              </w:rPr>
              <w:t xml:space="preserve"> </w:t>
            </w:r>
            <w:proofErr w:type="spellStart"/>
            <w:r>
              <w:rPr>
                <w:rFonts w:eastAsia="Calibri"/>
                <w:lang w:eastAsia="en-US" w:val="en-US"/>
              </w:rPr>
              <w:t>Hrvatska</w:t>
            </w:r>
            <w:proofErr w:type="spellEnd"/>
          </w:p>
          <w:p w:rsidRDefault="008C33CD" w:rsidR="008C33CD">
            <w:pPr>
              <w:jc w:val="center"/>
              <w:rPr>
                <w:rFonts w:eastAsia="Calibri"/>
                <w:lang w:eastAsia="en-US" w:val="en-US"/>
              </w:rPr>
            </w:pPr>
            <w:proofErr w:type="spellStart"/>
            <w:r>
              <w:rPr>
                <w:rFonts w:eastAsia="Calibri"/>
                <w:lang w:eastAsia="en-US" w:val="en-US"/>
              </w:rPr>
              <w:t>Trgovački</w:t>
            </w:r>
            <w:proofErr w:type="spellEnd"/>
            <w:r>
              <w:rPr>
                <w:rFonts w:eastAsia="Calibri"/>
                <w:lang w:eastAsia="en-US" w:val="en-US"/>
              </w:rPr>
              <w:t xml:space="preserve"> </w:t>
            </w:r>
            <w:proofErr w:type="spellStart"/>
            <w:r>
              <w:rPr>
                <w:rFonts w:eastAsia="Calibri"/>
                <w:lang w:eastAsia="en-US" w:val="en-US"/>
              </w:rPr>
              <w:t>sud</w:t>
            </w:r>
            <w:proofErr w:type="spellEnd"/>
            <w:r>
              <w:rPr>
                <w:rFonts w:eastAsia="Calibri"/>
                <w:lang w:eastAsia="en-US" w:val="en-US"/>
              </w:rPr>
              <w:t xml:space="preserve"> u </w:t>
            </w:r>
            <w:proofErr w:type="spellStart"/>
            <w:r>
              <w:rPr>
                <w:rFonts w:eastAsia="Calibri"/>
                <w:lang w:eastAsia="en-US" w:val="en-US"/>
              </w:rPr>
              <w:t>Varaždinu</w:t>
            </w:r>
            <w:proofErr w:type="spellEnd"/>
          </w:p>
          <w:p w:rsidRDefault="008C33CD" w:rsidR="008C33CD">
            <w:pPr>
              <w:jc w:val="center"/>
              <w:rPr>
                <w:rFonts w:eastAsia="Calibri"/>
                <w:lang w:eastAsia="en-US" w:val="en-US"/>
              </w:rPr>
            </w:pPr>
            <w:proofErr w:type="spellStart"/>
            <w:r>
              <w:rPr>
                <w:rFonts w:eastAsia="Calibri"/>
                <w:lang w:eastAsia="en-US" w:val="en-US"/>
              </w:rPr>
              <w:t>Varaždin</w:t>
            </w:r>
            <w:proofErr w:type="spellEnd"/>
            <w:r>
              <w:rPr>
                <w:rFonts w:eastAsia="Calibri"/>
                <w:lang w:eastAsia="en-US" w:val="en-US"/>
              </w:rPr>
              <w:t xml:space="preserve">, </w:t>
            </w:r>
            <w:proofErr w:type="spellStart"/>
            <w:r>
              <w:rPr>
                <w:rFonts w:eastAsia="Calibri"/>
                <w:lang w:eastAsia="en-US" w:val="en-US"/>
              </w:rPr>
              <w:t>Braće</w:t>
            </w:r>
            <w:proofErr w:type="spellEnd"/>
            <w:r>
              <w:rPr>
                <w:rFonts w:eastAsia="Calibri"/>
                <w:lang w:eastAsia="en-US" w:val="en-US"/>
              </w:rPr>
              <w:t xml:space="preserve"> </w:t>
            </w:r>
            <w:proofErr w:type="spellStart"/>
            <w:r>
              <w:rPr>
                <w:rFonts w:eastAsia="Calibri"/>
                <w:lang w:eastAsia="en-US" w:val="en-US"/>
              </w:rPr>
              <w:t>Radić</w:t>
            </w:r>
            <w:proofErr w:type="spellEnd"/>
            <w:r>
              <w:rPr>
                <w:rFonts w:eastAsia="Calibri"/>
                <w:lang w:eastAsia="en-US" w:val="en-US"/>
              </w:rPr>
              <w:t xml:space="preserve"> 2</w:t>
            </w:r>
          </w:p>
        </w:tc>
      </w:tr>
    </w:tbl>
    <w:p w:rsidRDefault="008C33CD" w:rsidP="008C33CD" w:rsidR="008C33CD">
      <w:pPr>
        <w:jc w:val="right"/>
        <w:rPr>
          <w:rFonts w:eastAsia="Calibri"/>
          <w:sz w:val="12"/>
          <w:lang w:eastAsia="en-US"/>
        </w:rPr>
      </w:pPr>
      <w:r>
        <w:rPr>
          <w:rFonts w:eastAsia="Calibri"/>
          <w:sz w:val="12"/>
          <w:lang w:eastAsia="en-US"/>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8C33CD" w:rsidR="008C33CD">
        <w:trPr>
          <w:jc w:val="right"/>
        </w:trPr>
        <w:tc>
          <w:tcPr>
            <w:tcW w:type="dxa" w:w="4320"/>
            <w:hideMark/>
          </w:tcPr>
          <w:p w:rsidRDefault="008C33CD" w:rsidR="008C33CD">
            <w:pPr>
              <w:spacing w:lineRule="auto" w:line="276"/>
              <w:jc w:val="both"/>
              <w:rPr>
                <w:lang w:eastAsia="en-US" w:val="en-US"/>
              </w:rPr>
            </w:pPr>
            <w:r>
              <w:rPr>
                <w:lang w:eastAsia="en-US" w:val="en-US"/>
              </w:rPr>
              <w:t xml:space="preserve">                   </w:t>
            </w:r>
            <w:proofErr w:type="spellStart"/>
            <w:r>
              <w:rPr>
                <w:lang w:eastAsia="en-US" w:val="en-US"/>
              </w:rPr>
              <w:t>Poslovni</w:t>
            </w:r>
            <w:proofErr w:type="spellEnd"/>
            <w:r>
              <w:rPr>
                <w:lang w:eastAsia="en-US" w:val="en-US"/>
              </w:rPr>
              <w:t xml:space="preserve"> </w:t>
            </w:r>
            <w:proofErr w:type="spellStart"/>
            <w:r>
              <w:rPr>
                <w:lang w:eastAsia="en-US" w:val="en-US"/>
              </w:rPr>
              <w:t>broj</w:t>
            </w:r>
            <w:proofErr w:type="spellEnd"/>
            <w:r>
              <w:rPr>
                <w:lang w:eastAsia="en-US" w:val="en-US"/>
              </w:rPr>
              <w:t>:  7 St-997/16-61</w:t>
            </w:r>
          </w:p>
        </w:tc>
      </w:tr>
    </w:tbl>
    <w:p w:rsidRDefault="008C33CD" w:rsidP="008C33CD" w:rsidR="008C33CD">
      <w:pPr>
        <w:jc w:val="center"/>
        <w:rPr>
          <w:rFonts w:eastAsia="Calibri"/>
          <w:lang w:eastAsia="en-US"/>
        </w:rPr>
      </w:pPr>
    </w:p>
    <w:p w:rsidRDefault="008C33CD" w:rsidP="008C33CD" w:rsidR="008C33CD">
      <w:pPr>
        <w:jc w:val="center"/>
        <w:rPr>
          <w:rFonts w:eastAsia="Calibri"/>
          <w:lang w:eastAsia="en-US"/>
        </w:rPr>
      </w:pPr>
      <w:r>
        <w:rPr>
          <w:rFonts w:eastAsia="Calibri"/>
          <w:lang w:eastAsia="en-US"/>
        </w:rPr>
        <w:t>R E P U B L I K A    H R V A T S K A</w:t>
      </w:r>
    </w:p>
    <w:p w:rsidRDefault="008C33CD" w:rsidP="008C33CD" w:rsidR="008C33CD">
      <w:pPr>
        <w:jc w:val="both"/>
        <w:rPr>
          <w:rFonts w:eastAsia="Calibri"/>
          <w:b/>
          <w:lang w:eastAsia="en-US"/>
        </w:rPr>
      </w:pPr>
    </w:p>
    <w:p w:rsidRDefault="008C33CD" w:rsidP="008C33CD" w:rsidR="008C33CD">
      <w:pPr>
        <w:jc w:val="center"/>
        <w:rPr>
          <w:rFonts w:eastAsia="Calibri"/>
          <w:lang w:eastAsia="en-US"/>
        </w:rPr>
      </w:pPr>
      <w:r>
        <w:rPr>
          <w:rFonts w:eastAsia="Calibri"/>
          <w:lang w:eastAsia="en-US"/>
        </w:rPr>
        <w:t>R J E Š E NJ E</w:t>
      </w:r>
    </w:p>
    <w:p w:rsidRDefault="008C33CD" w:rsidP="008C33CD" w:rsidR="008C33CD">
      <w:pPr>
        <w:jc w:val="both"/>
        <w:rPr>
          <w:rFonts w:eastAsia="Calibri"/>
          <w:b/>
          <w:lang w:eastAsia="en-US"/>
        </w:rPr>
      </w:pPr>
      <w:r>
        <w:rPr>
          <w:rFonts w:eastAsia="Calibri"/>
          <w:b/>
          <w:lang w:eastAsia="en-US"/>
        </w:rPr>
        <w:t xml:space="preserve">                </w:t>
      </w:r>
    </w:p>
    <w:p w:rsidRDefault="008C33CD" w:rsidP="008C33CD" w:rsidR="008C33CD">
      <w:pPr>
        <w:tabs>
          <w:tab w:pos="851" w:val="left"/>
        </w:tabs>
        <w:ind w:firstLine="708"/>
        <w:jc w:val="both"/>
        <w:rPr>
          <w:rFonts w:eastAsia="Calibri"/>
          <w:lang w:eastAsia="en-US"/>
        </w:rPr>
      </w:pPr>
      <w:r>
        <w:rPr>
          <w:rFonts w:eastAsia="Calibri"/>
          <w:b/>
          <w:lang w:eastAsia="en-US"/>
        </w:rPr>
        <w:tab/>
      </w:r>
      <w:r>
        <w:rPr>
          <w:rFonts w:eastAsia="Calibri"/>
          <w:lang w:eastAsia="en-US"/>
        </w:rPr>
        <w:t>Trgovački sud u Varaždinu, po sucu toga suda Mariji Levanić-Škerbić, u stečajnom predmetu povodom prijedloga predlagatelja Financijska agencija, Regionalni centar Zagreb, Podružnica Varaždin, Augusta Cesarca br. 2, radi otvaranja stečajnog postupka nad dužnikom CONING d.d. Varaždin, Augusta Šenoe 4-6, OIB: 49557976962, izvan ročišta 19. lipnja 2018.,</w:t>
      </w:r>
    </w:p>
    <w:p w:rsidRDefault="008C33CD" w:rsidP="008C33CD" w:rsidR="008C33CD">
      <w:pPr>
        <w:jc w:val="center"/>
        <w:rPr>
          <w:rFonts w:eastAsia="Calibri"/>
          <w:lang w:eastAsia="en-US"/>
        </w:rPr>
      </w:pPr>
      <w:r>
        <w:rPr>
          <w:rFonts w:eastAsia="Calibri"/>
          <w:lang w:eastAsia="en-US"/>
        </w:rPr>
        <w:t>r  i  j  e  š  i  o       j   e</w:t>
      </w:r>
    </w:p>
    <w:p w:rsidRDefault="008C33CD" w:rsidP="008C33CD" w:rsidR="008C33CD">
      <w:pPr>
        <w:jc w:val="center"/>
        <w:rPr>
          <w:rFonts w:eastAsia="Calibri"/>
          <w:lang w:eastAsia="en-US"/>
        </w:rPr>
      </w:pPr>
    </w:p>
    <w:p w:rsidRDefault="008C33CD" w:rsidP="008C33CD" w:rsidR="008C33CD">
      <w:pPr>
        <w:ind w:hanging="705" w:left="1413"/>
        <w:jc w:val="both"/>
        <w:rPr>
          <w:rFonts w:eastAsia="Calibri"/>
          <w:lang w:eastAsia="en-US"/>
        </w:rPr>
      </w:pPr>
      <w:r>
        <w:rPr>
          <w:rFonts w:eastAsia="Calibri"/>
          <w:lang w:eastAsia="en-US"/>
        </w:rPr>
        <w:t xml:space="preserve">1) </w:t>
      </w:r>
      <w:r>
        <w:rPr>
          <w:rFonts w:eastAsia="Calibri"/>
          <w:lang w:eastAsia="en-US"/>
        </w:rPr>
        <w:tab/>
        <w:t>Otvara se stečajni postupak nad stečajnim dužnikom CONING d.d. Varaždin, Augusta Šenoe 4-6, OIB: 49557976962, s danom 19. lipnja 2018. u 14,00 sati.</w:t>
      </w:r>
    </w:p>
    <w:p w:rsidRDefault="008C33CD" w:rsidP="008C33CD" w:rsidR="008C33CD">
      <w:pPr>
        <w:jc w:val="both"/>
        <w:rPr>
          <w:rFonts w:eastAsia="Calibri"/>
          <w:lang w:eastAsia="en-US"/>
        </w:rPr>
      </w:pPr>
    </w:p>
    <w:p w:rsidRDefault="008C33CD" w:rsidP="008C33CD" w:rsidR="008C33CD">
      <w:pPr>
        <w:ind w:hanging="705" w:left="1413"/>
        <w:jc w:val="both"/>
        <w:rPr>
          <w:rFonts w:eastAsia="Calibri"/>
          <w:lang w:eastAsia="en-US"/>
        </w:rPr>
      </w:pPr>
      <w:r>
        <w:rPr>
          <w:rFonts w:eastAsia="Calibri"/>
          <w:lang w:eastAsia="en-US"/>
        </w:rPr>
        <w:t xml:space="preserve">2) </w:t>
      </w:r>
      <w:r>
        <w:rPr>
          <w:rFonts w:eastAsia="Calibri"/>
          <w:lang w:eastAsia="en-US"/>
        </w:rPr>
        <w:tab/>
        <w:t xml:space="preserve">Za stečajnog upravitelja imenuje se Lidija </w:t>
      </w:r>
      <w:proofErr w:type="spellStart"/>
      <w:r>
        <w:rPr>
          <w:rFonts w:eastAsia="Calibri"/>
          <w:lang w:eastAsia="en-US"/>
        </w:rPr>
        <w:t>Lesar</w:t>
      </w:r>
      <w:proofErr w:type="spellEnd"/>
      <w:r>
        <w:rPr>
          <w:rFonts w:eastAsia="Calibri"/>
          <w:lang w:eastAsia="en-US"/>
        </w:rPr>
        <w:t xml:space="preserve"> iz Čakovca, Travnička 26, OIB: 29389899347.   </w:t>
      </w:r>
    </w:p>
    <w:p w:rsidRDefault="008C33CD" w:rsidP="008C33CD" w:rsidR="008C33CD">
      <w:pPr>
        <w:tabs>
          <w:tab w:pos="0" w:val="left"/>
        </w:tabs>
        <w:rPr>
          <w:rFonts w:eastAsia="Calibri"/>
          <w:lang w:eastAsia="en-US"/>
        </w:rPr>
      </w:pPr>
    </w:p>
    <w:p w:rsidRDefault="008C33CD" w:rsidP="008C33CD" w:rsidR="008C33CD">
      <w:pPr>
        <w:spacing w:after="240"/>
        <w:ind w:hanging="645" w:left="1410"/>
        <w:jc w:val="both"/>
        <w:rPr>
          <w:rFonts w:eastAsia="Calibri"/>
          <w:i/>
          <w:lang w:eastAsia="en-US"/>
        </w:rPr>
      </w:pPr>
      <w:r>
        <w:rPr>
          <w:rFonts w:eastAsia="Calibri"/>
          <w:lang w:eastAsia="en-US"/>
        </w:rPr>
        <w:t xml:space="preserve">3) </w:t>
      </w:r>
      <w:r>
        <w:rPr>
          <w:rFonts w:eastAsia="Calibri"/>
          <w:lang w:eastAsia="en-US"/>
        </w:rPr>
        <w:tab/>
        <w:t xml:space="preserve">Pozivaju se vjerovnici stečajnog dužnika da u roku od 60 dana od dana objave oglasa o otvaranju stečajnog postupka na e-Oglasnoj ploči ovoga suda prijave svoje tražbine stečajnom upravitelju Lidiji </w:t>
      </w:r>
      <w:proofErr w:type="spellStart"/>
      <w:r>
        <w:rPr>
          <w:rFonts w:eastAsia="Calibri"/>
          <w:lang w:eastAsia="en-US"/>
        </w:rPr>
        <w:t>Lesar</w:t>
      </w:r>
      <w:proofErr w:type="spellEnd"/>
      <w:r>
        <w:rPr>
          <w:rFonts w:eastAsia="Calibri"/>
          <w:lang w:eastAsia="en-US"/>
        </w:rPr>
        <w:t xml:space="preserve"> iz Čakovca, Travnička 26, u skladu sa čl. 129. Stečajnog zakona (Narodne novine br. 71/15, dalje u tekstu skraćeno: SZ-a) i to u dva primjerka s ispravama na kojima se tražbine temelje, uz potvrdu o plaćenoj pristojbi u iznosu od 2% vrijednosti tražbine, ali najviše 500,00 kuna na žiro-račun državnog proračuna broj: IBAN: HR 12 1001 0051 8630 00160, model HR64 5045-3574-22075816</w:t>
      </w:r>
      <w:r>
        <w:rPr>
          <w:rFonts w:eastAsia="Calibri"/>
          <w:i/>
          <w:lang w:eastAsia="en-US"/>
        </w:rPr>
        <w:t>.</w:t>
      </w:r>
    </w:p>
    <w:p w:rsidRDefault="008C33CD" w:rsidP="008C33CD" w:rsidR="008C33CD">
      <w:pPr>
        <w:ind w:hanging="582" w:left="1410"/>
        <w:jc w:val="both"/>
        <w:rPr>
          <w:rFonts w:eastAsia="Calibri"/>
          <w:b/>
          <w:lang w:eastAsia="en-US"/>
        </w:rPr>
      </w:pPr>
      <w:r>
        <w:rPr>
          <w:rFonts w:eastAsia="Calibri"/>
          <w:lang w:eastAsia="en-US"/>
        </w:rPr>
        <w:t xml:space="preserve">4) </w:t>
      </w:r>
      <w:r>
        <w:rPr>
          <w:rFonts w:eastAsia="Calibri"/>
          <w:lang w:eastAsia="en-US"/>
        </w:rPr>
        <w:tab/>
        <w:t xml:space="preserve">Pozivaju se </w:t>
      </w:r>
      <w:proofErr w:type="spellStart"/>
      <w:r>
        <w:rPr>
          <w:rFonts w:eastAsia="Calibri"/>
          <w:lang w:eastAsia="en-US"/>
        </w:rPr>
        <w:t>razlučni</w:t>
      </w:r>
      <w:proofErr w:type="spellEnd"/>
      <w:r>
        <w:rPr>
          <w:rFonts w:eastAsia="Calibri"/>
          <w:lang w:eastAsia="en-US"/>
        </w:rPr>
        <w:t xml:space="preserve"> vjerovnici da pisanim putem obavijeste stečajnog upravitelja o postojanju svojih </w:t>
      </w:r>
      <w:proofErr w:type="spellStart"/>
      <w:r>
        <w:rPr>
          <w:rFonts w:eastAsia="Calibri"/>
          <w:lang w:eastAsia="en-US"/>
        </w:rPr>
        <w:t>razlučnih</w:t>
      </w:r>
      <w:proofErr w:type="spellEnd"/>
      <w:r>
        <w:rPr>
          <w:rFonts w:eastAsia="Calibri"/>
          <w:lang w:eastAsia="en-US"/>
        </w:rPr>
        <w:t xml:space="preserve"> prava i to u roku od 60 dana od dana objave rješenja na e-Oglasnoj ploči ovoga suda (čl. 129. st. 1. SZ-a, a u svezi sa čl. 258. SZ-a).</w:t>
      </w:r>
      <w:r>
        <w:rPr>
          <w:rFonts w:eastAsia="Calibri"/>
          <w:lang w:eastAsia="en-US"/>
        </w:rPr>
        <w:tab/>
      </w:r>
    </w:p>
    <w:p w:rsidRDefault="008C33CD" w:rsidP="008C33CD" w:rsidR="008C33CD">
      <w:pPr>
        <w:ind w:firstLine="3" w:left="1410"/>
        <w:jc w:val="both"/>
        <w:rPr>
          <w:rFonts w:eastAsia="Calibri"/>
          <w:lang w:eastAsia="en-US"/>
        </w:rPr>
      </w:pPr>
      <w:r>
        <w:rPr>
          <w:rFonts w:eastAsia="Calibri"/>
          <w:lang w:eastAsia="en-US"/>
        </w:rPr>
        <w:t>Izlučni vjerovnici dužni su obavijestiti stečajnog upravitelja o svom izlučnom pravu, pravnoj osnovi izlučnog prava i označiti predmet, odnosno, pravo na koje se njihovo izlučno pravo odnosi (čl. 129. st. 1., a u svezi sa čl. 258. SZ-a).</w:t>
      </w:r>
    </w:p>
    <w:p w:rsidRDefault="008C33CD" w:rsidP="008C33CD" w:rsidR="008C33CD">
      <w:pPr>
        <w:ind w:firstLine="708"/>
        <w:jc w:val="both"/>
        <w:rPr>
          <w:rFonts w:eastAsia="Calibri"/>
          <w:lang w:eastAsia="en-US"/>
        </w:rPr>
      </w:pPr>
    </w:p>
    <w:p w:rsidRDefault="008C33CD" w:rsidP="008C33CD" w:rsidR="008C33CD">
      <w:pPr>
        <w:ind w:hanging="582" w:left="1410"/>
        <w:jc w:val="both"/>
        <w:rPr>
          <w:rFonts w:eastAsia="Calibri"/>
          <w:lang w:eastAsia="en-US"/>
        </w:rPr>
      </w:pPr>
      <w:r>
        <w:rPr>
          <w:rFonts w:eastAsia="Calibri"/>
          <w:lang w:eastAsia="en-US"/>
        </w:rPr>
        <w:t xml:space="preserve">5) </w:t>
      </w:r>
      <w:r>
        <w:rPr>
          <w:rFonts w:eastAsia="Calibri"/>
          <w:lang w:eastAsia="en-US"/>
        </w:rPr>
        <w:tab/>
        <w:t>Pozivaju se dužnikovi dužnici da svoje obveze prema stečajnom dužniku ispune bez odlaganja izravno stečajnom upravitelju za stečajnog dužnika.</w:t>
      </w:r>
    </w:p>
    <w:p w:rsidRDefault="008C33CD" w:rsidP="008C33CD" w:rsidR="008C33CD">
      <w:pPr>
        <w:ind w:hanging="582" w:left="1410"/>
        <w:jc w:val="both"/>
        <w:rPr>
          <w:rFonts w:eastAsia="Calibri"/>
          <w:lang w:eastAsia="en-US"/>
        </w:rPr>
      </w:pPr>
    </w:p>
    <w:p w:rsidRDefault="008C33CD" w:rsidP="008C33CD" w:rsidR="008C33CD">
      <w:pPr>
        <w:ind w:hanging="690" w:left="1410"/>
        <w:jc w:val="both"/>
        <w:rPr>
          <w:rFonts w:eastAsia="Calibri"/>
          <w:lang w:eastAsia="en-US"/>
        </w:rPr>
      </w:pPr>
      <w:r>
        <w:rPr>
          <w:rFonts w:eastAsia="Calibri"/>
          <w:lang w:eastAsia="en-US"/>
        </w:rPr>
        <w:lastRenderedPageBreak/>
        <w:t xml:space="preserve">6) </w:t>
      </w:r>
      <w:r>
        <w:rPr>
          <w:rFonts w:eastAsia="Calibri"/>
          <w:lang w:eastAsia="en-US"/>
        </w:rPr>
        <w:tab/>
        <w:t xml:space="preserve">Ročište vjerovnika na kojem će se ispitati prijavljene tražbine - </w:t>
      </w:r>
      <w:r>
        <w:rPr>
          <w:rFonts w:eastAsia="Calibri"/>
          <w:u w:val="single"/>
          <w:lang w:eastAsia="en-US"/>
        </w:rPr>
        <w:t>ispitno ročište</w:t>
      </w:r>
      <w:r>
        <w:rPr>
          <w:rFonts w:eastAsia="Calibri"/>
          <w:lang w:eastAsia="en-US"/>
        </w:rPr>
        <w:t xml:space="preserve"> određuje se za dan </w:t>
      </w:r>
      <w:r>
        <w:rPr>
          <w:rFonts w:eastAsia="Calibri"/>
          <w:u w:val="single"/>
          <w:lang w:eastAsia="en-US"/>
        </w:rPr>
        <w:t>13. rujna 2018. u 9,00 sati</w:t>
      </w:r>
      <w:r>
        <w:rPr>
          <w:rFonts w:eastAsia="Calibri"/>
          <w:lang w:eastAsia="en-US"/>
        </w:rPr>
        <w:t xml:space="preserve">  kod Trgovačkog suda u Varaždinu, Braće Radić br. 2, soba broj 223, drugi kat.</w:t>
      </w:r>
    </w:p>
    <w:p w:rsidRDefault="008C33CD" w:rsidP="008C33CD" w:rsidR="008C33CD">
      <w:pPr>
        <w:ind w:firstLine="6" w:left="1410"/>
        <w:jc w:val="both"/>
        <w:rPr>
          <w:rFonts w:eastAsia="Calibri"/>
          <w:u w:val="single"/>
          <w:lang w:eastAsia="en-US"/>
        </w:rPr>
      </w:pPr>
      <w:r>
        <w:rPr>
          <w:rFonts w:eastAsia="Calibri"/>
          <w:lang w:eastAsia="en-US"/>
        </w:rPr>
        <w:t>Ročište vjerovnika na kojem će se na temelju izvješća stečajnog upravitelja odlučivati o daljnjem tijeku stečajnog postupka-</w:t>
      </w:r>
      <w:r>
        <w:rPr>
          <w:rFonts w:eastAsia="Calibri"/>
          <w:u w:val="single"/>
          <w:lang w:eastAsia="en-US"/>
        </w:rPr>
        <w:t>izvještajno ročište</w:t>
      </w:r>
      <w:r>
        <w:rPr>
          <w:rFonts w:eastAsia="Calibri"/>
          <w:lang w:eastAsia="en-US"/>
        </w:rPr>
        <w:t xml:space="preserve"> održati će se istoga dana odmah nakon ispitnog ročišta.</w:t>
      </w:r>
    </w:p>
    <w:p w:rsidRDefault="008C33CD" w:rsidP="008C33CD" w:rsidR="008C33CD">
      <w:pPr>
        <w:jc w:val="both"/>
        <w:rPr>
          <w:rFonts w:eastAsia="Calibri"/>
          <w:b/>
          <w:u w:val="single"/>
          <w:lang w:eastAsia="en-US"/>
        </w:rPr>
      </w:pPr>
    </w:p>
    <w:p w:rsidRDefault="008C33CD" w:rsidP="008C33CD" w:rsidR="008C33CD">
      <w:pPr>
        <w:ind w:hanging="702" w:left="1410"/>
        <w:jc w:val="both"/>
        <w:rPr>
          <w:rFonts w:eastAsia="Calibri"/>
          <w:lang w:eastAsia="en-US"/>
        </w:rPr>
      </w:pPr>
      <w:r>
        <w:rPr>
          <w:rFonts w:eastAsia="Calibri"/>
          <w:lang w:eastAsia="en-US"/>
        </w:rPr>
        <w:t xml:space="preserve">7) </w:t>
      </w:r>
      <w:r>
        <w:rPr>
          <w:rFonts w:eastAsia="Calibri"/>
          <w:lang w:eastAsia="en-US"/>
        </w:rPr>
        <w:tab/>
        <w:t>Ovo rješenje o otvaranju stečajnog postupka dostaviti će se sudskom registru ovoga suda, radi zabilježbe otvaranja stečajnog postupka u sudskom registru.</w:t>
      </w:r>
    </w:p>
    <w:p w:rsidRDefault="008C33CD" w:rsidP="008C33CD" w:rsidR="008C33CD">
      <w:pPr>
        <w:jc w:val="both"/>
        <w:rPr>
          <w:rFonts w:eastAsia="Calibri"/>
          <w:lang w:eastAsia="en-US"/>
        </w:rPr>
      </w:pPr>
    </w:p>
    <w:p w:rsidRDefault="008C33CD" w:rsidP="008C33CD" w:rsidR="008C33CD">
      <w:pPr>
        <w:ind w:hanging="702" w:left="1410"/>
        <w:jc w:val="both"/>
        <w:rPr>
          <w:rFonts w:eastAsia="Calibri"/>
          <w:lang w:eastAsia="en-US"/>
        </w:rPr>
      </w:pPr>
      <w:r>
        <w:rPr>
          <w:rFonts w:eastAsia="Calibri"/>
          <w:lang w:eastAsia="en-US"/>
        </w:rPr>
        <w:t xml:space="preserve">8) </w:t>
      </w:r>
      <w:r>
        <w:rPr>
          <w:rFonts w:eastAsia="Calibri"/>
          <w:lang w:eastAsia="en-US"/>
        </w:rPr>
        <w:tab/>
        <w:t>Ovo rješenje o otvaranju stečajnog postupka objavljuje se isticanjem na e-Oglasnoj ploči ovoga suda s danom otvaranja stečajnog postupka.</w:t>
      </w:r>
    </w:p>
    <w:p w:rsidRDefault="008C33CD" w:rsidP="008C33CD" w:rsidR="008C33CD">
      <w:pPr>
        <w:jc w:val="both"/>
        <w:rPr>
          <w:rFonts w:eastAsia="Calibri"/>
          <w:lang w:eastAsia="en-US"/>
        </w:rPr>
      </w:pPr>
    </w:p>
    <w:p w:rsidRDefault="008C33CD" w:rsidP="008C33CD" w:rsidR="008C33CD">
      <w:pPr>
        <w:spacing w:after="240"/>
        <w:ind w:hanging="705" w:left="1410"/>
        <w:jc w:val="both"/>
        <w:rPr>
          <w:rFonts w:eastAsia="Calibri"/>
          <w:lang w:eastAsia="en-US"/>
        </w:rPr>
      </w:pPr>
      <w:r>
        <w:rPr>
          <w:rFonts w:eastAsia="Calibri"/>
          <w:lang w:eastAsia="en-US"/>
        </w:rPr>
        <w:t>9)</w:t>
      </w:r>
      <w:r>
        <w:rPr>
          <w:rFonts w:eastAsia="Calibri"/>
          <w:lang w:eastAsia="en-US"/>
        </w:rPr>
        <w:tab/>
        <w:t>Ovo rješenje o otvaranju stečajnog postupka dostaviti će se Zemljišno-knjižnom odjelu Općinskog suda u Rijeci, Općinskog suda u Zadru, Općinskog suda u Varaždinu, radi upisa zabilježbe otvaranja stečajnog postupka u zemljišnim knjigama.</w:t>
      </w:r>
    </w:p>
    <w:p w:rsidRDefault="008C33CD" w:rsidP="008C33CD" w:rsidR="008C33CD">
      <w:pPr>
        <w:ind w:hanging="714" w:left="2124"/>
        <w:jc w:val="both"/>
        <w:rPr>
          <w:rFonts w:eastAsia="Calibri"/>
          <w:lang w:eastAsia="en-US"/>
        </w:rPr>
      </w:pPr>
      <w:r>
        <w:rPr>
          <w:rFonts w:eastAsia="Calibri"/>
          <w:lang w:eastAsia="en-US"/>
        </w:rPr>
        <w:t xml:space="preserve">a) </w:t>
      </w:r>
      <w:r>
        <w:rPr>
          <w:rFonts w:eastAsia="Calibri"/>
          <w:lang w:eastAsia="en-US"/>
        </w:rPr>
        <w:tab/>
        <w:t>Nalaže se Općinskom sudu u Rijeci, Zemljišnoknjižni odjel Senj, izvršiti upis zabilježbe otvaranja stečajnog postupka u zemljišnim knjigama na nekretninama stečajnog dužnika i to:</w:t>
      </w:r>
      <w:r>
        <w:rPr>
          <w:rFonts w:eastAsia="Calibri"/>
          <w:lang w:eastAsia="en-US"/>
        </w:rPr>
        <w:tab/>
      </w:r>
    </w:p>
    <w:p w:rsidRDefault="008C33CD" w:rsidP="008C33CD" w:rsidR="008C33CD">
      <w:pPr>
        <w:ind w:hanging="705" w:left="1410"/>
        <w:jc w:val="both"/>
        <w:rPr>
          <w:rFonts w:eastAsia="Calibri"/>
          <w:lang w:eastAsia="en-US"/>
        </w:rPr>
      </w:pPr>
    </w:p>
    <w:p w:rsidRDefault="008C33CD" w:rsidP="008C33CD" w:rsidR="008C33CD">
      <w:pPr>
        <w:ind w:hanging="705" w:left="1410"/>
        <w:jc w:val="both"/>
        <w:rPr>
          <w:rFonts w:eastAsia="Calibri"/>
          <w:lang w:eastAsia="en-US"/>
        </w:rPr>
      </w:pPr>
      <w:r>
        <w:rPr>
          <w:rFonts w:eastAsia="Calibri"/>
          <w:lang w:eastAsia="en-US"/>
        </w:rPr>
        <w:tab/>
        <w:t>-</w:t>
      </w:r>
      <w:r>
        <w:rPr>
          <w:rFonts w:eastAsia="Calibri"/>
          <w:lang w:eastAsia="en-US"/>
        </w:rPr>
        <w:tab/>
        <w:t xml:space="preserve">čk.br. 430/323 K, upisana u </w:t>
      </w:r>
      <w:proofErr w:type="spellStart"/>
      <w:r>
        <w:rPr>
          <w:rFonts w:eastAsia="Calibri"/>
          <w:lang w:eastAsia="en-US"/>
        </w:rPr>
        <w:t>zk.ul</w:t>
      </w:r>
      <w:proofErr w:type="spellEnd"/>
      <w:r>
        <w:rPr>
          <w:rFonts w:eastAsia="Calibri"/>
          <w:lang w:eastAsia="en-US"/>
        </w:rPr>
        <w:t>. 285 k.o. Senj,</w:t>
      </w:r>
    </w:p>
    <w:p w:rsidRDefault="008C33CD" w:rsidP="008C33CD" w:rsidR="008C33CD">
      <w:pPr>
        <w:ind w:hanging="705" w:left="1410"/>
        <w:jc w:val="both"/>
        <w:rPr>
          <w:rFonts w:eastAsia="Calibri"/>
          <w:lang w:eastAsia="en-US"/>
        </w:rPr>
      </w:pPr>
      <w:r>
        <w:rPr>
          <w:rFonts w:eastAsia="Calibri"/>
          <w:lang w:eastAsia="en-US"/>
        </w:rPr>
        <w:tab/>
        <w:t>-</w:t>
      </w:r>
      <w:r>
        <w:rPr>
          <w:rFonts w:eastAsia="Calibri"/>
          <w:lang w:eastAsia="en-US"/>
        </w:rPr>
        <w:tab/>
        <w:t xml:space="preserve">čk.br. 397, upisana u </w:t>
      </w:r>
      <w:proofErr w:type="spellStart"/>
      <w:r>
        <w:rPr>
          <w:rFonts w:eastAsia="Calibri"/>
          <w:lang w:eastAsia="en-US"/>
        </w:rPr>
        <w:t>zk.ul</w:t>
      </w:r>
      <w:proofErr w:type="spellEnd"/>
      <w:r>
        <w:rPr>
          <w:rFonts w:eastAsia="Calibri"/>
          <w:lang w:eastAsia="en-US"/>
        </w:rPr>
        <w:t>. 1575 k.o. Sveti Juraj,</w:t>
      </w:r>
    </w:p>
    <w:p w:rsidRDefault="008C33CD" w:rsidP="008C33CD" w:rsidR="008C33CD">
      <w:pPr>
        <w:ind w:hanging="705" w:left="1410"/>
        <w:jc w:val="both"/>
        <w:rPr>
          <w:rFonts w:eastAsia="Calibri"/>
          <w:lang w:eastAsia="en-US"/>
        </w:rPr>
      </w:pPr>
      <w:r>
        <w:rPr>
          <w:rFonts w:eastAsia="Calibri"/>
          <w:lang w:eastAsia="en-US"/>
        </w:rPr>
        <w:tab/>
        <w:t>-</w:t>
      </w:r>
      <w:r>
        <w:rPr>
          <w:rFonts w:eastAsia="Calibri"/>
          <w:lang w:eastAsia="en-US"/>
        </w:rPr>
        <w:tab/>
        <w:t xml:space="preserve">čk.br. 200/3 i </w:t>
      </w:r>
      <w:proofErr w:type="spellStart"/>
      <w:r>
        <w:rPr>
          <w:rFonts w:eastAsia="Calibri"/>
          <w:lang w:eastAsia="en-US"/>
        </w:rPr>
        <w:t>čk</w:t>
      </w:r>
      <w:proofErr w:type="spellEnd"/>
      <w:r>
        <w:rPr>
          <w:rFonts w:eastAsia="Calibri"/>
          <w:lang w:eastAsia="en-US"/>
        </w:rPr>
        <w:t xml:space="preserve">. br. 201/2, sve upisano u </w:t>
      </w:r>
      <w:proofErr w:type="spellStart"/>
      <w:r>
        <w:rPr>
          <w:rFonts w:eastAsia="Calibri"/>
          <w:lang w:eastAsia="en-US"/>
        </w:rPr>
        <w:t>zk.ul</w:t>
      </w:r>
      <w:proofErr w:type="spellEnd"/>
      <w:r>
        <w:rPr>
          <w:rFonts w:eastAsia="Calibri"/>
          <w:lang w:eastAsia="en-US"/>
        </w:rPr>
        <w:t xml:space="preserve">. 113 k.o. </w:t>
      </w:r>
      <w:proofErr w:type="spellStart"/>
      <w:r>
        <w:rPr>
          <w:rFonts w:eastAsia="Calibri"/>
          <w:lang w:eastAsia="en-US"/>
        </w:rPr>
        <w:t>Melnice</w:t>
      </w:r>
      <w:proofErr w:type="spellEnd"/>
      <w:r>
        <w:rPr>
          <w:rFonts w:eastAsia="Calibri"/>
          <w:lang w:eastAsia="en-US"/>
        </w:rPr>
        <w:t>,</w:t>
      </w:r>
      <w:r>
        <w:rPr>
          <w:rFonts w:eastAsia="Calibri"/>
          <w:lang w:eastAsia="en-US"/>
        </w:rPr>
        <w:tab/>
      </w:r>
    </w:p>
    <w:p w:rsidRDefault="008C33CD" w:rsidP="008C33CD" w:rsidR="008C33CD">
      <w:pPr>
        <w:ind w:hanging="705" w:left="1410"/>
        <w:jc w:val="both"/>
        <w:rPr>
          <w:rFonts w:eastAsia="Calibri"/>
          <w:lang w:eastAsia="en-US"/>
        </w:rPr>
      </w:pPr>
      <w:r>
        <w:rPr>
          <w:rFonts w:eastAsia="Calibri"/>
          <w:lang w:eastAsia="en-US"/>
        </w:rPr>
        <w:tab/>
        <w:t>-</w:t>
      </w:r>
      <w:r>
        <w:rPr>
          <w:rFonts w:eastAsia="Calibri"/>
          <w:lang w:eastAsia="en-US"/>
        </w:rPr>
        <w:tab/>
        <w:t xml:space="preserve">čk.br. 7650/2, upisana u </w:t>
      </w:r>
      <w:proofErr w:type="spellStart"/>
      <w:r>
        <w:rPr>
          <w:rFonts w:eastAsia="Calibri"/>
          <w:lang w:eastAsia="en-US"/>
        </w:rPr>
        <w:t>zk.ul</w:t>
      </w:r>
      <w:proofErr w:type="spellEnd"/>
      <w:r>
        <w:rPr>
          <w:rFonts w:eastAsia="Calibri"/>
          <w:lang w:eastAsia="en-US"/>
        </w:rPr>
        <w:t>. 2279 k.o. Sveti Juraj,</w:t>
      </w:r>
    </w:p>
    <w:p w:rsidRDefault="008C33CD" w:rsidP="008C33CD" w:rsidR="008C33CD">
      <w:pPr>
        <w:ind w:hanging="714" w:left="2124"/>
        <w:jc w:val="both"/>
        <w:rPr>
          <w:rFonts w:eastAsia="Calibri"/>
          <w:lang w:eastAsia="en-US"/>
        </w:rPr>
      </w:pPr>
      <w:r>
        <w:rPr>
          <w:rFonts w:eastAsia="Calibri"/>
          <w:lang w:eastAsia="en-US"/>
        </w:rPr>
        <w:t>-</w:t>
      </w:r>
      <w:r>
        <w:rPr>
          <w:rFonts w:eastAsia="Calibri"/>
          <w:lang w:eastAsia="en-US"/>
        </w:rPr>
        <w:tab/>
        <w:t xml:space="preserve">čk.br. 2235/24, </w:t>
      </w:r>
      <w:proofErr w:type="spellStart"/>
      <w:r>
        <w:rPr>
          <w:rFonts w:eastAsia="Calibri"/>
          <w:lang w:eastAsia="en-US"/>
        </w:rPr>
        <w:t>čk</w:t>
      </w:r>
      <w:proofErr w:type="spellEnd"/>
      <w:r>
        <w:rPr>
          <w:rFonts w:eastAsia="Calibri"/>
          <w:lang w:eastAsia="en-US"/>
        </w:rPr>
        <w:t xml:space="preserve">. br. 2235/25, čk.br. 2235/327, čk.br. 2235/328, čk.br. 2335/1, čk.br. 2337/1, čk.br. 2337/2, čk.br. 2344, čk.br. 2345, čk.br. 2346 i čk.br. 2347, sve upisano u </w:t>
      </w:r>
      <w:proofErr w:type="spellStart"/>
      <w:r>
        <w:rPr>
          <w:rFonts w:eastAsia="Calibri"/>
          <w:lang w:eastAsia="en-US"/>
        </w:rPr>
        <w:t>zk.ul</w:t>
      </w:r>
      <w:proofErr w:type="spellEnd"/>
      <w:r>
        <w:rPr>
          <w:rFonts w:eastAsia="Calibri"/>
          <w:lang w:eastAsia="en-US"/>
        </w:rPr>
        <w:t xml:space="preserve">. 549 k.o. </w:t>
      </w:r>
      <w:proofErr w:type="spellStart"/>
      <w:r>
        <w:rPr>
          <w:rFonts w:eastAsia="Calibri"/>
          <w:lang w:eastAsia="en-US"/>
        </w:rPr>
        <w:t>Stinica</w:t>
      </w:r>
      <w:proofErr w:type="spellEnd"/>
      <w:r>
        <w:rPr>
          <w:rFonts w:eastAsia="Calibri"/>
          <w:lang w:eastAsia="en-US"/>
        </w:rPr>
        <w:t>,</w:t>
      </w:r>
    </w:p>
    <w:p w:rsidRDefault="008C33CD" w:rsidP="008C33CD" w:rsidR="008C33CD">
      <w:pPr>
        <w:ind w:hanging="714" w:left="2124"/>
        <w:jc w:val="both"/>
        <w:rPr>
          <w:rFonts w:eastAsia="Calibri"/>
          <w:lang w:eastAsia="en-US"/>
        </w:rPr>
      </w:pPr>
      <w:r>
        <w:rPr>
          <w:rFonts w:eastAsia="Calibri"/>
          <w:lang w:eastAsia="en-US"/>
        </w:rPr>
        <w:t>-</w:t>
      </w:r>
      <w:r>
        <w:rPr>
          <w:rFonts w:eastAsia="Calibri"/>
          <w:lang w:eastAsia="en-US"/>
        </w:rPr>
        <w:tab/>
        <w:t xml:space="preserve">čk.br. 2338/2, čk.br. 2339, čk.br. 2340, čk.br. 2341, čk.br. 2343, čk.br. 2467/7, čk.br. 2467/22, čk.br. 3018, sve upisano u </w:t>
      </w:r>
      <w:proofErr w:type="spellStart"/>
      <w:r>
        <w:rPr>
          <w:rFonts w:eastAsia="Calibri"/>
          <w:lang w:eastAsia="en-US"/>
        </w:rPr>
        <w:t>zk.ul</w:t>
      </w:r>
      <w:proofErr w:type="spellEnd"/>
      <w:r>
        <w:rPr>
          <w:rFonts w:eastAsia="Calibri"/>
          <w:lang w:eastAsia="en-US"/>
        </w:rPr>
        <w:t xml:space="preserve">. 1215 k.o. </w:t>
      </w:r>
      <w:proofErr w:type="spellStart"/>
      <w:r>
        <w:rPr>
          <w:rFonts w:eastAsia="Calibri"/>
          <w:lang w:eastAsia="en-US"/>
        </w:rPr>
        <w:t>Stinica</w:t>
      </w:r>
      <w:proofErr w:type="spellEnd"/>
      <w:r>
        <w:rPr>
          <w:rFonts w:eastAsia="Calibri"/>
          <w:lang w:eastAsia="en-US"/>
        </w:rPr>
        <w:t>,</w:t>
      </w:r>
    </w:p>
    <w:p w:rsidRDefault="008C33CD" w:rsidP="008C33CD" w:rsidR="008C33CD">
      <w:pPr>
        <w:ind w:hanging="714" w:left="2124"/>
        <w:jc w:val="both"/>
        <w:rPr>
          <w:rFonts w:eastAsia="Calibri"/>
          <w:lang w:eastAsia="en-US"/>
        </w:rPr>
      </w:pPr>
      <w:r>
        <w:rPr>
          <w:rFonts w:eastAsia="Calibri"/>
          <w:lang w:eastAsia="en-US"/>
        </w:rPr>
        <w:t>-</w:t>
      </w:r>
      <w:r>
        <w:rPr>
          <w:rFonts w:eastAsia="Calibri"/>
          <w:lang w:eastAsia="en-US"/>
        </w:rPr>
        <w:tab/>
        <w:t xml:space="preserve">čk.br. 5059, upisano u </w:t>
      </w:r>
      <w:proofErr w:type="spellStart"/>
      <w:r>
        <w:rPr>
          <w:rFonts w:eastAsia="Calibri"/>
          <w:lang w:eastAsia="en-US"/>
        </w:rPr>
        <w:t>zk.ul</w:t>
      </w:r>
      <w:proofErr w:type="spellEnd"/>
      <w:r>
        <w:rPr>
          <w:rFonts w:eastAsia="Calibri"/>
          <w:lang w:eastAsia="en-US"/>
        </w:rPr>
        <w:t>. 2414, k.o. Sveti Juraj,</w:t>
      </w:r>
    </w:p>
    <w:p w:rsidRDefault="008C33CD" w:rsidP="008C33CD" w:rsidR="008C33CD">
      <w:pPr>
        <w:ind w:hanging="714" w:left="2124"/>
        <w:jc w:val="both"/>
        <w:rPr>
          <w:rFonts w:eastAsia="Calibri"/>
          <w:lang w:eastAsia="en-US"/>
        </w:rPr>
      </w:pPr>
      <w:r>
        <w:rPr>
          <w:rFonts w:eastAsia="Calibri"/>
          <w:lang w:eastAsia="en-US"/>
        </w:rPr>
        <w:t>-</w:t>
      </w:r>
      <w:r>
        <w:rPr>
          <w:rFonts w:eastAsia="Calibri"/>
          <w:lang w:eastAsia="en-US"/>
        </w:rPr>
        <w:tab/>
        <w:t xml:space="preserve">čk.br. 619/2, čk.br. 620, čk.br. 621, čk.br. 622 i čk.br. 623/2, sve upisano u </w:t>
      </w:r>
      <w:proofErr w:type="spellStart"/>
      <w:r>
        <w:rPr>
          <w:rFonts w:eastAsia="Calibri"/>
          <w:lang w:eastAsia="en-US"/>
        </w:rPr>
        <w:t>zk</w:t>
      </w:r>
      <w:proofErr w:type="spellEnd"/>
      <w:r>
        <w:rPr>
          <w:rFonts w:eastAsia="Calibri"/>
          <w:lang w:eastAsia="en-US"/>
        </w:rPr>
        <w:t>. 2194 k.o. Sveti Juraj.</w:t>
      </w:r>
    </w:p>
    <w:p w:rsidRDefault="008C33CD" w:rsidP="008C33CD" w:rsidR="008C33CD">
      <w:pPr>
        <w:ind w:hanging="714" w:left="2124"/>
        <w:jc w:val="both"/>
        <w:rPr>
          <w:rFonts w:eastAsia="Calibri"/>
          <w:lang w:eastAsia="en-US"/>
        </w:rPr>
      </w:pPr>
    </w:p>
    <w:p w:rsidRDefault="008C33CD" w:rsidP="008C33CD" w:rsidR="008C33CD">
      <w:pPr>
        <w:ind w:hanging="714" w:left="2124"/>
        <w:jc w:val="both"/>
        <w:rPr>
          <w:rFonts w:eastAsia="Calibri"/>
          <w:lang w:eastAsia="en-US"/>
        </w:rPr>
      </w:pPr>
      <w:r>
        <w:rPr>
          <w:rFonts w:eastAsia="Calibri"/>
          <w:lang w:eastAsia="en-US"/>
        </w:rPr>
        <w:t>b)</w:t>
      </w:r>
      <w:r>
        <w:rPr>
          <w:rFonts w:eastAsia="Calibri"/>
          <w:lang w:eastAsia="en-US"/>
        </w:rPr>
        <w:tab/>
        <w:t>Nalaže se Općinskom sudu u Zadru, Zemljišnoknjižni odjel Zadar, izvršiti upis zabilježbe otvaranja stečajnog postupka u zemljišnim knjigama na nekretninama stečajnog dužnika i to:</w:t>
      </w:r>
      <w:r>
        <w:rPr>
          <w:rFonts w:eastAsia="Calibri"/>
          <w:lang w:eastAsia="en-US"/>
        </w:rPr>
        <w:tab/>
      </w:r>
    </w:p>
    <w:p w:rsidRDefault="008C33CD" w:rsidP="008C33CD" w:rsidR="008C33CD">
      <w:pPr>
        <w:ind w:hanging="705" w:left="1410"/>
        <w:jc w:val="both"/>
        <w:rPr>
          <w:rFonts w:eastAsia="Calibri"/>
          <w:lang w:eastAsia="en-US"/>
        </w:rPr>
      </w:pPr>
    </w:p>
    <w:p w:rsidRDefault="008C33CD" w:rsidP="008C33CD" w:rsidR="008C33CD">
      <w:pPr>
        <w:numPr>
          <w:ilvl w:val="0"/>
          <w:numId w:val="47"/>
        </w:numPr>
        <w:jc w:val="both"/>
        <w:rPr>
          <w:rFonts w:eastAsia="Calibri"/>
          <w:lang w:eastAsia="en-US"/>
        </w:rPr>
      </w:pPr>
      <w:r>
        <w:rPr>
          <w:rFonts w:eastAsia="Calibri"/>
          <w:lang w:eastAsia="en-US"/>
        </w:rPr>
        <w:t xml:space="preserve">čk.br. 3905/9, čk.br. 3905/10, čk.br. 3905/82, sve upisano u </w:t>
      </w:r>
      <w:proofErr w:type="spellStart"/>
      <w:r>
        <w:rPr>
          <w:rFonts w:eastAsia="Calibri"/>
          <w:lang w:eastAsia="en-US"/>
        </w:rPr>
        <w:t>zk.ul</w:t>
      </w:r>
      <w:proofErr w:type="spellEnd"/>
      <w:r>
        <w:rPr>
          <w:rFonts w:eastAsia="Calibri"/>
          <w:lang w:eastAsia="en-US"/>
        </w:rPr>
        <w:t>. 1336 k.o. Kukljica,</w:t>
      </w:r>
    </w:p>
    <w:p w:rsidRDefault="008C33CD" w:rsidP="008C33CD" w:rsidR="008C33CD">
      <w:pPr>
        <w:numPr>
          <w:ilvl w:val="0"/>
          <w:numId w:val="47"/>
        </w:numPr>
        <w:jc w:val="both"/>
        <w:rPr>
          <w:rFonts w:eastAsia="Calibri"/>
          <w:lang w:eastAsia="en-US"/>
        </w:rPr>
      </w:pPr>
      <w:r>
        <w:rPr>
          <w:rFonts w:eastAsia="Calibri"/>
          <w:lang w:eastAsia="en-US"/>
        </w:rPr>
        <w:t xml:space="preserve">čk.br. 3905/5, čk.br. 3950/13, čk.br. 3905/79, čk.br. 3905/80, sve upisano u </w:t>
      </w:r>
      <w:proofErr w:type="spellStart"/>
      <w:r>
        <w:rPr>
          <w:rFonts w:eastAsia="Calibri"/>
          <w:lang w:eastAsia="en-US"/>
        </w:rPr>
        <w:t>zk.ul</w:t>
      </w:r>
      <w:proofErr w:type="spellEnd"/>
      <w:r>
        <w:rPr>
          <w:rFonts w:eastAsia="Calibri"/>
          <w:lang w:eastAsia="en-US"/>
        </w:rPr>
        <w:t>. 1548 k.o. Kukljica,</w:t>
      </w:r>
    </w:p>
    <w:p w:rsidRDefault="008C33CD" w:rsidP="008C33CD" w:rsidR="008C33CD">
      <w:pPr>
        <w:numPr>
          <w:ilvl w:val="0"/>
          <w:numId w:val="47"/>
        </w:numPr>
        <w:jc w:val="both"/>
        <w:rPr>
          <w:rFonts w:eastAsia="Calibri"/>
          <w:lang w:eastAsia="en-US"/>
        </w:rPr>
      </w:pPr>
      <w:r>
        <w:rPr>
          <w:rFonts w:eastAsia="Calibri"/>
          <w:lang w:eastAsia="en-US"/>
        </w:rPr>
        <w:t xml:space="preserve">čk.br. 3902/1, čk.br. 3902/2, čk.br. 3902/3, čk.br. 3902/4, sve upisano u </w:t>
      </w:r>
      <w:proofErr w:type="spellStart"/>
      <w:r>
        <w:rPr>
          <w:rFonts w:eastAsia="Calibri"/>
          <w:lang w:eastAsia="en-US"/>
        </w:rPr>
        <w:t>zk.ul</w:t>
      </w:r>
      <w:proofErr w:type="spellEnd"/>
      <w:r>
        <w:rPr>
          <w:rFonts w:eastAsia="Calibri"/>
          <w:lang w:eastAsia="en-US"/>
        </w:rPr>
        <w:t>. 1519 k.o. Kukljica,</w:t>
      </w:r>
    </w:p>
    <w:p w:rsidRDefault="008C33CD" w:rsidP="008C33CD" w:rsidR="008C33CD">
      <w:pPr>
        <w:numPr>
          <w:ilvl w:val="0"/>
          <w:numId w:val="47"/>
        </w:numPr>
        <w:jc w:val="both"/>
        <w:rPr>
          <w:rFonts w:eastAsia="Calibri"/>
          <w:lang w:eastAsia="en-US"/>
        </w:rPr>
      </w:pPr>
      <w:r>
        <w:rPr>
          <w:rFonts w:eastAsia="Calibri"/>
          <w:lang w:eastAsia="en-US"/>
        </w:rPr>
        <w:t>čk.br. 3900/1, čk.br. 3900/2, čk.br. 3900/3, čk.br. 3900/4, čk.br. 3900/5, čk.br. 3901/1 čk.br. 3901/2, čk.br. 3901/3, čk.br. 3901/4, čk.br. 3901/5, čk.br. 3905/2, čk.br. 3905/3, čk.br. 3905/7, čk.br. 3905/14, čk.br. 3905/15,</w:t>
      </w:r>
    </w:p>
    <w:p w:rsidRDefault="008C33CD" w:rsidP="008C33CD" w:rsidR="008C33CD">
      <w:pPr>
        <w:ind w:left="1770"/>
        <w:jc w:val="both"/>
        <w:rPr>
          <w:rFonts w:eastAsia="Calibri"/>
          <w:lang w:eastAsia="en-US"/>
        </w:rPr>
      </w:pPr>
      <w:r>
        <w:rPr>
          <w:rFonts w:eastAsia="Calibri"/>
          <w:lang w:eastAsia="en-US"/>
        </w:rPr>
        <w:t xml:space="preserve">čk.br. 3905/16, čk.br. 3905/17, čk.br. 3905/18, čk.br. 3905/19,čk.br. 3905/20, čk.br. 3905/21, čk.br. 3905/22, čk.br. 3905/23, čk.br. 3905/24, čk.br. 3905/25, čk.br. 3905/26, čk.br. 3905/27, čk.br. 3905/28, čk.br. 3905/29, čk.br. 3905/30, čk.br. 3905/31, čk.br. 3905/32, čk.br. 3905/33, čk.br. 3905/34, čk.br. 3905/35, čk.br. 3905/36, čk.br. 3905/37, čk.br. 3905/38,  čk.br. 3905/39, čk.br. 3905/40, čk.br. 3905/41, čk.br. 3905/42, čk.br. 3905/43, čk.br. 3905/44, čk.br. 3905/45, čk.br. 3905/46, čk.br. 3905/47, čk.br. 3905/48, čk.br. 3905/49, čk.br. 3905/50, čk.br. 3905/51, čk.br. 3905/52, čk.br. 3905/53, čk.br. 3905/54, čk.br. 3905/55, čk.br. 3905/56, čk.br. 3905/57, čk.br. 3905/58, čk.br. 3905/59, čk.br. 3905/60, čk.br. 3905/61, čk.br. 3905/62, čk.br. 3905/63, čk.br. 3905/64, čk.br. 3905/65, čk.br. 3905/66, čk.br. 3905/67, čk.br. 3905/68, čk.br. 3905/69, čk.br. 3905/70, čk.br. 3905/71, čk.br. 3905/72, čk.br. 3905/73, čk.br. 3905/81, sve upisano u </w:t>
      </w:r>
      <w:proofErr w:type="spellStart"/>
      <w:r>
        <w:rPr>
          <w:rFonts w:eastAsia="Calibri"/>
          <w:lang w:eastAsia="en-US"/>
        </w:rPr>
        <w:t>zk.ul</w:t>
      </w:r>
      <w:proofErr w:type="spellEnd"/>
      <w:r>
        <w:rPr>
          <w:rFonts w:eastAsia="Calibri"/>
          <w:lang w:eastAsia="en-US"/>
        </w:rPr>
        <w:t>. 1179 k.o. Kukljica,</w:t>
      </w:r>
    </w:p>
    <w:p w:rsidRDefault="008C33CD" w:rsidP="008C33CD" w:rsidR="008C33CD">
      <w:pPr>
        <w:numPr>
          <w:ilvl w:val="0"/>
          <w:numId w:val="47"/>
        </w:numPr>
        <w:jc w:val="both"/>
        <w:rPr>
          <w:rFonts w:eastAsia="Calibri"/>
          <w:lang w:eastAsia="en-US"/>
        </w:rPr>
      </w:pPr>
      <w:r>
        <w:rPr>
          <w:rFonts w:eastAsia="Calibri"/>
          <w:lang w:eastAsia="en-US"/>
        </w:rPr>
        <w:t xml:space="preserve">čk.br. 3898/1,   čk.br. 3898/4, čk.br. 3898/5, čk.br. 3898/6, čk.br. 3898/7,  čk.br. 3898/8,  čk.br. 3898/9,  čk.br. 3898/10,  čk.br. 3898/11, čk.br. 3898/12,  čk.br. 3898/13,  čk.br. 3898/14, čk.br. 3898/15, čk.br. 3898/16,   čk.br. 3898/17,  čk.br. 3898/18, čk.br. 3898/19,  čk.br. 3898/20, čk.br. 3898/21, čk.br. 3898/22,  čk.br. 3898/23, čk.br. 3898/24, čk.br. 3898/25, sve upisano u </w:t>
      </w:r>
      <w:proofErr w:type="spellStart"/>
      <w:r>
        <w:rPr>
          <w:rFonts w:eastAsia="Calibri"/>
          <w:lang w:eastAsia="en-US"/>
        </w:rPr>
        <w:t>zk.ul</w:t>
      </w:r>
      <w:proofErr w:type="spellEnd"/>
      <w:r>
        <w:rPr>
          <w:rFonts w:eastAsia="Calibri"/>
          <w:lang w:eastAsia="en-US"/>
        </w:rPr>
        <w:t xml:space="preserve">. 1754 k.o. Kukljica.   </w:t>
      </w:r>
    </w:p>
    <w:p w:rsidRDefault="008C33CD" w:rsidP="008C33CD" w:rsidR="008C33CD">
      <w:pPr>
        <w:jc w:val="both"/>
        <w:rPr>
          <w:rFonts w:eastAsia="Calibri"/>
          <w:lang w:eastAsia="en-US"/>
        </w:rPr>
      </w:pPr>
    </w:p>
    <w:p w:rsidRDefault="008C33CD" w:rsidP="008C33CD" w:rsidR="008C33CD">
      <w:pPr>
        <w:ind w:hanging="714" w:left="2124"/>
        <w:jc w:val="both"/>
        <w:rPr>
          <w:rFonts w:eastAsia="Calibri"/>
          <w:lang w:eastAsia="en-US"/>
        </w:rPr>
      </w:pPr>
      <w:r>
        <w:rPr>
          <w:rFonts w:eastAsia="Calibri"/>
          <w:lang w:eastAsia="en-US"/>
        </w:rPr>
        <w:t xml:space="preserve">c) </w:t>
      </w:r>
      <w:r>
        <w:rPr>
          <w:rFonts w:eastAsia="Calibri"/>
          <w:lang w:eastAsia="en-US"/>
        </w:rPr>
        <w:tab/>
        <w:t>Nalaže se Općinskom sudu u Zadru, Zemljišnoknjižni odjel Pag, izvršiti upis zabilježbe otvaranja stečajnog postupka u zemljišnim knjigama na nekretninama stečajnog dužnika i to:</w:t>
      </w:r>
      <w:r>
        <w:rPr>
          <w:rFonts w:eastAsia="Calibri"/>
          <w:lang w:eastAsia="en-US"/>
        </w:rPr>
        <w:tab/>
      </w:r>
    </w:p>
    <w:p w:rsidRDefault="008C33CD" w:rsidP="008C33CD" w:rsidR="008C33CD">
      <w:pPr>
        <w:ind w:hanging="702" w:left="1410"/>
        <w:jc w:val="both"/>
        <w:rPr>
          <w:rFonts w:eastAsia="Calibri"/>
          <w:lang w:eastAsia="en-US"/>
        </w:rPr>
      </w:pPr>
    </w:p>
    <w:p w:rsidRDefault="008C33CD" w:rsidP="008C33CD" w:rsidR="008C33CD">
      <w:pPr>
        <w:numPr>
          <w:ilvl w:val="0"/>
          <w:numId w:val="47"/>
        </w:numPr>
        <w:jc w:val="both"/>
        <w:rPr>
          <w:rFonts w:eastAsia="Calibri"/>
          <w:lang w:eastAsia="en-US"/>
        </w:rPr>
      </w:pPr>
      <w:r>
        <w:rPr>
          <w:rFonts w:eastAsia="Calibri"/>
          <w:lang w:eastAsia="en-US"/>
        </w:rPr>
        <w:t xml:space="preserve">čk.br. 8833/2, na suvlasničkom dijelu: 9084/10000 ETAŽNO VLASNIŠTVO (E-1), na suvlasničkom dijelu: 54/10000 ETAŽNO VLASNIŠTVO (E-2), na suvlasničkom dijelu: 108/10000 ETAŽNO VLASNIŠTVO (E-3), na suvlasničkom dijelu: 108/10000 ETAŽNO VLASNIŠTVO (E-4), na suvlasničkom dijelu: 42/10000 ETAŽNO VLASNIŠTVO (E-5), na suvlasničkom dijelu: 108/10000 ETAŽNO VLASNIŠTVO (E-6), na suvlasničkom dijelu: 54/10000 ETAŽNO VLASNIŠTVO (E-7), na suvlasničkom dijelu: 54/10000 ETAŽNO VLASNIŠTVO (E-8), na suvlasničkom dijelu:101/10000 ETAŽNO VLASNIŠTVO (E-9), na suvlasničkom dijelu: 196/10000 ETAŽNO VLASNIŠTVO (E-10), na suvlasničkom dijelu: 91/10000 ETAŽNO VLASNIŠTVO   (E-11), sve upisano u </w:t>
      </w:r>
      <w:proofErr w:type="spellStart"/>
      <w:r>
        <w:rPr>
          <w:rFonts w:eastAsia="Calibri"/>
          <w:lang w:eastAsia="en-US"/>
        </w:rPr>
        <w:t>zk.ul</w:t>
      </w:r>
      <w:proofErr w:type="spellEnd"/>
      <w:r>
        <w:rPr>
          <w:rFonts w:eastAsia="Calibri"/>
          <w:lang w:eastAsia="en-US"/>
        </w:rPr>
        <w:t>. 6008 k.o. Pag.</w:t>
      </w:r>
    </w:p>
    <w:p w:rsidRDefault="008C33CD" w:rsidP="008C33CD" w:rsidR="008C33CD">
      <w:pPr>
        <w:jc w:val="both"/>
        <w:rPr>
          <w:rFonts w:eastAsia="Calibri"/>
          <w:lang w:eastAsia="en-US"/>
        </w:rPr>
      </w:pPr>
    </w:p>
    <w:p w:rsidRDefault="008C33CD" w:rsidP="008C33CD" w:rsidR="008C33CD">
      <w:pPr>
        <w:ind w:hanging="714" w:left="2124"/>
        <w:jc w:val="both"/>
        <w:rPr>
          <w:rFonts w:eastAsia="Calibri"/>
          <w:lang w:eastAsia="en-US"/>
        </w:rPr>
      </w:pPr>
      <w:r>
        <w:rPr>
          <w:rFonts w:eastAsia="Calibri"/>
          <w:lang w:eastAsia="en-US"/>
        </w:rPr>
        <w:t>d)</w:t>
      </w:r>
      <w:r>
        <w:rPr>
          <w:rFonts w:eastAsia="Calibri"/>
          <w:lang w:eastAsia="en-US"/>
        </w:rPr>
        <w:tab/>
        <w:t>Nalaže se Općinskom sudu u Varaždinu, Zemljišnoknjižni odjel Ivanec, izvršiti upis zabilježbe otvaranja stečajnog postupka u zemljišnim knjigama na nekretninama stečajnog dužnika i to:</w:t>
      </w:r>
      <w:r>
        <w:rPr>
          <w:rFonts w:eastAsia="Calibri"/>
          <w:lang w:eastAsia="en-US"/>
        </w:rPr>
        <w:tab/>
      </w:r>
    </w:p>
    <w:p w:rsidRDefault="008C33CD" w:rsidP="008C33CD" w:rsidR="008C33CD">
      <w:pPr>
        <w:ind w:hanging="702" w:left="1410"/>
        <w:jc w:val="both"/>
        <w:rPr>
          <w:rFonts w:eastAsia="Calibri"/>
          <w:lang w:eastAsia="en-US"/>
        </w:rPr>
      </w:pPr>
    </w:p>
    <w:p w:rsidRDefault="008C33CD" w:rsidP="008C33CD" w:rsidR="008C33CD">
      <w:pPr>
        <w:numPr>
          <w:ilvl w:val="0"/>
          <w:numId w:val="47"/>
        </w:numPr>
        <w:jc w:val="both"/>
        <w:rPr>
          <w:rFonts w:eastAsia="Calibri"/>
          <w:lang w:eastAsia="en-US"/>
        </w:rPr>
      </w:pPr>
      <w:r>
        <w:rPr>
          <w:rFonts w:eastAsia="Calibri"/>
          <w:lang w:eastAsia="en-US"/>
        </w:rPr>
        <w:t xml:space="preserve">čk.br. 8720/2, čk.br. 8720/3, upisane u </w:t>
      </w:r>
      <w:proofErr w:type="spellStart"/>
      <w:r>
        <w:rPr>
          <w:rFonts w:eastAsia="Calibri"/>
          <w:lang w:eastAsia="en-US"/>
        </w:rPr>
        <w:t>zk.ul</w:t>
      </w:r>
      <w:proofErr w:type="spellEnd"/>
      <w:r>
        <w:rPr>
          <w:rFonts w:eastAsia="Calibri"/>
          <w:lang w:eastAsia="en-US"/>
        </w:rPr>
        <w:t>. 13 k.o. Trakošćan,</w:t>
      </w:r>
    </w:p>
    <w:p w:rsidRDefault="008C33CD" w:rsidP="008C33CD" w:rsidR="008C33CD">
      <w:pPr>
        <w:numPr>
          <w:ilvl w:val="0"/>
          <w:numId w:val="47"/>
        </w:numPr>
        <w:jc w:val="both"/>
        <w:rPr>
          <w:rFonts w:eastAsia="Calibri"/>
          <w:lang w:eastAsia="en-US"/>
        </w:rPr>
      </w:pPr>
      <w:r>
        <w:rPr>
          <w:rFonts w:eastAsia="Calibri"/>
          <w:lang w:eastAsia="en-US"/>
        </w:rPr>
        <w:t xml:space="preserve">čk.br. 8720/1, </w:t>
      </w:r>
      <w:proofErr w:type="spellStart"/>
      <w:r>
        <w:rPr>
          <w:rFonts w:eastAsia="Calibri"/>
          <w:lang w:eastAsia="en-US"/>
        </w:rPr>
        <w:t>čk</w:t>
      </w:r>
      <w:proofErr w:type="spellEnd"/>
      <w:r>
        <w:rPr>
          <w:rFonts w:eastAsia="Calibri"/>
          <w:lang w:eastAsia="en-US"/>
        </w:rPr>
        <w:t xml:space="preserve">. br. 8720/7, čk.br. 8720/8, čk.br. 8720/15, čk.br. 8723 i čk.br. 8732/1, sve upisano u </w:t>
      </w:r>
      <w:proofErr w:type="spellStart"/>
      <w:r>
        <w:rPr>
          <w:rFonts w:eastAsia="Calibri"/>
          <w:lang w:eastAsia="en-US"/>
        </w:rPr>
        <w:t>zk.ul</w:t>
      </w:r>
      <w:proofErr w:type="spellEnd"/>
      <w:r>
        <w:rPr>
          <w:rFonts w:eastAsia="Calibri"/>
          <w:lang w:eastAsia="en-US"/>
        </w:rPr>
        <w:t xml:space="preserve">. 634 k.o. Trakošćan, </w:t>
      </w:r>
    </w:p>
    <w:p w:rsidRDefault="008C33CD" w:rsidP="008C33CD" w:rsidR="008C33CD">
      <w:pPr>
        <w:numPr>
          <w:ilvl w:val="0"/>
          <w:numId w:val="47"/>
        </w:numPr>
        <w:jc w:val="both"/>
        <w:rPr>
          <w:rFonts w:eastAsia="Calibri"/>
          <w:lang w:eastAsia="en-US"/>
        </w:rPr>
      </w:pPr>
      <w:r>
        <w:rPr>
          <w:rFonts w:eastAsia="Calibri"/>
          <w:lang w:eastAsia="en-US"/>
        </w:rPr>
        <w:t xml:space="preserve">čk.br. 8721, upisana u </w:t>
      </w:r>
      <w:proofErr w:type="spellStart"/>
      <w:r>
        <w:rPr>
          <w:rFonts w:eastAsia="Calibri"/>
          <w:lang w:eastAsia="en-US"/>
        </w:rPr>
        <w:t>zk.ul</w:t>
      </w:r>
      <w:proofErr w:type="spellEnd"/>
      <w:r>
        <w:rPr>
          <w:rFonts w:eastAsia="Calibri"/>
          <w:lang w:eastAsia="en-US"/>
        </w:rPr>
        <w:t>. 912 k.o. Trakošćan.</w:t>
      </w:r>
    </w:p>
    <w:p w:rsidRDefault="008C33CD" w:rsidP="008C33CD" w:rsidR="008C33CD">
      <w:pPr>
        <w:ind w:left="1770"/>
        <w:jc w:val="both"/>
        <w:rPr>
          <w:rFonts w:eastAsia="Calibri"/>
          <w:lang w:eastAsia="en-US"/>
        </w:rPr>
      </w:pPr>
    </w:p>
    <w:p w:rsidRDefault="008C33CD" w:rsidP="008C33CD" w:rsidR="008C33CD">
      <w:pPr>
        <w:jc w:val="both"/>
        <w:rPr>
          <w:rFonts w:eastAsia="Calibri"/>
          <w:lang w:eastAsia="en-US"/>
        </w:rPr>
      </w:pPr>
    </w:p>
    <w:p w:rsidRDefault="008C33CD" w:rsidP="008C33CD" w:rsidR="008C33CD">
      <w:pPr>
        <w:ind w:left="708"/>
        <w:jc w:val="both"/>
        <w:rPr>
          <w:rFonts w:eastAsia="Calibri"/>
          <w:lang w:eastAsia="en-US"/>
        </w:rPr>
      </w:pPr>
    </w:p>
    <w:p w:rsidRDefault="008C33CD" w:rsidP="008C33CD" w:rsidR="008C33CD">
      <w:pPr>
        <w:ind w:left="1410"/>
        <w:jc w:val="both"/>
        <w:rPr>
          <w:rFonts w:eastAsia="Calibri"/>
          <w:lang w:eastAsia="en-US"/>
        </w:rPr>
      </w:pPr>
    </w:p>
    <w:tbl>
      <w:tblPr>
        <w:tblW w:type="dxa" w:w="11056"/>
        <w:tblInd w:type="dxa" w:w="-743"/>
        <w:tblLook w:val="04A0" w:noVBand="1" w:noHBand="0" w:lastColumn="0" w:firstColumn="1" w:lastRow="0" w:firstRow="1"/>
      </w:tblPr>
      <w:tblGrid>
        <w:gridCol w:w="3096"/>
        <w:gridCol w:w="3100"/>
        <w:gridCol w:w="1520"/>
        <w:gridCol w:w="840"/>
        <w:gridCol w:w="2500"/>
      </w:tblGrid>
      <w:tr w:rsidTr="008C33CD" w:rsidR="008C33CD">
        <w:trPr>
          <w:trHeight w:val="300"/>
        </w:trPr>
        <w:tc>
          <w:tcPr>
            <w:tcW w:type="dxa" w:w="3096"/>
            <w:noWrap/>
            <w:vAlign w:val="bottom"/>
            <w:hideMark/>
          </w:tcPr>
          <w:p w:rsidRDefault="008C33CD" w:rsidR="008C33CD">
            <w:pPr>
              <w:rPr>
                <w:sz w:val="20"/>
                <w:szCs w:val="20"/>
              </w:rPr>
            </w:pPr>
          </w:p>
        </w:tc>
        <w:tc>
          <w:tcPr>
            <w:tcW w:type="dxa" w:w="3100"/>
            <w:noWrap/>
            <w:vAlign w:val="bottom"/>
          </w:tcPr>
          <w:p w:rsidRDefault="008C33CD" w:rsidR="008C33CD">
            <w:pPr>
              <w:rPr>
                <w:sz w:val="20"/>
                <w:szCs w:val="20"/>
              </w:rPr>
            </w:pPr>
          </w:p>
        </w:tc>
        <w:tc>
          <w:tcPr>
            <w:tcW w:type="dxa" w:w="1520"/>
            <w:noWrap/>
            <w:vAlign w:val="bottom"/>
            <w:hideMark/>
          </w:tcPr>
          <w:p w:rsidRDefault="008C33CD" w:rsidR="008C33CD">
            <w:pPr>
              <w:rPr>
                <w:sz w:val="20"/>
                <w:szCs w:val="20"/>
              </w:rPr>
            </w:pPr>
          </w:p>
        </w:tc>
        <w:tc>
          <w:tcPr>
            <w:tcW w:type="dxa" w:w="840"/>
            <w:noWrap/>
            <w:vAlign w:val="bottom"/>
            <w:hideMark/>
          </w:tcPr>
          <w:p w:rsidRDefault="008C33CD" w:rsidR="008C33CD">
            <w:pPr>
              <w:rPr>
                <w:sz w:val="20"/>
                <w:szCs w:val="20"/>
              </w:rPr>
            </w:pPr>
          </w:p>
        </w:tc>
        <w:tc>
          <w:tcPr>
            <w:tcW w:type="dxa" w:w="2500"/>
            <w:noWrap/>
            <w:vAlign w:val="bottom"/>
            <w:hideMark/>
          </w:tcPr>
          <w:p w:rsidRDefault="008C33CD" w:rsidR="008C33CD">
            <w:pPr>
              <w:rPr>
                <w:sz w:val="20"/>
                <w:szCs w:val="20"/>
              </w:rPr>
            </w:pPr>
          </w:p>
        </w:tc>
      </w:tr>
    </w:tbl>
    <w:p w:rsidRDefault="008C33CD" w:rsidP="008C33CD" w:rsidR="008C33CD">
      <w:pPr>
        <w:jc w:val="center"/>
        <w:rPr>
          <w:rFonts w:eastAsia="Calibri"/>
          <w:lang w:eastAsia="en-US"/>
        </w:rPr>
      </w:pPr>
      <w:r>
        <w:rPr>
          <w:rFonts w:eastAsia="Calibri"/>
          <w:lang w:eastAsia="en-US"/>
        </w:rPr>
        <w:t>Obrazloženje</w:t>
      </w:r>
    </w:p>
    <w:p w:rsidRDefault="008C33CD" w:rsidP="008C33CD" w:rsidR="008C33CD">
      <w:pPr>
        <w:jc w:val="both"/>
        <w:rPr>
          <w:rFonts w:eastAsia="Calibri"/>
          <w:lang w:eastAsia="en-US"/>
        </w:rPr>
      </w:pPr>
    </w:p>
    <w:p w:rsidRDefault="008C33CD" w:rsidP="008C33CD" w:rsidR="008C33CD">
      <w:pPr>
        <w:tabs>
          <w:tab w:pos="851" w:val="left"/>
        </w:tabs>
        <w:jc w:val="both"/>
        <w:rPr>
          <w:rFonts w:eastAsia="Calibri"/>
          <w:lang w:eastAsia="en-US"/>
        </w:rPr>
      </w:pPr>
      <w:r>
        <w:rPr>
          <w:rFonts w:eastAsia="Calibri"/>
          <w:lang w:eastAsia="en-US"/>
        </w:rPr>
        <w:tab/>
        <w:t xml:space="preserve">Predlagatelj Financijska agencija podnijela je 31. kolovoza 2016. ovome sudu prijedlog za otvaranje stečajnog postupka nad dužnikom, te je sud rješenjem poslovni broj 2 St-997/16-3 od  21. rujna 2016. pokrenuo prethodni postupak radi utvrđivanja pretpostavki za otvaranje stečajnog postupka, a rješenjem od 17. veljače 2017. postavljena je privremena stečajna upraviteljica Lidija </w:t>
      </w:r>
      <w:proofErr w:type="spellStart"/>
      <w:r>
        <w:rPr>
          <w:rFonts w:eastAsia="Calibri"/>
          <w:lang w:eastAsia="en-US"/>
        </w:rPr>
        <w:t>Lesar</w:t>
      </w:r>
      <w:proofErr w:type="spellEnd"/>
      <w:r>
        <w:rPr>
          <w:rFonts w:eastAsia="Calibri"/>
          <w:lang w:eastAsia="en-US"/>
        </w:rPr>
        <w:t xml:space="preserve"> iz Čakovca.</w:t>
      </w:r>
    </w:p>
    <w:p w:rsidRDefault="008C33CD" w:rsidP="008C33CD" w:rsidR="008C33CD">
      <w:pPr>
        <w:tabs>
          <w:tab w:pos="851" w:val="left"/>
        </w:tabs>
        <w:jc w:val="both"/>
        <w:rPr>
          <w:rFonts w:eastAsia="Calibri"/>
          <w:lang w:eastAsia="en-US"/>
        </w:rPr>
      </w:pPr>
    </w:p>
    <w:p w:rsidRDefault="008C33CD" w:rsidP="008C33CD" w:rsidR="008C33CD">
      <w:pPr>
        <w:tabs>
          <w:tab w:pos="851" w:val="left"/>
        </w:tabs>
        <w:jc w:val="both"/>
        <w:rPr>
          <w:rFonts w:eastAsia="Calibri"/>
          <w:lang w:eastAsia="en-US"/>
        </w:rPr>
      </w:pPr>
      <w:r>
        <w:rPr>
          <w:rFonts w:eastAsia="Calibri"/>
          <w:lang w:eastAsia="en-US"/>
        </w:rPr>
        <w:tab/>
        <w:t>U prijedlogu se navodi da dužnik u Očevidniku redoslijeda osnova za plaćanje ima evidentirane neizvršene osnove za plaćanje u neprekinutom razdoblju od 120 dana u ukupnom iznosu od 3.893.733,19 kn.</w:t>
      </w:r>
    </w:p>
    <w:p w:rsidRDefault="008C33CD" w:rsidP="008C33CD" w:rsidR="008C33CD">
      <w:pPr>
        <w:tabs>
          <w:tab w:pos="851" w:val="left"/>
        </w:tabs>
        <w:jc w:val="both"/>
        <w:rPr>
          <w:rFonts w:eastAsia="Calibri"/>
          <w:lang w:eastAsia="en-US"/>
        </w:rPr>
      </w:pPr>
    </w:p>
    <w:p w:rsidRDefault="008C33CD" w:rsidP="008C33CD" w:rsidR="008C33CD">
      <w:pPr>
        <w:tabs>
          <w:tab w:pos="851" w:val="left"/>
        </w:tabs>
        <w:jc w:val="both"/>
        <w:rPr>
          <w:rFonts w:eastAsia="Calibri"/>
          <w:lang w:eastAsia="en-US"/>
        </w:rPr>
      </w:pPr>
      <w:r>
        <w:rPr>
          <w:rFonts w:eastAsia="Calibri"/>
          <w:lang w:eastAsia="en-US"/>
        </w:rPr>
        <w:tab/>
        <w:t xml:space="preserve">U prethodnom postupku održano je čak šest ročišta. Na ročištima 23.11.2016. i 21.02.2017. se punomoćnik dužnika protivio prijedlogu za otvaranje stečaja te je tražio odgodu jer da postoji realna mogućnost da će dužnik u kratkom roku uspjeti podmiriti svoja dugovanja. Na ročištu 19.05.2017. punomoćnik dužnika je naveo da su i dalje u tijeku radnje koje bi trebale dovesti do deblokade računa dužnika, te je zatražio daljnju odgodu na rok od 45 dana u kojemu bi dužnik otklonio stečajni razlog nesposobnosti za plaćanje i prezaduženosti. Na ročištu 06.07.2017. punomoćnik dužnika je naveo da je u međuvremenu „riješen veći dio duga i to oko ¾ duga radi kojeg je blokiran račun dužnika, a zbog tehničke procedure potreban je dodatni rok za rješavanje preostalog dijela duga u vezi kojeg se rješavaju tehnička pitanja s tzv. malim vjerovnicima“, te je ponovno predložio daljnju odgodu postupanja suda. Nakon toga došlo je do izmjene stečajnog suca jer je spis na temelju naredbe predsjednice suda od 24. siječnja 2018. </w:t>
      </w:r>
      <w:proofErr w:type="spellStart"/>
      <w:r>
        <w:rPr>
          <w:rFonts w:eastAsia="Calibri"/>
          <w:lang w:eastAsia="en-US"/>
        </w:rPr>
        <w:t>presigniran</w:t>
      </w:r>
      <w:proofErr w:type="spellEnd"/>
      <w:r>
        <w:rPr>
          <w:rFonts w:eastAsia="Calibri"/>
          <w:lang w:eastAsia="en-US"/>
        </w:rPr>
        <w:t xml:space="preserve"> u rad niže potpisanom sucu.</w:t>
      </w:r>
    </w:p>
    <w:p w:rsidRDefault="008C33CD" w:rsidP="008C33CD" w:rsidR="008C33CD">
      <w:pPr>
        <w:tabs>
          <w:tab w:pos="851" w:val="left"/>
        </w:tabs>
        <w:jc w:val="both"/>
        <w:rPr>
          <w:rFonts w:eastAsia="Calibri"/>
          <w:lang w:eastAsia="en-US"/>
        </w:rPr>
      </w:pPr>
    </w:p>
    <w:p w:rsidRDefault="008C33CD" w:rsidP="008C33CD" w:rsidR="008C33CD">
      <w:pPr>
        <w:tabs>
          <w:tab w:pos="851" w:val="left"/>
        </w:tabs>
        <w:jc w:val="both"/>
        <w:rPr>
          <w:rFonts w:eastAsia="Calibri"/>
          <w:lang w:eastAsia="en-US"/>
        </w:rPr>
      </w:pPr>
      <w:r>
        <w:rPr>
          <w:rFonts w:eastAsia="Calibri"/>
          <w:lang w:eastAsia="en-US"/>
        </w:rPr>
        <w:tab/>
        <w:t>Na ročištu radi rasprave o pretpostavkama za otvaranje stečajnog postupka održanom 19. veljače 2018. treća osoba CONING ING d.o.o. predala je Izjavu o pristupanju dugu od 15. veljače 2018., u smislu čl. 124. SZ-a.</w:t>
      </w:r>
    </w:p>
    <w:p w:rsidRDefault="008C33CD" w:rsidP="008C33CD" w:rsidR="008C33CD">
      <w:pPr>
        <w:tabs>
          <w:tab w:pos="851" w:val="left"/>
        </w:tabs>
        <w:jc w:val="both"/>
        <w:rPr>
          <w:rFonts w:eastAsia="Calibri"/>
          <w:lang w:eastAsia="en-US"/>
        </w:rPr>
      </w:pPr>
      <w:r>
        <w:rPr>
          <w:rFonts w:eastAsia="Calibri"/>
          <w:lang w:eastAsia="en-US"/>
        </w:rPr>
        <w:t xml:space="preserve"> </w:t>
      </w:r>
    </w:p>
    <w:p w:rsidRDefault="008C33CD" w:rsidP="008C33CD" w:rsidR="008C33CD">
      <w:pPr>
        <w:tabs>
          <w:tab w:pos="851" w:val="left"/>
        </w:tabs>
        <w:jc w:val="both"/>
        <w:rPr>
          <w:rFonts w:eastAsia="Calibri"/>
          <w:lang w:eastAsia="en-US"/>
        </w:rPr>
      </w:pPr>
      <w:r>
        <w:rPr>
          <w:rFonts w:eastAsia="Calibri"/>
          <w:lang w:eastAsia="en-US"/>
        </w:rPr>
        <w:tab/>
        <w:t>Stoga je ovaj sud tijekom prethodnog postupka osim analize pretpostavki za otvaranje stečajnog postupka, odnosno postojanja stečajnih razloga (temeljem čl. 128., vezano uz čl. 4. SZ-a), utvrđivao i elemente potrebne za ocjenu dane Izjave o pristupanju dugu (temeljem čl. 124. i čl. 128. st. 4. SZ-a).</w:t>
      </w:r>
    </w:p>
    <w:p w:rsidRDefault="008C33CD" w:rsidP="008C33CD" w:rsidR="008C33CD">
      <w:pPr>
        <w:tabs>
          <w:tab w:pos="851" w:val="left"/>
        </w:tabs>
        <w:jc w:val="both"/>
        <w:rPr>
          <w:rFonts w:eastAsia="Calibri"/>
          <w:lang w:eastAsia="en-US"/>
        </w:rPr>
      </w:pPr>
    </w:p>
    <w:p w:rsidRDefault="008C33CD" w:rsidP="008C33CD" w:rsidR="008C33CD">
      <w:pPr>
        <w:tabs>
          <w:tab w:pos="851" w:val="left"/>
        </w:tabs>
        <w:jc w:val="both"/>
        <w:rPr>
          <w:rFonts w:eastAsia="Calibri"/>
          <w:i/>
          <w:lang w:eastAsia="en-US"/>
        </w:rPr>
      </w:pPr>
      <w:r>
        <w:rPr>
          <w:rFonts w:eastAsia="Calibri"/>
          <w:lang w:eastAsia="en-US"/>
        </w:rPr>
        <w:tab/>
      </w:r>
      <w:r>
        <w:rPr>
          <w:rFonts w:eastAsia="Calibri"/>
          <w:i/>
          <w:lang w:eastAsia="en-US"/>
        </w:rPr>
        <w:t>U odnosu na pretpostavke za otvaranje stečajnog postupka</w:t>
      </w:r>
    </w:p>
    <w:p w:rsidRDefault="008C33CD" w:rsidP="008C33CD" w:rsidR="008C33CD">
      <w:pPr>
        <w:tabs>
          <w:tab w:pos="851" w:val="left"/>
        </w:tabs>
        <w:jc w:val="both"/>
        <w:rPr>
          <w:rFonts w:eastAsia="Calibri"/>
          <w:lang w:eastAsia="en-US"/>
        </w:rPr>
      </w:pPr>
    </w:p>
    <w:p w:rsidRDefault="008C33CD" w:rsidP="008C33CD" w:rsidR="008C33CD">
      <w:pPr>
        <w:tabs>
          <w:tab w:pos="851" w:val="left"/>
        </w:tabs>
        <w:jc w:val="both"/>
        <w:rPr>
          <w:rFonts w:eastAsia="Calibri"/>
          <w:lang w:eastAsia="en-US"/>
        </w:rPr>
      </w:pPr>
      <w:r>
        <w:rPr>
          <w:rFonts w:eastAsia="Calibri"/>
          <w:lang w:eastAsia="en-US"/>
        </w:rPr>
        <w:tab/>
        <w:t xml:space="preserve">Odredbom čl. 5. st. 1. i st. 2. SZ-a propisano je da se stečajni postupak može otvoriti ako sud utvrdi postojanje stečajnoga razloga, a stečajni razlozi su nesposobnost za plaćanje i prezaduženost. </w:t>
      </w:r>
    </w:p>
    <w:p w:rsidRDefault="008C33CD" w:rsidP="008C33CD" w:rsidR="008C33CD">
      <w:pPr>
        <w:tabs>
          <w:tab w:pos="851" w:val="left"/>
        </w:tabs>
        <w:jc w:val="both"/>
        <w:rPr>
          <w:rFonts w:eastAsia="Calibri"/>
          <w:lang w:eastAsia="en-US"/>
        </w:rPr>
      </w:pPr>
      <w:r>
        <w:rPr>
          <w:rFonts w:eastAsia="Calibri"/>
          <w:lang w:eastAsia="en-US"/>
        </w:rPr>
        <w:tab/>
        <w:t>Odredbom čl. 6. st. 1. i st. 2. SZ-a, propisano je da nesposobnost za plaćanje postoji ako dužnik ne može trajnije ispunjavati svoje dospjele novčane obveze, da okolnost da je dužnik namirio ili da može namiriti u cijelosti ili djelomično tražbine nekih vjerovnika ne znači da je sposoban za plaćanje, te da će se smatrati da je dužnik nesposoban za plaćanje ako, između ostalog,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Postojanje navedenih okolnosti dokazuje se potvrdom Financijske agencije (čl. 6. st. 4. SZ-a).</w:t>
      </w:r>
    </w:p>
    <w:p w:rsidRDefault="008C33CD" w:rsidP="008C33CD" w:rsidR="008C33CD">
      <w:pPr>
        <w:tabs>
          <w:tab w:pos="851" w:val="left"/>
        </w:tabs>
        <w:jc w:val="both"/>
        <w:rPr>
          <w:rFonts w:eastAsia="Calibri"/>
          <w:lang w:eastAsia="en-US"/>
        </w:rPr>
      </w:pPr>
      <w:r>
        <w:rPr>
          <w:rFonts w:eastAsia="Calibri"/>
          <w:lang w:eastAsia="en-US"/>
        </w:rPr>
        <w:tab/>
      </w:r>
    </w:p>
    <w:p w:rsidRDefault="008C33CD" w:rsidP="008C33CD" w:rsidR="008C33CD">
      <w:pPr>
        <w:tabs>
          <w:tab w:pos="851" w:val="left"/>
        </w:tabs>
        <w:jc w:val="both"/>
        <w:rPr>
          <w:rFonts w:eastAsia="Calibri"/>
          <w:lang w:eastAsia="en-US"/>
        </w:rPr>
      </w:pPr>
      <w:r>
        <w:rPr>
          <w:rFonts w:eastAsia="Calibri"/>
          <w:lang w:eastAsia="en-US"/>
        </w:rPr>
        <w:tab/>
        <w:t>U konkretnom slučaju iz potvrde Financijske agencije od 11. svibnja 2018. (list 773 spisa) proizlazi da je na računima i novčanim sredstvima dužnika na dan izdavanja ove potvrde evidentirano 742 dana neprekidne blokade zbog nepodmirenih osnova za plaćanje evidentiranih u Očevidniku redoslijeda osnova za plaćanje, u ukupnom iznosu od 22.776.938,15 kn.</w:t>
      </w:r>
    </w:p>
    <w:p w:rsidRDefault="008C33CD" w:rsidP="008C33CD" w:rsidR="008C33CD">
      <w:pPr>
        <w:tabs>
          <w:tab w:pos="851" w:val="left"/>
        </w:tabs>
        <w:jc w:val="center"/>
        <w:rPr>
          <w:rFonts w:eastAsia="Calibri"/>
          <w:lang w:eastAsia="en-US"/>
        </w:rPr>
      </w:pPr>
      <w:r>
        <w:rPr>
          <w:rFonts w:eastAsia="Calibri"/>
          <w:lang w:eastAsia="en-US"/>
        </w:rPr>
        <w:tab/>
      </w:r>
    </w:p>
    <w:p w:rsidRDefault="008C33CD" w:rsidP="008C33CD" w:rsidR="008C33CD">
      <w:pPr>
        <w:tabs>
          <w:tab w:pos="851" w:val="left"/>
        </w:tabs>
        <w:jc w:val="both"/>
        <w:rPr>
          <w:rFonts w:eastAsia="Calibri"/>
          <w:lang w:eastAsia="en-US"/>
        </w:rPr>
      </w:pPr>
      <w:r>
        <w:rPr>
          <w:rFonts w:eastAsia="Calibri"/>
          <w:lang w:eastAsia="en-US"/>
        </w:rPr>
        <w:tab/>
        <w:t>Iz navedenog se nedvojbeno zaključuje da u konkretnom slučaju dolazi do primjene presumpcija iz čl. 6. st. 2. SZ-a kojim je određeno da će se smatrati da je dužnik nesposoban za plaćanje ako ima evidentirane neizvršene osnove za plaćanje u razdoblju duljem od 60 dana.</w:t>
      </w:r>
    </w:p>
    <w:p w:rsidRDefault="008C33CD" w:rsidP="008C33CD" w:rsidR="008C33CD">
      <w:pPr>
        <w:tabs>
          <w:tab w:pos="851" w:val="left"/>
        </w:tabs>
        <w:jc w:val="both"/>
        <w:rPr>
          <w:rFonts w:eastAsia="Calibri"/>
          <w:lang w:eastAsia="en-US"/>
        </w:rPr>
      </w:pPr>
    </w:p>
    <w:p w:rsidRDefault="008C33CD" w:rsidP="008C33CD" w:rsidR="008C33CD">
      <w:pPr>
        <w:tabs>
          <w:tab w:pos="851" w:val="left"/>
        </w:tabs>
        <w:jc w:val="both"/>
        <w:rPr>
          <w:rFonts w:eastAsia="Calibri"/>
          <w:lang w:eastAsia="en-US"/>
        </w:rPr>
      </w:pPr>
      <w:r>
        <w:rPr>
          <w:rFonts w:eastAsia="Calibri"/>
          <w:lang w:eastAsia="en-US"/>
        </w:rPr>
        <w:tab/>
        <w:t xml:space="preserve">Što se tiče imovine dužnika i pitanja mogu li se imovinom dužnika podmiriti troškovi postupka, iz činjenica prikupljenih tijekom prethodnog postupka o imovini dužnika proizlazi da je dužnik vlasnik i pokretnina i nekretnina o čemu je u spis dostavio dokumentaciju i to </w:t>
      </w:r>
      <w:proofErr w:type="spellStart"/>
      <w:r>
        <w:rPr>
          <w:rFonts w:eastAsia="Calibri"/>
          <w:lang w:eastAsia="en-US"/>
        </w:rPr>
        <w:t>z.k</w:t>
      </w:r>
      <w:proofErr w:type="spellEnd"/>
      <w:r>
        <w:rPr>
          <w:rFonts w:eastAsia="Calibri"/>
          <w:lang w:eastAsia="en-US"/>
        </w:rPr>
        <w:t>. izvatke za nekretnine, te popis imovine, a što je detaljno analizirala i privremena stečajna upraviteljica u svom izvješću od 21. ožujka 2017. (listovi 367-376 spisa).</w:t>
      </w:r>
    </w:p>
    <w:p w:rsidRDefault="008C33CD" w:rsidP="008C33CD" w:rsidR="008C33CD">
      <w:pPr>
        <w:tabs>
          <w:tab w:pos="851" w:val="left"/>
        </w:tabs>
        <w:jc w:val="both"/>
        <w:rPr>
          <w:rFonts w:eastAsia="Calibri"/>
          <w:b/>
          <w:lang w:eastAsia="en-US"/>
        </w:rPr>
      </w:pPr>
    </w:p>
    <w:p w:rsidRDefault="008C33CD" w:rsidP="008C33CD" w:rsidR="008C33CD">
      <w:pPr>
        <w:tabs>
          <w:tab w:pos="851" w:val="left"/>
        </w:tabs>
        <w:jc w:val="both"/>
        <w:rPr>
          <w:rFonts w:eastAsia="Calibri"/>
          <w:i/>
          <w:lang w:eastAsia="en-US"/>
        </w:rPr>
      </w:pPr>
      <w:r>
        <w:rPr>
          <w:rFonts w:eastAsia="Calibri"/>
          <w:i/>
          <w:lang w:eastAsia="en-US"/>
        </w:rPr>
        <w:tab/>
        <w:t>U odnosu na Izjavu o pristupanju dugu</w:t>
      </w:r>
    </w:p>
    <w:p w:rsidRDefault="008C33CD" w:rsidP="008C33CD" w:rsidR="008C33CD">
      <w:pPr>
        <w:tabs>
          <w:tab w:pos="851" w:val="left"/>
        </w:tabs>
        <w:jc w:val="both"/>
        <w:rPr>
          <w:rFonts w:eastAsia="Calibri"/>
          <w:lang w:eastAsia="en-US"/>
        </w:rPr>
      </w:pPr>
    </w:p>
    <w:p w:rsidRDefault="008C33CD" w:rsidP="008C33CD" w:rsidR="008C33CD">
      <w:pPr>
        <w:tabs>
          <w:tab w:pos="851" w:val="left"/>
        </w:tabs>
        <w:jc w:val="both"/>
        <w:rPr>
          <w:rFonts w:eastAsia="Calibri"/>
          <w:lang w:eastAsia="en-US"/>
        </w:rPr>
      </w:pPr>
      <w:r>
        <w:rPr>
          <w:rFonts w:eastAsia="Calibri"/>
          <w:lang w:eastAsia="en-US"/>
        </w:rPr>
        <w:tab/>
        <w:t>Treća osoba CONING ING d.o.o. je na ročištu 19. veljače 2018. predala izjavu o pristupanju dugu (list 497 spisa) na kojoj je bio ovjeren potpis direktora Zorana Pucarića, te je punomoćnik navedene treće osobe tada naveo da su u predanoj izjavi obuhvaćeni svi vjerovnici zavedeni u Očevidniku o redoslijedu osnova za plaćanje izdanog na dan 15. veljače 2018., te da se navedenom izjavom treća osoba obvezuje u roku od 60 dana od dana donošenja rješenja suda podmiriti sve obveze dužnika CONING d.d. prema svim vjerovnicima čije su tražbine evidentirane u očevidniku, kao i ostalim vjerovnicima koje su nastale nakon toga.</w:t>
      </w:r>
    </w:p>
    <w:p w:rsidRDefault="008C33CD" w:rsidP="008C33CD" w:rsidR="008C33CD">
      <w:pPr>
        <w:tabs>
          <w:tab w:pos="851" w:val="left"/>
        </w:tabs>
        <w:jc w:val="both"/>
        <w:rPr>
          <w:rFonts w:eastAsia="Calibri"/>
          <w:lang w:eastAsia="en-US"/>
        </w:rPr>
      </w:pPr>
    </w:p>
    <w:p w:rsidRDefault="008C33CD" w:rsidP="008C33CD" w:rsidR="008C33CD">
      <w:pPr>
        <w:tabs>
          <w:tab w:pos="851" w:val="left"/>
        </w:tabs>
        <w:jc w:val="both"/>
        <w:rPr>
          <w:rFonts w:eastAsia="Calibri"/>
          <w:lang w:eastAsia="en-US"/>
        </w:rPr>
      </w:pPr>
      <w:r>
        <w:rPr>
          <w:rFonts w:eastAsia="Calibri"/>
          <w:lang w:eastAsia="en-US"/>
        </w:rPr>
        <w:tab/>
        <w:t>Na navedenom ročištu ovaj sud je, temeljem čl. 124. st. 1. SZ-a koji propisuje da će sud ocijeniti izjavu o pristupanju dugu provjeriti je i zatražiti odgovarajuće jamstvo, utvrdio da izjava ima formalnih nedostataka, kao i da iz iste ne proizlaze dovoljna jamstva o podmirenju svih dospjelih obveza dužnika CONING d.d., te je zaključkom</w:t>
      </w:r>
      <w:r>
        <w:rPr>
          <w:rFonts w:eastAsia="Calibri"/>
          <w:i/>
          <w:lang w:eastAsia="en-US"/>
        </w:rPr>
        <w:t xml:space="preserve"> </w:t>
      </w:r>
      <w:r>
        <w:rPr>
          <w:rFonts w:eastAsia="Calibri"/>
          <w:lang w:eastAsia="en-US"/>
        </w:rPr>
        <w:t>pozvao treću osobu CONING ING d.o.o. u roku od 15 dana dostavi sudu:</w:t>
      </w:r>
    </w:p>
    <w:p w:rsidRDefault="008C33CD" w:rsidP="008C33CD" w:rsidR="008C33CD">
      <w:pPr>
        <w:tabs>
          <w:tab w:pos="851" w:val="left"/>
        </w:tabs>
        <w:ind w:left="851"/>
        <w:jc w:val="both"/>
        <w:rPr>
          <w:rFonts w:eastAsia="Calibri"/>
          <w:lang w:eastAsia="en-US"/>
        </w:rPr>
      </w:pPr>
      <w:r>
        <w:rPr>
          <w:rFonts w:eastAsia="Calibri"/>
          <w:lang w:eastAsia="en-US"/>
        </w:rPr>
        <w:t>-  ispravu o pristupanju dugu u zakonom propisanom obliku, odnosno ovjerovljenu od javnog bilježnika,</w:t>
      </w:r>
    </w:p>
    <w:p w:rsidRDefault="008C33CD" w:rsidP="008C33CD" w:rsidR="008C33CD">
      <w:pPr>
        <w:tabs>
          <w:tab w:pos="851" w:val="left"/>
        </w:tabs>
        <w:jc w:val="both"/>
        <w:rPr>
          <w:rFonts w:eastAsia="Calibri"/>
          <w:lang w:eastAsia="en-US"/>
        </w:rPr>
      </w:pPr>
      <w:r>
        <w:rPr>
          <w:rFonts w:eastAsia="Calibri"/>
          <w:lang w:eastAsia="en-US"/>
        </w:rPr>
        <w:tab/>
        <w:t>- Očevidnik o redoslijedu osnova za plaćanje izdan na dan 15.2.2018.</w:t>
      </w:r>
    </w:p>
    <w:p w:rsidRDefault="008C33CD" w:rsidP="008C33CD" w:rsidR="008C33CD">
      <w:pPr>
        <w:tabs>
          <w:tab w:pos="851" w:val="left"/>
        </w:tabs>
        <w:ind w:hanging="708" w:left="708"/>
        <w:jc w:val="both"/>
        <w:rPr>
          <w:rFonts w:eastAsia="Calibri"/>
          <w:lang w:eastAsia="en-US"/>
        </w:rPr>
      </w:pPr>
      <w:r>
        <w:rPr>
          <w:rFonts w:eastAsia="Calibri"/>
          <w:lang w:eastAsia="en-US"/>
        </w:rPr>
        <w:tab/>
      </w:r>
      <w:r>
        <w:rPr>
          <w:rFonts w:eastAsia="Calibri"/>
          <w:lang w:eastAsia="en-US"/>
        </w:rPr>
        <w:tab/>
        <w:t>- sporazume s pojedinim vjerovnicima na koje se poziva u izjavi o pristupanju dugu,</w:t>
      </w:r>
    </w:p>
    <w:p w:rsidRDefault="008C33CD" w:rsidP="008C33CD" w:rsidR="008C33CD">
      <w:pPr>
        <w:tabs>
          <w:tab w:pos="851" w:val="left"/>
        </w:tabs>
        <w:jc w:val="both"/>
        <w:rPr>
          <w:rFonts w:eastAsia="Calibri"/>
          <w:lang w:eastAsia="en-US"/>
        </w:rPr>
      </w:pPr>
      <w:r>
        <w:rPr>
          <w:rFonts w:eastAsia="Calibri"/>
          <w:lang w:eastAsia="en-US"/>
        </w:rPr>
        <w:tab/>
        <w:t>- podatke o solventnosti CONING ING d.o.o.</w:t>
      </w:r>
    </w:p>
    <w:p w:rsidRDefault="008C33CD" w:rsidP="008C33CD" w:rsidR="008C33CD">
      <w:pPr>
        <w:tabs>
          <w:tab w:pos="851" w:val="left"/>
        </w:tabs>
        <w:ind w:hanging="708" w:left="851"/>
        <w:jc w:val="both"/>
        <w:rPr>
          <w:rFonts w:eastAsia="Calibri"/>
          <w:lang w:eastAsia="en-US"/>
        </w:rPr>
      </w:pPr>
      <w:r>
        <w:rPr>
          <w:rFonts w:eastAsia="Calibri"/>
          <w:lang w:eastAsia="en-US"/>
        </w:rPr>
        <w:tab/>
        <w:t>- podatke o svojoj cjelokupnoj imovini, kao i dokaze kojima se potkrjepljuju ovi podaci za CONING ING d.o.o.,</w:t>
      </w:r>
    </w:p>
    <w:p w:rsidRDefault="008C33CD" w:rsidP="008C33CD" w:rsidR="008C33CD">
      <w:pPr>
        <w:tabs>
          <w:tab w:pos="851" w:val="left"/>
        </w:tabs>
        <w:ind w:left="851"/>
        <w:jc w:val="both"/>
        <w:rPr>
          <w:rFonts w:eastAsia="Calibri"/>
          <w:lang w:eastAsia="en-US"/>
        </w:rPr>
      </w:pPr>
      <w:r>
        <w:rPr>
          <w:rFonts w:eastAsia="Calibri"/>
          <w:lang w:eastAsia="en-US"/>
        </w:rPr>
        <w:t xml:space="preserve">- podatke o zaduženju i obvezama kao i dokaze kojima se potkrjepljuju ovi podaci za CONING ING d.o.o., te </w:t>
      </w:r>
    </w:p>
    <w:p w:rsidRDefault="008C33CD" w:rsidP="008C33CD" w:rsidR="008C33CD">
      <w:pPr>
        <w:tabs>
          <w:tab w:pos="851" w:val="left"/>
        </w:tabs>
        <w:ind w:left="851"/>
        <w:jc w:val="both"/>
        <w:rPr>
          <w:rFonts w:eastAsia="Calibri"/>
          <w:lang w:eastAsia="en-US"/>
        </w:rPr>
      </w:pPr>
      <w:r>
        <w:rPr>
          <w:rFonts w:eastAsia="Calibri"/>
          <w:lang w:eastAsia="en-US"/>
        </w:rPr>
        <w:t>- jamstvo o obliku bankarske garancije na prvi poziv, koja garancija će se odnositi na cjelokupno dugovanje dužnika prema svim vjerovnicima.</w:t>
      </w:r>
    </w:p>
    <w:p w:rsidRDefault="008C33CD" w:rsidP="008C33CD" w:rsidR="008C33CD">
      <w:pPr>
        <w:tabs>
          <w:tab w:pos="851" w:val="left"/>
        </w:tabs>
        <w:jc w:val="both"/>
        <w:rPr>
          <w:rFonts w:eastAsia="Calibri"/>
          <w:lang w:eastAsia="en-US"/>
        </w:rPr>
      </w:pPr>
    </w:p>
    <w:p w:rsidRDefault="008C33CD" w:rsidP="008C33CD" w:rsidR="008C33CD">
      <w:pPr>
        <w:tabs>
          <w:tab w:pos="851" w:val="left"/>
        </w:tabs>
        <w:jc w:val="both"/>
        <w:rPr>
          <w:rFonts w:eastAsia="Calibri"/>
          <w:lang w:eastAsia="en-US"/>
        </w:rPr>
      </w:pPr>
      <w:r>
        <w:rPr>
          <w:rFonts w:eastAsia="Calibri"/>
          <w:lang w:eastAsia="en-US"/>
        </w:rPr>
        <w:tab/>
        <w:t>Treća osoba CONING ING d.o.o. je 7.3.2018. dostavila javno bilježnički ovjerenu Izjavu o pristupanju duga o sadržaju i načinu namirenja dužnikovih obveza od 15.2.2018. (list 524 spisa), u okviru koje se nalazi Otplatni plan sa sadržajem i načinom namirenja vjerovnika (list 525-548 spisa), a u prilogu tome dostavljen je Očevidnik o redoslijedu plaćanja sa obračunatom kamatom izdan na dan 15.2.2018. (list 549-704 spisa), podatke o solventnosti za CONING ING d.o.o. na dan 5.3.2018. (list 705), te ostala dokumentacija (list 706-743). Dana 8.3.2018. treća osoba CONING ING d.o.o. dostavila je zahtjev da sud odobri dodatni rok od 8 dana za kompletiranje dokumentacije vezane uz podnijetu Izjavu o pristupanju dugu. Ovaj sud je rješenjem od 13. ožujka 2018. odobrio zahtjev za produženje roka trećoj osobi CONING ING d.o.o. za postupanje po zaključku s ročišta od 19. veljače 2018., za daljnjih 8 dana, odnosno do 16. ožujka 2018., a imajući u vidu da se radi o visokom iznosu duga i opširnoj dokumentaciji. Nakon isteka toga roka, treća osoba CONING ING d.o.o. nije dostavila nedostajuću dokumentaciju kako joj je naloženo zaključkom suda, već je dopisom od 16.3.2018. obavijestila sud o trenutnom stanju pregovora sa vjerovnicima Gradom Varaždinom i Zagorje-Tehnobeton d.d., a za koje se očekuje da će se povući iz blokade, te da se s istima 22. ožujka 2018. očekuje zaključenje određenog sporazuma o reguliranju međusobnih odnosa. Međutim, niti do 22. ožujka 2018. nije sudu dostavljena dodatna (najavljena) dokumentacija.</w:t>
      </w:r>
    </w:p>
    <w:p w:rsidRDefault="008C33CD" w:rsidP="008C33CD" w:rsidR="008C33CD">
      <w:pPr>
        <w:tabs>
          <w:tab w:pos="851" w:val="left"/>
        </w:tabs>
        <w:jc w:val="both"/>
        <w:rPr>
          <w:rFonts w:eastAsia="Calibri"/>
          <w:lang w:eastAsia="en-US"/>
        </w:rPr>
      </w:pPr>
    </w:p>
    <w:p w:rsidRDefault="008C33CD" w:rsidP="008C33CD" w:rsidR="008C33CD">
      <w:pPr>
        <w:tabs>
          <w:tab w:pos="851" w:val="left"/>
        </w:tabs>
        <w:jc w:val="both"/>
        <w:rPr>
          <w:rFonts w:eastAsia="Calibri"/>
          <w:lang w:eastAsia="en-US"/>
        </w:rPr>
      </w:pPr>
      <w:r>
        <w:rPr>
          <w:rFonts w:eastAsia="Calibri"/>
          <w:lang w:eastAsia="en-US"/>
        </w:rPr>
        <w:tab/>
        <w:t xml:space="preserve">Nakon toga, u ovome predmetu je rješenjem od 23. ožujka 2018. temeljem čl. 11. st. 3. u svezi čl. 124. st. 1. SZ-a, određeno provođenje financijsko-knjigovodstvenog vještačenja (listovi 749-750), radi analize Izjave o pristupanju dugu, te dokumentacije priložene uz izjavu, a u kontekstu svih dospjelih obveza dužnika CONING d.d. i realne mogućnosti podmirenja istih. </w:t>
      </w:r>
    </w:p>
    <w:p w:rsidRDefault="008C33CD" w:rsidP="008C33CD" w:rsidR="008C33CD">
      <w:pPr>
        <w:tabs>
          <w:tab w:pos="851" w:val="left"/>
        </w:tabs>
        <w:jc w:val="both"/>
        <w:rPr>
          <w:rFonts w:eastAsia="Calibri"/>
          <w:lang w:eastAsia="en-US"/>
        </w:rPr>
      </w:pPr>
      <w:r>
        <w:rPr>
          <w:rFonts w:eastAsia="Calibri"/>
          <w:lang w:eastAsia="en-US"/>
        </w:rPr>
        <w:tab/>
        <w:t>Tijekom izrade nalaza i mišljenja, stalna sudska vještakinja za računovodstvo i financije Vlatka Bratić dostavila je 4. travnja 2018. dopis sudu u kojemu obavještava da iz dostupne dokumentacije nije u mogućnosti dostaviti tražene analize, te je u dopisu taksativno navela koja dokumentacija nedostaje.</w:t>
      </w:r>
    </w:p>
    <w:p w:rsidRDefault="008C33CD" w:rsidP="008C33CD" w:rsidR="008C33CD">
      <w:pPr>
        <w:tabs>
          <w:tab w:pos="851" w:val="left"/>
        </w:tabs>
        <w:jc w:val="both"/>
        <w:rPr>
          <w:rFonts w:eastAsia="Calibri"/>
          <w:lang w:eastAsia="en-US"/>
        </w:rPr>
      </w:pPr>
    </w:p>
    <w:p w:rsidRDefault="008C33CD" w:rsidP="008C33CD" w:rsidR="008C33CD">
      <w:pPr>
        <w:tabs>
          <w:tab w:pos="851" w:val="left"/>
        </w:tabs>
        <w:jc w:val="both"/>
        <w:rPr>
          <w:rFonts w:eastAsia="Calibri"/>
          <w:lang w:eastAsia="en-US"/>
        </w:rPr>
      </w:pPr>
      <w:r>
        <w:rPr>
          <w:rFonts w:eastAsia="Calibri"/>
          <w:lang w:eastAsia="en-US"/>
        </w:rPr>
        <w:tab/>
        <w:t>Navedeni dopis stalne sudske vještakinje sud je dostavio trećoj osobi CONING ING d.o.o. radi postupanja u roku od 8 dana. Međutim, niti u daljnjem roku treća osoba nije dostavila dodatnu dokumentaciju, ovoga puta traženu od stalnog sudskog vještaka, nakon čega je sud zaključkom od 10. svibnja 2018. odredio novi termin ročišta radi rasprave o pretpostavkama za otvaranje stečajnog postupka nad dužnikom za dan 12. lipnja 2018.</w:t>
      </w:r>
    </w:p>
    <w:p w:rsidRDefault="008C33CD" w:rsidP="008C33CD" w:rsidR="008C33CD">
      <w:pPr>
        <w:tabs>
          <w:tab w:pos="851" w:val="left"/>
        </w:tabs>
        <w:jc w:val="both"/>
        <w:rPr>
          <w:rFonts w:eastAsia="Calibri"/>
          <w:lang w:eastAsia="en-US"/>
        </w:rPr>
      </w:pPr>
    </w:p>
    <w:p w:rsidRDefault="008C33CD" w:rsidP="008C33CD" w:rsidR="008C33CD">
      <w:pPr>
        <w:tabs>
          <w:tab w:pos="851" w:val="left"/>
        </w:tabs>
        <w:jc w:val="both"/>
        <w:rPr>
          <w:rFonts w:eastAsia="Calibri"/>
          <w:lang w:eastAsia="en-US"/>
        </w:rPr>
      </w:pPr>
      <w:r>
        <w:rPr>
          <w:rFonts w:eastAsia="Calibri"/>
          <w:lang w:eastAsia="en-US"/>
        </w:rPr>
        <w:tab/>
        <w:t>Dana 25. svibnja 2018. zaprimljen je nalaz i mišljenje stalnog sudskog vještaka Vlatke Bratić (listovi 775-800 spisa).</w:t>
      </w:r>
    </w:p>
    <w:p w:rsidRDefault="008C33CD" w:rsidP="008C33CD" w:rsidR="008C33CD">
      <w:pPr>
        <w:tabs>
          <w:tab w:pos="851" w:val="left"/>
        </w:tabs>
        <w:jc w:val="both"/>
        <w:rPr>
          <w:rFonts w:eastAsia="Calibri"/>
          <w:lang w:eastAsia="en-US"/>
        </w:rPr>
      </w:pPr>
    </w:p>
    <w:p w:rsidRDefault="008C33CD" w:rsidP="008C33CD" w:rsidR="008C33CD">
      <w:pPr>
        <w:tabs>
          <w:tab w:pos="851" w:val="left"/>
        </w:tabs>
        <w:jc w:val="both"/>
        <w:rPr>
          <w:rFonts w:eastAsia="Calibri"/>
          <w:lang w:eastAsia="en-US"/>
        </w:rPr>
      </w:pPr>
      <w:r>
        <w:rPr>
          <w:rFonts w:eastAsia="Calibri"/>
          <w:lang w:eastAsia="en-US"/>
        </w:rPr>
        <w:tab/>
        <w:t>Nakon toga, treća osoba CONING ING d.o.o. dostavila je dana 11. lipnja 2018. dopis sudu u kojemu navodi da u privitku dostavlja dodatnu dokumentaciju na zahtjev financijskog vještaka, međutim, u prilogu toga dopisa nikakve dodatne dokumentacije nije bilo.</w:t>
      </w:r>
    </w:p>
    <w:p w:rsidRDefault="008C33CD" w:rsidP="008C33CD" w:rsidR="008C33CD">
      <w:pPr>
        <w:tabs>
          <w:tab w:pos="851" w:val="left"/>
        </w:tabs>
        <w:jc w:val="both"/>
        <w:rPr>
          <w:rFonts w:eastAsia="Calibri"/>
          <w:lang w:eastAsia="en-US"/>
        </w:rPr>
      </w:pPr>
    </w:p>
    <w:p w:rsidRDefault="008C33CD" w:rsidP="008C33CD" w:rsidR="008C33CD">
      <w:pPr>
        <w:tabs>
          <w:tab w:pos="851" w:val="left"/>
        </w:tabs>
        <w:jc w:val="both"/>
        <w:rPr>
          <w:rFonts w:eastAsia="Calibri"/>
          <w:lang w:eastAsia="en-US"/>
        </w:rPr>
      </w:pPr>
      <w:r>
        <w:rPr>
          <w:rFonts w:eastAsia="Calibri"/>
          <w:lang w:eastAsia="en-US"/>
        </w:rPr>
        <w:tab/>
        <w:t>Na ročištu 12. lipnja 2018. sud je saslušao stalnu sudsku vještakinju Vlatku Bratić radi usmenog iznošenja svog nalaza i mišljenja, te je punomoćniku dužnika omogućeno postavljanje pitanja radi razjašnjenja nalaza i mišljenja. Osim toga, budući da je punomoćnik dužnika na ročištu naveo da traži dodatni rok radi očitovanja na pisani nalaz i mišljenje, istome je dodijeljen rok od 3 dana  kako bi mu se omogućilo eventualno se dodatno očitovati, nakon čega je 15. lipnja 2018. zaprimljeno očitovanje treće osobe CONING ING d.o.o. na nalaz i mišljenje vještakinje Vlatke Bratić.</w:t>
      </w:r>
    </w:p>
    <w:p w:rsidRDefault="008C33CD" w:rsidP="008C33CD" w:rsidR="008C33CD">
      <w:pPr>
        <w:tabs>
          <w:tab w:pos="851" w:val="left"/>
        </w:tabs>
        <w:jc w:val="both"/>
        <w:rPr>
          <w:rFonts w:eastAsia="Calibri"/>
          <w:lang w:eastAsia="en-US"/>
        </w:rPr>
      </w:pPr>
    </w:p>
    <w:p w:rsidRDefault="008C33CD" w:rsidP="008C33CD" w:rsidR="008C33CD">
      <w:pPr>
        <w:tabs>
          <w:tab w:pos="851" w:val="left"/>
        </w:tabs>
        <w:jc w:val="both"/>
        <w:rPr>
          <w:rFonts w:eastAsia="Calibri"/>
          <w:lang w:eastAsia="en-US"/>
        </w:rPr>
      </w:pPr>
      <w:r>
        <w:rPr>
          <w:rFonts w:eastAsia="Calibri"/>
          <w:lang w:eastAsia="en-US"/>
        </w:rPr>
        <w:tab/>
        <w:t>Pažljivom analizom Izjave o pristupanju dugu, vodeći računa o svim okolnostima konkretnog slučaja, te svim navodima pun. dužnika, kao i treće osobe-</w:t>
      </w:r>
      <w:proofErr w:type="spellStart"/>
      <w:r>
        <w:rPr>
          <w:rFonts w:eastAsia="Calibri"/>
          <w:lang w:eastAsia="en-US"/>
        </w:rPr>
        <w:t>pristupatelja</w:t>
      </w:r>
      <w:proofErr w:type="spellEnd"/>
      <w:r>
        <w:rPr>
          <w:rFonts w:eastAsia="Calibri"/>
          <w:lang w:eastAsia="en-US"/>
        </w:rPr>
        <w:t xml:space="preserve"> dugu, ovaj sud je zaključio da predmetna Izjava o pristupanju dugu nema valjanoga pokrića, odnosno ne ispunjava zakonom propisane uvjete pod kojima bi sud mogao odobriti pristupanje dugu, iz razloga kako slijedi u nastavku obrazloženja.</w:t>
      </w:r>
    </w:p>
    <w:p w:rsidRDefault="008C33CD" w:rsidP="008C33CD" w:rsidR="008C33CD">
      <w:pPr>
        <w:tabs>
          <w:tab w:pos="851" w:val="left"/>
        </w:tabs>
        <w:jc w:val="both"/>
        <w:rPr>
          <w:rFonts w:eastAsia="Calibri"/>
          <w:lang w:eastAsia="en-US"/>
        </w:rPr>
      </w:pPr>
    </w:p>
    <w:p w:rsidRDefault="008C33CD" w:rsidP="008C33CD" w:rsidR="008C33CD">
      <w:pPr>
        <w:tabs>
          <w:tab w:pos="851" w:val="left"/>
        </w:tabs>
        <w:jc w:val="both"/>
        <w:rPr>
          <w:rFonts w:eastAsia="Calibri"/>
          <w:lang w:eastAsia="en-US"/>
        </w:rPr>
      </w:pPr>
      <w:r>
        <w:rPr>
          <w:rFonts w:eastAsia="Calibri"/>
          <w:lang w:eastAsia="en-US"/>
        </w:rPr>
        <w:tab/>
        <w:t xml:space="preserve">Relevantna odredba čl. 124. st. 3. SZ-a propisuje da će sud odobriti pristupanje dugu ako se </w:t>
      </w:r>
      <w:proofErr w:type="spellStart"/>
      <w:r>
        <w:rPr>
          <w:rFonts w:eastAsia="Calibri"/>
          <w:lang w:eastAsia="en-US"/>
        </w:rPr>
        <w:t>pristupitelj</w:t>
      </w:r>
      <w:proofErr w:type="spellEnd"/>
      <w:r>
        <w:rPr>
          <w:rFonts w:eastAsia="Calibri"/>
          <w:lang w:eastAsia="en-US"/>
        </w:rPr>
        <w:t xml:space="preserve"> obvezao da će najkasnije u roku od 2 mjeseca od dana donošenja rješenja o odobrenju pristupanja dugu ispuniti sve dospjele obveze stečajnoga dužnika, a ostale u vrijeme pristupanja dugu već nastale obveze kako budu dospijevale.</w:t>
      </w:r>
    </w:p>
    <w:p w:rsidRDefault="008C33CD" w:rsidP="008C33CD" w:rsidR="008C33CD">
      <w:pPr>
        <w:tabs>
          <w:tab w:pos="851" w:val="left"/>
        </w:tabs>
        <w:jc w:val="both"/>
        <w:rPr>
          <w:rFonts w:eastAsia="Calibri"/>
          <w:lang w:eastAsia="en-US"/>
        </w:rPr>
      </w:pPr>
    </w:p>
    <w:p w:rsidRDefault="008C33CD" w:rsidP="008C33CD" w:rsidR="008C33CD">
      <w:pPr>
        <w:tabs>
          <w:tab w:pos="851" w:val="left"/>
        </w:tabs>
        <w:jc w:val="both"/>
        <w:rPr>
          <w:rFonts w:eastAsia="Calibri"/>
          <w:lang w:eastAsia="en-US"/>
        </w:rPr>
      </w:pPr>
      <w:r>
        <w:rPr>
          <w:rFonts w:eastAsia="Calibri"/>
          <w:lang w:eastAsia="en-US"/>
        </w:rPr>
        <w:tab/>
        <w:t xml:space="preserve">U konkretnom slučaju </w:t>
      </w:r>
      <w:proofErr w:type="spellStart"/>
      <w:r>
        <w:rPr>
          <w:rFonts w:eastAsia="Calibri"/>
          <w:lang w:eastAsia="en-US"/>
        </w:rPr>
        <w:t>pristupatelj</w:t>
      </w:r>
      <w:proofErr w:type="spellEnd"/>
      <w:r>
        <w:rPr>
          <w:rFonts w:eastAsia="Calibri"/>
          <w:lang w:eastAsia="en-US"/>
        </w:rPr>
        <w:t xml:space="preserve"> dugu CONING ING d.o.o. dostavio je javnobilježnički ovjerovljenu Izjavu o pristupanju dugu u kojoj je naveo da se obvezuje da će ispuniti sve dužnikove dospjele obveze prema vjerovnicima iz Očevidnika o redoslijedu plaćanja izdanog od strane FINA na dan 15.2.2018., u sveukupnom iznosu od 22.525.894,94 kn u roku od 60 dana od dana donošenja pravomoćnog rješenja o odobrenju pristupa dugu od strane ovoga suda i to jednokratno prema svakom pojedinom vjerovniku, kao i da će ispuniti sve ostale dužnikove obveze nastale u vrijeme pristupa duga kako budu dospijevale (čl. 1. i 2. Izjave o pristupanju dugu-list 524 spisa). </w:t>
      </w:r>
    </w:p>
    <w:p w:rsidRDefault="008C33CD" w:rsidP="008C33CD" w:rsidR="008C33CD">
      <w:pPr>
        <w:tabs>
          <w:tab w:pos="851" w:val="left"/>
        </w:tabs>
        <w:jc w:val="both"/>
        <w:rPr>
          <w:rFonts w:eastAsia="Calibri"/>
          <w:lang w:eastAsia="en-US"/>
        </w:rPr>
      </w:pPr>
    </w:p>
    <w:p w:rsidRDefault="008C33CD" w:rsidP="008C33CD" w:rsidR="008C33CD">
      <w:pPr>
        <w:tabs>
          <w:tab w:pos="851" w:val="left"/>
        </w:tabs>
        <w:jc w:val="both"/>
        <w:rPr>
          <w:rFonts w:eastAsia="Calibri"/>
          <w:lang w:eastAsia="en-US"/>
        </w:rPr>
      </w:pPr>
      <w:r>
        <w:rPr>
          <w:rFonts w:eastAsia="Calibri"/>
          <w:lang w:eastAsia="en-US"/>
        </w:rPr>
        <w:tab/>
        <w:t xml:space="preserve">Međutim, </w:t>
      </w:r>
      <w:proofErr w:type="spellStart"/>
      <w:r>
        <w:rPr>
          <w:rFonts w:eastAsia="Calibri"/>
          <w:lang w:eastAsia="en-US"/>
        </w:rPr>
        <w:t>pristupatelj</w:t>
      </w:r>
      <w:proofErr w:type="spellEnd"/>
      <w:r>
        <w:rPr>
          <w:rFonts w:eastAsia="Calibri"/>
          <w:lang w:eastAsia="en-US"/>
        </w:rPr>
        <w:t xml:space="preserve"> dugu nije dostavio traženo jamstvo u vidu bankarske garancije na prvi poziv, a kako mu je naloženo zaključkom suda koji je donesen na ročištu 19. veljače 2018. Na navedenom ročištu sud je procijenio da je ovakvo jamstvo nužno, budući da se radi o visokom iznosu dospjelih, a nenamirenih obveza dužnika za koje bi treća osoba trebala jamčiti. No kako je treća osoba – </w:t>
      </w:r>
      <w:proofErr w:type="spellStart"/>
      <w:r>
        <w:rPr>
          <w:rFonts w:eastAsia="Calibri"/>
          <w:lang w:eastAsia="en-US"/>
        </w:rPr>
        <w:t>pristupatelj</w:t>
      </w:r>
      <w:proofErr w:type="spellEnd"/>
      <w:r>
        <w:rPr>
          <w:rFonts w:eastAsia="Calibri"/>
          <w:lang w:eastAsia="en-US"/>
        </w:rPr>
        <w:t xml:space="preserve"> dugu dostavio opširan otplatni plan sa sadržajem i načinom namirenja vjerovnika (listovi 525-547 spisa), te opširnu dokumentaciju kojom potkrjepljuje navedeni otplatni plan, ovaj sud je i uz nepostojanje traženog jamstva u vidu bankarske garancije, pristupio analizi predmetne Izjave o pristupanju dugu kako bi se utvrdilo proizlazi li iz priložene dokumentacije zaključak o postojanju valjanog pokrića za ispunjenjem svih dospjelih obveza dužnika od strane </w:t>
      </w:r>
      <w:proofErr w:type="spellStart"/>
      <w:r>
        <w:rPr>
          <w:rFonts w:eastAsia="Calibri"/>
          <w:lang w:eastAsia="en-US"/>
        </w:rPr>
        <w:t>pristupatelja</w:t>
      </w:r>
      <w:proofErr w:type="spellEnd"/>
      <w:r>
        <w:rPr>
          <w:rFonts w:eastAsia="Calibri"/>
          <w:lang w:eastAsia="en-US"/>
        </w:rPr>
        <w:t xml:space="preserve"> dugu.</w:t>
      </w:r>
    </w:p>
    <w:p w:rsidRDefault="008C33CD" w:rsidP="008C33CD" w:rsidR="008C33CD">
      <w:pPr>
        <w:tabs>
          <w:tab w:pos="851" w:val="left"/>
        </w:tabs>
        <w:jc w:val="both"/>
        <w:rPr>
          <w:rFonts w:eastAsia="Calibri"/>
          <w:lang w:eastAsia="en-US"/>
        </w:rPr>
      </w:pPr>
    </w:p>
    <w:p w:rsidRDefault="008C33CD" w:rsidP="008C33CD" w:rsidR="008C33CD">
      <w:pPr>
        <w:tabs>
          <w:tab w:pos="851" w:val="left"/>
        </w:tabs>
        <w:jc w:val="both"/>
        <w:rPr>
          <w:rFonts w:eastAsia="Calibri"/>
          <w:lang w:eastAsia="en-US"/>
        </w:rPr>
      </w:pPr>
      <w:r>
        <w:rPr>
          <w:rFonts w:eastAsia="Calibri"/>
          <w:lang w:eastAsia="en-US"/>
        </w:rPr>
        <w:tab/>
        <w:t>Uvidom u otplatni plan sa sadržajem i načinom namirenja (koji je priložen predmetnoj Izjavi o pristupu dugu) utvrđeno je da se treća osoba-</w:t>
      </w:r>
      <w:proofErr w:type="spellStart"/>
      <w:r>
        <w:rPr>
          <w:rFonts w:eastAsia="Calibri"/>
          <w:lang w:eastAsia="en-US"/>
        </w:rPr>
        <w:t>pristupatelj</w:t>
      </w:r>
      <w:proofErr w:type="spellEnd"/>
      <w:r>
        <w:rPr>
          <w:rFonts w:eastAsia="Calibri"/>
          <w:lang w:eastAsia="en-US"/>
        </w:rPr>
        <w:t xml:space="preserve"> dugu obvezao da će dospjele obveze dužnika CONING d.d. evidentirane u Očevidniku o redoslijedu naplate od 15.02.2018. u iznosu od 22.525.894,94 kn biti podmirene na način da:</w:t>
      </w:r>
    </w:p>
    <w:p w:rsidRDefault="008C33CD" w:rsidP="008C33CD" w:rsidR="008C33CD">
      <w:pPr>
        <w:tabs>
          <w:tab w:pos="851" w:val="left"/>
        </w:tabs>
        <w:jc w:val="both"/>
        <w:rPr>
          <w:rFonts w:eastAsia="Calibri"/>
          <w:lang w:eastAsia="en-US"/>
        </w:rPr>
      </w:pPr>
      <w:r>
        <w:rPr>
          <w:rFonts w:eastAsia="Calibri"/>
          <w:lang w:eastAsia="en-US"/>
        </w:rPr>
        <w:t>•</w:t>
      </w:r>
      <w:r>
        <w:rPr>
          <w:rFonts w:eastAsia="Calibri"/>
          <w:lang w:eastAsia="en-US"/>
        </w:rPr>
        <w:tab/>
        <w:t>iznos od 14.682.690,02 kn pojedinim izdvojenim vjerovnicima (ukupno 14 vjerovnika) bude podmiren sukladno postignutim sporazumima, te se navodi da će ugovori s vjerovnicima biti potpisani u roku od tjedan dana po pravomoćnosti rješenja o odobrenju pristupa dugu, a da će nakon toga najkasnije u roku od tjedan dana po potpisu sporazuma ovi vjerovnici povući svoje naloge iz redoslijeda blokade na žiro računu,</w:t>
      </w:r>
    </w:p>
    <w:p w:rsidRDefault="008C33CD" w:rsidP="008C33CD" w:rsidR="008C33CD">
      <w:pPr>
        <w:tabs>
          <w:tab w:pos="851" w:val="left"/>
        </w:tabs>
        <w:jc w:val="both"/>
        <w:rPr>
          <w:rFonts w:eastAsia="Calibri"/>
          <w:lang w:eastAsia="en-US"/>
        </w:rPr>
      </w:pPr>
      <w:r>
        <w:rPr>
          <w:rFonts w:eastAsia="Calibri"/>
          <w:lang w:eastAsia="en-US"/>
        </w:rPr>
        <w:t>•</w:t>
      </w:r>
      <w:r>
        <w:rPr>
          <w:rFonts w:eastAsia="Calibri"/>
          <w:lang w:eastAsia="en-US"/>
        </w:rPr>
        <w:tab/>
        <w:t xml:space="preserve">preostali iznos od 7.843.204,92 kn (koji bi preostao u blokadi nakon namirenja pojedinih izdvojenih vjerovnika) </w:t>
      </w:r>
      <w:proofErr w:type="spellStart"/>
      <w:r>
        <w:rPr>
          <w:rFonts w:eastAsia="Calibri"/>
          <w:lang w:eastAsia="en-US"/>
        </w:rPr>
        <w:t>pristupatelj</w:t>
      </w:r>
      <w:proofErr w:type="spellEnd"/>
      <w:r>
        <w:rPr>
          <w:rFonts w:eastAsia="Calibri"/>
          <w:lang w:eastAsia="en-US"/>
        </w:rPr>
        <w:t xml:space="preserve"> dugu će osigurati tako da će iznos od 3.244.232,67 kn uplatiti na žiro račun dužnika CONING d.d. temeljem Sporazuma s Javnom ustanovom Gradski stanovi za građevinske radove na objektima POS-a izvršenim do 2013. godine (od čega iznos od 1.732.368,25 kn uplatom po potpisu Sporazuma, te iznos od 1.511.864,42 kn iz depozita), a preostali iznos od 4.598.972,25 kn iz sredstava koja će </w:t>
      </w:r>
      <w:proofErr w:type="spellStart"/>
      <w:r>
        <w:rPr>
          <w:rFonts w:eastAsia="Calibri"/>
          <w:lang w:eastAsia="en-US"/>
        </w:rPr>
        <w:t>pristupatelj</w:t>
      </w:r>
      <w:proofErr w:type="spellEnd"/>
      <w:r>
        <w:rPr>
          <w:rFonts w:eastAsia="Calibri"/>
          <w:lang w:eastAsia="en-US"/>
        </w:rPr>
        <w:t xml:space="preserve"> dugu osigurati (pri tome u Izjavi i otplatnom planu nije navedeno na koji način će osigurati ova sredstva, dok iz priloga proizlazi da bi se trebalo raditi o zajmu – priložen je Ugovor o zajmu zaključen između Prime </w:t>
      </w:r>
      <w:proofErr w:type="spellStart"/>
      <w:r>
        <w:rPr>
          <w:rFonts w:eastAsia="Calibri"/>
          <w:lang w:eastAsia="en-US"/>
        </w:rPr>
        <w:t>Tourist</w:t>
      </w:r>
      <w:proofErr w:type="spellEnd"/>
      <w:r>
        <w:rPr>
          <w:rFonts w:eastAsia="Calibri"/>
          <w:lang w:eastAsia="en-US"/>
        </w:rPr>
        <w:t xml:space="preserve"> </w:t>
      </w:r>
      <w:proofErr w:type="spellStart"/>
      <w:r>
        <w:rPr>
          <w:rFonts w:eastAsia="Calibri"/>
          <w:lang w:eastAsia="en-US"/>
        </w:rPr>
        <w:t>resorts</w:t>
      </w:r>
      <w:proofErr w:type="spellEnd"/>
      <w:r>
        <w:rPr>
          <w:rFonts w:eastAsia="Calibri"/>
          <w:lang w:eastAsia="en-US"/>
        </w:rPr>
        <w:t xml:space="preserve"> a.a. iz Bratislave kao kreditora i CONING ING d.o.o.-list 739-742 spisa).</w:t>
      </w:r>
    </w:p>
    <w:p w:rsidRDefault="008C33CD" w:rsidP="008C33CD" w:rsidR="008C33CD">
      <w:pPr>
        <w:tabs>
          <w:tab w:pos="851" w:val="left"/>
        </w:tabs>
        <w:jc w:val="both"/>
        <w:rPr>
          <w:rFonts w:eastAsia="Calibri"/>
          <w:lang w:eastAsia="en-US"/>
        </w:rPr>
      </w:pPr>
    </w:p>
    <w:p w:rsidRDefault="008C33CD" w:rsidP="008C33CD" w:rsidR="008C33CD">
      <w:pPr>
        <w:tabs>
          <w:tab w:pos="851" w:val="left"/>
        </w:tabs>
        <w:jc w:val="both"/>
        <w:rPr>
          <w:rFonts w:eastAsia="Calibri"/>
          <w:lang w:eastAsia="en-US"/>
        </w:rPr>
      </w:pPr>
      <w:r>
        <w:rPr>
          <w:rFonts w:eastAsia="Calibri"/>
          <w:lang w:eastAsia="en-US"/>
        </w:rPr>
        <w:tab/>
        <w:t>S obzirom na opisani složeni otplatni plan, kojim su najprije posebno izdvojeni pojedini vjerovnici, a u nastavku obuhvaćeno 244 vjerovnika, s visokim iznosom dospjelih a nenamirenih obveza dužnika za koje bi treća osoba trebala jamčiti, te s obzirom da je uz Izjavu priložena opširna dokumentacija (više od 200 stranica priloga), sud je angažirao stalnu sudsku vještakinju za računovodstvo i financije Vlatku Bratić, radi stručne analize priložene dokumentacije u kontekstu realne mogućnosti podmirenja obveza dužnika CONING d.d.</w:t>
      </w:r>
    </w:p>
    <w:p w:rsidRDefault="008C33CD" w:rsidP="008C33CD" w:rsidR="008C33CD">
      <w:pPr>
        <w:tabs>
          <w:tab w:pos="851" w:val="left"/>
        </w:tabs>
        <w:jc w:val="both"/>
        <w:rPr>
          <w:rFonts w:eastAsia="Calibri"/>
          <w:lang w:eastAsia="en-US"/>
        </w:rPr>
      </w:pPr>
      <w:r>
        <w:rPr>
          <w:rFonts w:eastAsia="Calibri"/>
          <w:lang w:eastAsia="en-US"/>
        </w:rPr>
        <w:tab/>
      </w:r>
    </w:p>
    <w:p w:rsidRDefault="008C33CD" w:rsidP="008C33CD" w:rsidR="008C33CD">
      <w:pPr>
        <w:tabs>
          <w:tab w:pos="851" w:val="left"/>
        </w:tabs>
        <w:jc w:val="both"/>
        <w:rPr>
          <w:rFonts w:eastAsia="Calibri"/>
          <w:lang w:eastAsia="en-US"/>
        </w:rPr>
      </w:pPr>
      <w:r>
        <w:rPr>
          <w:rFonts w:eastAsia="Calibri"/>
          <w:lang w:eastAsia="en-US"/>
        </w:rPr>
        <w:tab/>
        <w:t>U svom nalazu i mišljenju stalna sudska vještakinja Vlatka Bratić analizirala je priloženu dokumentaciju te je navela da iz dokumentacije proizlazi:</w:t>
      </w:r>
    </w:p>
    <w:p w:rsidRDefault="008C33CD" w:rsidP="008C33CD" w:rsidR="008C33CD">
      <w:pPr>
        <w:numPr>
          <w:ilvl w:val="0"/>
          <w:numId w:val="48"/>
        </w:numPr>
        <w:tabs>
          <w:tab w:pos="851" w:val="left"/>
        </w:tabs>
        <w:spacing w:after="240"/>
        <w:contextualSpacing/>
        <w:jc w:val="both"/>
        <w:rPr>
          <w:rFonts w:eastAsia="Calibri"/>
          <w:lang w:eastAsia="en-US"/>
        </w:rPr>
      </w:pPr>
      <w:r>
        <w:rPr>
          <w:rFonts w:eastAsia="Calibri"/>
          <w:lang w:eastAsia="en-US"/>
        </w:rPr>
        <w:t xml:space="preserve"> u odnosu na iznos od 14.682.690,02 kn koji je u otplatnom planu naveden kao ukupni iznos koji će se namiriti prema posebnim sporazumima sklopljenim s izdvojenim vjerovnicima, navela je prvenstveno da se radi o pogrešnom zbroju iznosa duga prema navedenim vjerovnicima, jer prema Očevidniku na dan 15.02.2018. prema tim vjerovnicima ukupan dug iznosi 14.691.221,38 kn (što je za 8.531,36 kn više od iznosa naznačenog u planu otplate), </w:t>
      </w:r>
    </w:p>
    <w:p w:rsidRDefault="008C33CD" w:rsidP="008C33CD" w:rsidR="008C33CD">
      <w:pPr>
        <w:numPr>
          <w:ilvl w:val="0"/>
          <w:numId w:val="48"/>
        </w:numPr>
        <w:tabs>
          <w:tab w:pos="851" w:val="left"/>
        </w:tabs>
        <w:spacing w:after="240"/>
        <w:contextualSpacing/>
        <w:jc w:val="both"/>
        <w:rPr>
          <w:rFonts w:eastAsia="Calibri"/>
          <w:lang w:eastAsia="en-US"/>
        </w:rPr>
      </w:pPr>
      <w:r>
        <w:rPr>
          <w:rFonts w:eastAsia="Calibri"/>
          <w:lang w:eastAsia="en-US"/>
        </w:rPr>
        <w:t xml:space="preserve">u odnosu na dokumentacije za taj iznos duga prema izdvojenim vjerovnicima u ukupnom iznosu od 14.691.221,38 kn vještakinja je prikazala analizu u tabeli 2. nalaza (list 791 spisa) iz koje proizlazi da je </w:t>
      </w:r>
      <w:proofErr w:type="spellStart"/>
      <w:r>
        <w:rPr>
          <w:rFonts w:eastAsia="Calibri"/>
          <w:lang w:eastAsia="en-US"/>
        </w:rPr>
        <w:t>pristupatelj</w:t>
      </w:r>
      <w:proofErr w:type="spellEnd"/>
      <w:r>
        <w:rPr>
          <w:rFonts w:eastAsia="Calibri"/>
          <w:lang w:eastAsia="en-US"/>
        </w:rPr>
        <w:t xml:space="preserve"> dugu dostavio dokumentaciju za povlačenje vjerovnika koji su blokirali račun za iznos 13.650.001,03 kn, dok za iznos od 1.041.220,35 kn nije dostavljena nikakva dokumentacija (i to za vjerovnike: G.T.F. d.o.o. u iznosu od 141.723,60 kn, Općina Bednja u iznosu od 167.111,59 kn, TBB-REV d.o.o. u iznosu od 173.724,67 kn, te Zagorje-</w:t>
      </w:r>
      <w:proofErr w:type="spellStart"/>
      <w:r>
        <w:rPr>
          <w:rFonts w:eastAsia="Calibri"/>
          <w:lang w:eastAsia="en-US"/>
        </w:rPr>
        <w:t>tehnobeton</w:t>
      </w:r>
      <w:proofErr w:type="spellEnd"/>
      <w:r>
        <w:rPr>
          <w:rFonts w:eastAsia="Calibri"/>
          <w:lang w:eastAsia="en-US"/>
        </w:rPr>
        <w:t xml:space="preserve"> d.d. u iznosu od 558.660,49 kn). Nadalje, povlačenje iz blokade tražbina u ukupnom iznosu od 13.650.001,03 kn uvjetovano je uplatom iznosa od 754.470,17 kn i zaključenjem posebnih ugovora s vjerovnicima. Nakon uplate navedenog iznosa od 754.470,17 kn preostali iznos od 12.895.530,86 kn odnosi se na:</w:t>
      </w:r>
    </w:p>
    <w:p w:rsidRDefault="008C33CD" w:rsidP="008C33CD" w:rsidR="008C33CD">
      <w:pPr>
        <w:tabs>
          <w:tab w:pos="851" w:val="left"/>
        </w:tabs>
        <w:jc w:val="both"/>
        <w:rPr>
          <w:rFonts w:eastAsia="Calibri"/>
          <w:lang w:eastAsia="en-US"/>
        </w:rPr>
      </w:pPr>
      <w:r>
        <w:rPr>
          <w:rFonts w:eastAsia="Calibri"/>
          <w:lang w:eastAsia="en-US"/>
        </w:rPr>
        <w:tab/>
        <w:t>•</w:t>
      </w:r>
      <w:r>
        <w:rPr>
          <w:rFonts w:eastAsia="Calibri"/>
          <w:lang w:eastAsia="en-US"/>
        </w:rPr>
        <w:tab/>
        <w:t xml:space="preserve">obveze u iznosu od 621.943,80 kn prema vjerovnicima Tvornica kruha Zadar </w:t>
      </w:r>
      <w:r>
        <w:rPr>
          <w:rFonts w:eastAsia="Calibri"/>
          <w:lang w:eastAsia="en-US"/>
        </w:rPr>
        <w:tab/>
      </w:r>
      <w:r>
        <w:rPr>
          <w:rFonts w:eastAsia="Calibri"/>
          <w:lang w:eastAsia="en-US"/>
        </w:rPr>
        <w:tab/>
        <w:t xml:space="preserve">d.d., PROMO SET d.o.o., BMD Stil d.o.o. Poljoprivredna zadruga Ivanec i </w:t>
      </w:r>
      <w:r>
        <w:rPr>
          <w:rFonts w:eastAsia="Calibri"/>
          <w:lang w:eastAsia="en-US"/>
        </w:rPr>
        <w:tab/>
      </w:r>
      <w:r>
        <w:rPr>
          <w:rFonts w:eastAsia="Calibri"/>
          <w:lang w:eastAsia="en-US"/>
        </w:rPr>
        <w:tab/>
        <w:t xml:space="preserve">Prima namještaj d.o.o.  za koje je predviđeno „zatvaranje“ upisom dionica, </w:t>
      </w:r>
    </w:p>
    <w:p w:rsidRDefault="008C33CD" w:rsidP="008C33CD" w:rsidR="008C33CD">
      <w:pPr>
        <w:tabs>
          <w:tab w:pos="851" w:val="left"/>
        </w:tabs>
        <w:jc w:val="both"/>
        <w:rPr>
          <w:rFonts w:eastAsia="Calibri"/>
          <w:lang w:eastAsia="en-US"/>
        </w:rPr>
      </w:pPr>
      <w:r>
        <w:rPr>
          <w:rFonts w:eastAsia="Calibri"/>
          <w:lang w:eastAsia="en-US"/>
        </w:rPr>
        <w:tab/>
        <w:t>•</w:t>
      </w:r>
      <w:r>
        <w:rPr>
          <w:rFonts w:eastAsia="Calibri"/>
          <w:lang w:eastAsia="en-US"/>
        </w:rPr>
        <w:tab/>
        <w:t xml:space="preserve">obveze u iznosu od 483.381,10 kn prema vjerovniku Grad Varaždin uz uvjet </w:t>
      </w:r>
      <w:r>
        <w:rPr>
          <w:rFonts w:eastAsia="Calibri"/>
          <w:lang w:eastAsia="en-US"/>
        </w:rPr>
        <w:tab/>
      </w:r>
      <w:r>
        <w:rPr>
          <w:rFonts w:eastAsia="Calibri"/>
          <w:lang w:eastAsia="en-US"/>
        </w:rPr>
        <w:tab/>
        <w:t>sklapanja Sporazuma s JUGS-om bit će podmirene uplatom iz JUGS-a,</w:t>
      </w:r>
    </w:p>
    <w:p w:rsidRDefault="008C33CD" w:rsidP="008C33CD" w:rsidR="008C33CD">
      <w:pPr>
        <w:tabs>
          <w:tab w:pos="851" w:val="left"/>
        </w:tabs>
        <w:jc w:val="both"/>
        <w:rPr>
          <w:rFonts w:eastAsia="Calibri"/>
          <w:lang w:eastAsia="en-US"/>
        </w:rPr>
      </w:pPr>
      <w:r>
        <w:rPr>
          <w:rFonts w:eastAsia="Calibri"/>
          <w:lang w:eastAsia="en-US"/>
        </w:rPr>
        <w:tab/>
        <w:t>•</w:t>
      </w:r>
      <w:r>
        <w:rPr>
          <w:rFonts w:eastAsia="Calibri"/>
          <w:lang w:eastAsia="en-US"/>
        </w:rPr>
        <w:tab/>
        <w:t xml:space="preserve">obveze u iznosu od 11.790.205,96 kn prema vjerovnicima HEP </w:t>
      </w:r>
      <w:proofErr w:type="spellStart"/>
      <w:r>
        <w:rPr>
          <w:rFonts w:eastAsia="Calibri"/>
          <w:lang w:eastAsia="en-US"/>
        </w:rPr>
        <w:t>elektra</w:t>
      </w:r>
      <w:proofErr w:type="spellEnd"/>
      <w:r>
        <w:rPr>
          <w:rFonts w:eastAsia="Calibri"/>
          <w:lang w:eastAsia="en-US"/>
        </w:rPr>
        <w:t xml:space="preserve"> d.o.o., </w:t>
      </w:r>
      <w:r>
        <w:rPr>
          <w:rFonts w:eastAsia="Calibri"/>
          <w:lang w:eastAsia="en-US"/>
        </w:rPr>
        <w:tab/>
      </w:r>
      <w:r>
        <w:rPr>
          <w:rFonts w:eastAsia="Calibri"/>
          <w:lang w:eastAsia="en-US"/>
        </w:rPr>
        <w:tab/>
        <w:t xml:space="preserve">HBOR i  ERGASIA d.o.o. ostaju nepodmirene, te bi trebale biti „povučene iz </w:t>
      </w:r>
      <w:r>
        <w:rPr>
          <w:rFonts w:eastAsia="Calibri"/>
          <w:lang w:eastAsia="en-US"/>
        </w:rPr>
        <w:tab/>
      </w:r>
      <w:r>
        <w:rPr>
          <w:rFonts w:eastAsia="Calibri"/>
          <w:lang w:eastAsia="en-US"/>
        </w:rPr>
        <w:tab/>
        <w:t>blokade pod uvjetom sklapanja sporazuma i djelomičnog podmirenja duga.</w:t>
      </w:r>
    </w:p>
    <w:p w:rsidRDefault="008C33CD" w:rsidP="008C33CD" w:rsidR="008C33CD">
      <w:pPr>
        <w:tabs>
          <w:tab w:pos="851" w:val="left"/>
        </w:tabs>
        <w:jc w:val="both"/>
        <w:rPr>
          <w:rFonts w:eastAsia="Calibri"/>
          <w:lang w:eastAsia="en-US"/>
        </w:rPr>
      </w:pPr>
      <w:r>
        <w:rPr>
          <w:rFonts w:eastAsia="Calibri"/>
          <w:lang w:eastAsia="en-US"/>
        </w:rPr>
        <w:tab/>
        <w:t xml:space="preserve">U odnosu na ove vjerovnike (za koje iz Izjave proizlazi da je </w:t>
      </w:r>
      <w:proofErr w:type="spellStart"/>
      <w:r>
        <w:rPr>
          <w:rFonts w:eastAsia="Calibri"/>
          <w:lang w:eastAsia="en-US"/>
        </w:rPr>
        <w:t>pristupatelj</w:t>
      </w:r>
      <w:proofErr w:type="spellEnd"/>
      <w:r>
        <w:rPr>
          <w:rFonts w:eastAsia="Calibri"/>
          <w:lang w:eastAsia="en-US"/>
        </w:rPr>
        <w:t xml:space="preserve"> dugu postigao odvojene sporazume o namirenju) predmetni sporazumi nisu dostavljeni, a iz dostupne dokumentacije ne može se utvrditi dospijeće preostalih nepodmirenih obveza u ukupnom iznosu od 11.790.205,96 kn (odnosno iznosa od 791.605,28 kn za vjerovnika HEP </w:t>
      </w:r>
      <w:proofErr w:type="spellStart"/>
      <w:r>
        <w:rPr>
          <w:rFonts w:eastAsia="Calibri"/>
          <w:lang w:eastAsia="en-US"/>
        </w:rPr>
        <w:t>elektra</w:t>
      </w:r>
      <w:proofErr w:type="spellEnd"/>
      <w:r>
        <w:rPr>
          <w:rFonts w:eastAsia="Calibri"/>
          <w:lang w:eastAsia="en-US"/>
        </w:rPr>
        <w:t xml:space="preserve"> d.o.o., iznosa od 10.788.448,80 kn za vjerovnika HBOR, te iznosa od 210.151,88 kn za vjerovnika ERGASIA d.o.o.). </w:t>
      </w:r>
    </w:p>
    <w:p w:rsidRDefault="008C33CD" w:rsidP="008C33CD" w:rsidR="008C33CD">
      <w:pPr>
        <w:tabs>
          <w:tab w:pos="851" w:val="left"/>
        </w:tabs>
        <w:jc w:val="both"/>
        <w:rPr>
          <w:rFonts w:eastAsia="Calibri"/>
          <w:lang w:eastAsia="en-US"/>
        </w:rPr>
      </w:pPr>
      <w:r>
        <w:rPr>
          <w:rFonts w:eastAsia="Calibri"/>
          <w:lang w:eastAsia="en-US"/>
        </w:rPr>
        <w:tab/>
        <w:t>U odnosu na iznos od 3.244.232,67 kn za koji je Izjavom predviđena uplata na žiro račun temeljem Sporazuma s Javnom ustanovom Gradski stanovi za građevinske radove na objektima POS-a izvršenim do 2013. godine, iz analizirane dokumentacije proizlazi da će uz uvjet zaključivanja Sporazuma biti uplaćen iznos od 1.123.056,40 kn.</w:t>
      </w:r>
    </w:p>
    <w:p w:rsidRDefault="008C33CD" w:rsidP="008C33CD" w:rsidR="008C33CD">
      <w:pPr>
        <w:tabs>
          <w:tab w:pos="851" w:val="left"/>
        </w:tabs>
        <w:jc w:val="both"/>
        <w:rPr>
          <w:rFonts w:eastAsia="Calibri"/>
          <w:lang w:eastAsia="en-US"/>
        </w:rPr>
      </w:pPr>
      <w:r>
        <w:rPr>
          <w:rFonts w:eastAsia="Calibri"/>
          <w:lang w:eastAsia="en-US"/>
        </w:rPr>
        <w:tab/>
        <w:t xml:space="preserve">Vještakinja je nadalje u svom nalazu u tabeli 1.z. (list 799 spisa) prikazala iznose pojedinih tražbina pojedinih vjerovnika koje će se predloženim planom otplate iz predmetne Izjave o pristupanju dugu podmiriti (ukupno 1.859.795,07 kn-drugi stupac tabele 1.z), zatim tražbine pojedinih vjerovnika za koje </w:t>
      </w:r>
      <w:proofErr w:type="spellStart"/>
      <w:r>
        <w:rPr>
          <w:rFonts w:eastAsia="Calibri"/>
          <w:lang w:eastAsia="en-US"/>
        </w:rPr>
        <w:t>pristupatelj</w:t>
      </w:r>
      <w:proofErr w:type="spellEnd"/>
      <w:r>
        <w:rPr>
          <w:rFonts w:eastAsia="Calibri"/>
          <w:lang w:eastAsia="en-US"/>
        </w:rPr>
        <w:t xml:space="preserve"> dugu navodi da će se "povući iz blokade", ali za iste nisu dostavljeni planovi otplate (ukupno 11.790.205,96 kn- treći stupac tabele 1.z), kao i iznose uvjetnih uplata koji se očekuju (ukupno 7.472.221,90 kn-četvrti stupac tabele 1.z). Navedeni iznosi zbrojeno daju 21.122.222,93 kn, a s obzirom da ukupni iznos blokade na dan 15. veljače 2018. iznosi 22.525.894,94 kn, vještakinja računa da bi nepokrivena razlika iznosila 1.403.672,01 kn.</w:t>
      </w:r>
    </w:p>
    <w:p w:rsidRDefault="008C33CD" w:rsidP="008C33CD" w:rsidR="008C33CD">
      <w:pPr>
        <w:tabs>
          <w:tab w:pos="851" w:val="left"/>
        </w:tabs>
        <w:jc w:val="both"/>
        <w:rPr>
          <w:rFonts w:eastAsia="Calibri"/>
          <w:lang w:eastAsia="en-US"/>
        </w:rPr>
      </w:pPr>
      <w:r>
        <w:rPr>
          <w:rFonts w:eastAsia="Calibri"/>
          <w:lang w:eastAsia="en-US"/>
        </w:rPr>
        <w:tab/>
        <w:t xml:space="preserve">Nadalje je stalna sudska vještakinja analizirala poslovanje </w:t>
      </w:r>
      <w:proofErr w:type="spellStart"/>
      <w:r>
        <w:rPr>
          <w:rFonts w:eastAsia="Calibri"/>
          <w:lang w:eastAsia="en-US"/>
        </w:rPr>
        <w:t>pristupatelja</w:t>
      </w:r>
      <w:proofErr w:type="spellEnd"/>
      <w:r>
        <w:rPr>
          <w:rFonts w:eastAsia="Calibri"/>
          <w:lang w:eastAsia="en-US"/>
        </w:rPr>
        <w:t xml:space="preserve"> dugu CONING ING d.o.o. i navela da na temelju raspoložive joj dokumentacije proizlazi:</w:t>
      </w:r>
    </w:p>
    <w:p w:rsidRDefault="008C33CD" w:rsidP="008C33CD" w:rsidR="008C33CD">
      <w:pPr>
        <w:tabs>
          <w:tab w:pos="851" w:val="left"/>
        </w:tabs>
        <w:jc w:val="both"/>
        <w:rPr>
          <w:rFonts w:eastAsia="Calibri"/>
          <w:lang w:eastAsia="en-US"/>
        </w:rPr>
      </w:pPr>
      <w:r>
        <w:rPr>
          <w:rFonts w:eastAsia="Calibri"/>
          <w:lang w:eastAsia="en-US"/>
        </w:rPr>
        <w:t>•</w:t>
      </w:r>
      <w:r>
        <w:rPr>
          <w:rFonts w:eastAsia="Calibri"/>
          <w:lang w:eastAsia="en-US"/>
        </w:rPr>
        <w:tab/>
        <w:t>da je ukupan prihod TD CONING-ING d.o.o. za 2016. godinu evidentiran u iznosu od 2.150.559,00 kn i da je društvo za predmetnu godinu evidentiralo gubitak u iznosu od 701.888,00 kn,</w:t>
      </w:r>
    </w:p>
    <w:p w:rsidRDefault="008C33CD" w:rsidP="008C33CD" w:rsidR="008C33CD">
      <w:pPr>
        <w:tabs>
          <w:tab w:pos="851" w:val="left"/>
        </w:tabs>
        <w:jc w:val="both"/>
        <w:rPr>
          <w:rFonts w:eastAsia="Calibri"/>
          <w:lang w:eastAsia="en-US"/>
        </w:rPr>
      </w:pPr>
      <w:r>
        <w:rPr>
          <w:rFonts w:eastAsia="Calibri"/>
          <w:lang w:eastAsia="en-US"/>
        </w:rPr>
        <w:t>•</w:t>
      </w:r>
      <w:r>
        <w:rPr>
          <w:rFonts w:eastAsia="Calibri"/>
          <w:lang w:eastAsia="en-US"/>
        </w:rPr>
        <w:tab/>
        <w:t>da TD CONING-ING d.o.o. Varaždin evidentira u financijskim izvještajima za 2016. godinu gubitak iznad visine kapitala, odnosno da imovina društva nije dostatna da pokrije obveze društva,</w:t>
      </w:r>
    </w:p>
    <w:p w:rsidRDefault="008C33CD" w:rsidP="008C33CD" w:rsidR="008C33CD">
      <w:pPr>
        <w:tabs>
          <w:tab w:pos="851" w:val="left"/>
        </w:tabs>
        <w:jc w:val="both"/>
        <w:rPr>
          <w:rFonts w:eastAsia="Calibri"/>
          <w:lang w:eastAsia="en-US"/>
        </w:rPr>
      </w:pPr>
      <w:r>
        <w:rPr>
          <w:rFonts w:eastAsia="Calibri"/>
          <w:lang w:eastAsia="en-US"/>
        </w:rPr>
        <w:t>•</w:t>
      </w:r>
      <w:r>
        <w:rPr>
          <w:rFonts w:eastAsia="Calibri"/>
          <w:lang w:eastAsia="en-US"/>
        </w:rPr>
        <w:tab/>
        <w:t>da je ukupan priljev na račun TD CONING-ING d.o.o. Varaždin prema podacima Ministarstva financija, Porezne uprave, Područni ured Varaždin u poslovnoj godini 2017. evidentiran u iznosu od 475.tis. kn, a za razdoblje od 01.01. do 28.03.2018. u iznosu od 699.tis. kn,</w:t>
      </w:r>
    </w:p>
    <w:p w:rsidRDefault="008C33CD" w:rsidP="008C33CD" w:rsidR="008C33CD">
      <w:pPr>
        <w:tabs>
          <w:tab w:pos="851" w:val="left"/>
        </w:tabs>
        <w:jc w:val="both"/>
        <w:rPr>
          <w:rFonts w:eastAsia="Calibri"/>
          <w:lang w:eastAsia="en-US"/>
        </w:rPr>
      </w:pPr>
      <w:r>
        <w:rPr>
          <w:rFonts w:eastAsia="Calibri"/>
          <w:lang w:eastAsia="en-US"/>
        </w:rPr>
        <w:t>•</w:t>
      </w:r>
      <w:r>
        <w:rPr>
          <w:rFonts w:eastAsia="Calibri"/>
          <w:lang w:eastAsia="en-US"/>
        </w:rPr>
        <w:tab/>
        <w:t>da je račun TD CONING-ING d.o.o. Varaždin na dan 24.05.2008., kao dan izrade nalaza u neprekinutoj blokadi  66 dana, pri čemu je na ročištu 12. lipnja 2018. dodala da je na taj dan neprekidna blokada 85 dana.</w:t>
      </w:r>
    </w:p>
    <w:p w:rsidRDefault="008C33CD" w:rsidP="008C33CD" w:rsidR="008C33CD">
      <w:pPr>
        <w:spacing w:after="240"/>
        <w:ind w:firstLine="708"/>
        <w:jc w:val="both"/>
        <w:rPr>
          <w:rFonts w:eastAsia="Calibri"/>
          <w:lang w:eastAsia="en-US"/>
        </w:rPr>
      </w:pPr>
      <w:r>
        <w:rPr>
          <w:rFonts w:eastAsia="Calibri"/>
          <w:lang w:eastAsia="en-US"/>
        </w:rPr>
        <w:t>Temeljem svega navedenoga stalna sudska vještakinja iznijela je svoje mišljenje da ne postoji realna mogućnost podmirenja obveza dužnika CONING d.d. Varaždin pristupom dugu od strane CONING ING d.o.o.</w:t>
      </w:r>
    </w:p>
    <w:p w:rsidRDefault="008C33CD" w:rsidP="008C33CD" w:rsidR="008C33CD">
      <w:pPr>
        <w:tabs>
          <w:tab w:pos="851" w:val="left"/>
        </w:tabs>
        <w:jc w:val="both"/>
        <w:rPr>
          <w:rFonts w:eastAsia="Calibri"/>
          <w:lang w:eastAsia="en-US"/>
        </w:rPr>
      </w:pPr>
      <w:r>
        <w:rPr>
          <w:rFonts w:eastAsia="Calibri"/>
          <w:lang w:eastAsia="en-US"/>
        </w:rPr>
        <w:tab/>
        <w:t xml:space="preserve">Na ročištu 12. lipnja 2018. punomoćnik dužnika prigovorio je nalazu i mišljenju vještakinje u bitnome navodeći da je isti nepotpun, jer je vještakinja ušla u analizu odnosa između dužnika, treće osobe i vjerovnika, te je analizirala njihovu volju za povlačenjem iz blokade, ali nije dostatno analizirala poslovni potencijal dužnika i treće osobe i planove koje su vjerovnici prihvatili u sklopu </w:t>
      </w:r>
      <w:proofErr w:type="spellStart"/>
      <w:r>
        <w:rPr>
          <w:rFonts w:eastAsia="Calibri"/>
          <w:lang w:eastAsia="en-US"/>
        </w:rPr>
        <w:t>predstečajne</w:t>
      </w:r>
      <w:proofErr w:type="spellEnd"/>
      <w:r>
        <w:rPr>
          <w:rFonts w:eastAsia="Calibri"/>
          <w:lang w:eastAsia="en-US"/>
        </w:rPr>
        <w:t xml:space="preserve"> nagodbe. Osim toga naveo je da u odnosu na </w:t>
      </w:r>
      <w:proofErr w:type="spellStart"/>
      <w:r>
        <w:rPr>
          <w:rFonts w:eastAsia="Calibri"/>
          <w:lang w:eastAsia="en-US"/>
        </w:rPr>
        <w:t>nedostajeće</w:t>
      </w:r>
      <w:proofErr w:type="spellEnd"/>
      <w:r>
        <w:rPr>
          <w:rFonts w:eastAsia="Calibri"/>
          <w:lang w:eastAsia="en-US"/>
        </w:rPr>
        <w:t xml:space="preserve"> otplatne planove u odnosu na vjerovnike čije tražbine čine ukupni iznos 11.790.205,96 kn, iz dostavljene dokumentacije i sporazuma čitavog niza vjerovnika i stečajnog dužnika očito je da je njihova volja da se riješi blokada stečajnog dužnika, a da otplatni plan ne smatraju prijepornim, niti odlučnim u ispunjavanju svojeg cilja. Isto tako, naveo je da su prema </w:t>
      </w:r>
      <w:proofErr w:type="spellStart"/>
      <w:r>
        <w:rPr>
          <w:rFonts w:eastAsia="Calibri"/>
          <w:lang w:eastAsia="en-US"/>
        </w:rPr>
        <w:t>predstečajnom</w:t>
      </w:r>
      <w:proofErr w:type="spellEnd"/>
      <w:r>
        <w:rPr>
          <w:rFonts w:eastAsia="Calibri"/>
          <w:lang w:eastAsia="en-US"/>
        </w:rPr>
        <w:t xml:space="preserve"> planu svi vjerovnici poklonili vjeru da je moguće iz samog poslovanja društva namiriti njihove tražbine, te da je iz navedenog, kao i iz cjelokupnog ponašanja vjerovnika tijekom ovog postupka nedvojbeno vidljiva volja vjerovnika da se izbjegne otvaranje stečajnog postupka, te smatra da i sud navedeno treba uzeti u obzir.</w:t>
      </w:r>
    </w:p>
    <w:p w:rsidRDefault="008C33CD" w:rsidP="008C33CD" w:rsidR="008C33CD">
      <w:pPr>
        <w:tabs>
          <w:tab w:pos="851" w:val="left"/>
        </w:tabs>
        <w:jc w:val="both"/>
        <w:rPr>
          <w:rFonts w:eastAsia="Calibri"/>
          <w:lang w:eastAsia="en-US"/>
        </w:rPr>
      </w:pPr>
    </w:p>
    <w:p w:rsidRDefault="008C33CD" w:rsidP="008C33CD" w:rsidR="008C33CD">
      <w:pPr>
        <w:tabs>
          <w:tab w:pos="851" w:val="left"/>
        </w:tabs>
        <w:jc w:val="both"/>
        <w:rPr>
          <w:rFonts w:eastAsia="Calibri"/>
          <w:lang w:eastAsia="en-US"/>
        </w:rPr>
      </w:pPr>
      <w:r>
        <w:rPr>
          <w:rFonts w:eastAsia="Calibri"/>
          <w:lang w:eastAsia="en-US"/>
        </w:rPr>
        <w:tab/>
        <w:t xml:space="preserve">Ove primjedbe punomoćnika dužnika neosnovane su jer planovi koje su vjerovnici prihvatili u sklopu </w:t>
      </w:r>
      <w:proofErr w:type="spellStart"/>
      <w:r>
        <w:rPr>
          <w:rFonts w:eastAsia="Calibri"/>
          <w:lang w:eastAsia="en-US"/>
        </w:rPr>
        <w:t>predstečajne</w:t>
      </w:r>
      <w:proofErr w:type="spellEnd"/>
      <w:r>
        <w:rPr>
          <w:rFonts w:eastAsia="Calibri"/>
          <w:lang w:eastAsia="en-US"/>
        </w:rPr>
        <w:t xml:space="preserve"> nagodbe nisu relevantni u ovoj fazi kada se odlučuje o prijedlogu za otvaranje stečajnog postupka, te o izjavi o pristupanju dugu u smislu čl. 124. SZ-a, te ih stalna sudska vještakinja u svom nalazu nije niti trebala analizirati. U odnosu na navod punomoćnika dužnika da činjenica što nedostaju otplatni planovi u odnosu na vjerovnike čije tražbine čine ukupni iznos 11.790.205,96 kn nije relevantna, već da je ključna njihova volja da se riješi blokada stečajnog dužnika, te da se izbjegne otvaranje stečajnog postupka, valja tek reći da takva volja vjerovnika stečajnog dužnika ne proizlazi iz tijeka ovoga postupka, jer se niti jedan vjerovnik (osim predlagatelja Financijske agencije po čijem prijedlogu je ovaj postupak i pokrenut) nije obratio sudu tijekom trajanja prethodnog postupka, niti je dostavio bilo kakav pisani dokument iz kojeg bi se navedeno moglo zaključiti. Osim toga, da je i tome tako, navedeno ne bi samo po sebi imalo utjecaja na drukčiju ocjenu izjave o pristupanju dugu u smislu čl. 124. SZ-a, već je volja vjerovnika da se riješi blokada stečajnog dužnika eventualno mogla dovesti da tijekom trajanja prethodnog postupka bude otklonjen stečajni razlog nesposobnosti za plaćanje, no to nije učinjeno niti nakon proteka gotovo dvije godine od podnošenja prijedloga za otvaranje stečajnog postupka, te je na posljednjem ročištu radi rasprave o pretpostavkama za otvaranje stečajnog postupka koje je održano 12. lipnja 2018. utvrđeno da blokada računa stečajnog dužnika iznosi 22.776.938,15 kn (dakle blokada je višestruko porasla od trenutka podnošenja prijedloga kada je iznosila 3.893.733,19 kn).</w:t>
      </w:r>
    </w:p>
    <w:p w:rsidRDefault="008C33CD" w:rsidP="008C33CD" w:rsidR="008C33CD">
      <w:pPr>
        <w:tabs>
          <w:tab w:pos="851" w:val="left"/>
        </w:tabs>
        <w:jc w:val="both"/>
        <w:rPr>
          <w:rFonts w:eastAsia="Calibri"/>
          <w:lang w:eastAsia="en-US"/>
        </w:rPr>
      </w:pPr>
    </w:p>
    <w:p w:rsidRDefault="008C33CD" w:rsidP="008C33CD" w:rsidR="008C33CD">
      <w:pPr>
        <w:tabs>
          <w:tab w:pos="851" w:val="left"/>
        </w:tabs>
        <w:jc w:val="both"/>
        <w:rPr>
          <w:rFonts w:eastAsia="Calibri"/>
          <w:lang w:eastAsia="en-US"/>
        </w:rPr>
      </w:pPr>
      <w:r>
        <w:rPr>
          <w:rFonts w:eastAsia="Calibri"/>
          <w:lang w:eastAsia="en-US"/>
        </w:rPr>
        <w:tab/>
        <w:t xml:space="preserve">U podnesku od 15. lipnja 2018. na nalaz i mišljenje vještakinje se očitovao </w:t>
      </w:r>
      <w:proofErr w:type="spellStart"/>
      <w:r>
        <w:rPr>
          <w:rFonts w:eastAsia="Calibri"/>
          <w:lang w:eastAsia="en-US"/>
        </w:rPr>
        <w:t>pristupatelj</w:t>
      </w:r>
      <w:proofErr w:type="spellEnd"/>
      <w:r>
        <w:rPr>
          <w:rFonts w:eastAsia="Calibri"/>
          <w:lang w:eastAsia="en-US"/>
        </w:rPr>
        <w:t xml:space="preserve"> dugu i naveo da će sva sredstva potrebna za namirenje vjerovnika po Izjavi o pristupanju dugu biti osigurana iz zajma kojeg je već odobrio većinski vlasnik </w:t>
      </w:r>
      <w:proofErr w:type="spellStart"/>
      <w:r>
        <w:rPr>
          <w:rFonts w:eastAsia="Calibri"/>
          <w:lang w:eastAsia="en-US"/>
        </w:rPr>
        <w:t>pristupatelja</w:t>
      </w:r>
      <w:proofErr w:type="spellEnd"/>
      <w:r>
        <w:rPr>
          <w:rFonts w:eastAsia="Calibri"/>
          <w:lang w:eastAsia="en-US"/>
        </w:rPr>
        <w:t xml:space="preserve"> dugu kroz svoje slovačko društvo Prime </w:t>
      </w:r>
      <w:proofErr w:type="spellStart"/>
      <w:r>
        <w:rPr>
          <w:rFonts w:eastAsia="Calibri"/>
          <w:lang w:eastAsia="en-US"/>
        </w:rPr>
        <w:t>Tourist</w:t>
      </w:r>
      <w:proofErr w:type="spellEnd"/>
      <w:r>
        <w:rPr>
          <w:rFonts w:eastAsia="Calibri"/>
          <w:lang w:eastAsia="en-US"/>
        </w:rPr>
        <w:t xml:space="preserve"> </w:t>
      </w:r>
      <w:proofErr w:type="spellStart"/>
      <w:r>
        <w:rPr>
          <w:rFonts w:eastAsia="Calibri"/>
          <w:lang w:eastAsia="en-US"/>
        </w:rPr>
        <w:t>Resorts</w:t>
      </w:r>
      <w:proofErr w:type="spellEnd"/>
      <w:r>
        <w:rPr>
          <w:rFonts w:eastAsia="Calibri"/>
          <w:lang w:eastAsia="en-US"/>
        </w:rPr>
        <w:t xml:space="preserve"> </w:t>
      </w:r>
      <w:proofErr w:type="spellStart"/>
      <w:r>
        <w:rPr>
          <w:rFonts w:eastAsia="Calibri"/>
          <w:lang w:eastAsia="en-US"/>
        </w:rPr>
        <w:t>A.S</w:t>
      </w:r>
      <w:proofErr w:type="spellEnd"/>
      <w:r>
        <w:rPr>
          <w:rFonts w:eastAsia="Calibri"/>
          <w:lang w:eastAsia="en-US"/>
        </w:rPr>
        <w:t xml:space="preserve">. u iznosu od 750.000 EUR prema ugovoru o zajmu koji je već dostavljen u spis, te da je osigurano dodatnih 350.000 EUR, što je preko 2,5 milijuna kuna, odnosno milijun kuna više od iznosa koji prema mišljenju financijske vještakinje nedostaje. Priložen je Aneks 1. Ugovora o zajmu (list 828-829 spisa). </w:t>
      </w:r>
    </w:p>
    <w:p w:rsidRDefault="008C33CD" w:rsidP="008C33CD" w:rsidR="008C33CD">
      <w:pPr>
        <w:tabs>
          <w:tab w:pos="851" w:val="left"/>
        </w:tabs>
        <w:jc w:val="both"/>
        <w:rPr>
          <w:rFonts w:eastAsia="Calibri"/>
          <w:lang w:eastAsia="en-US"/>
        </w:rPr>
      </w:pPr>
    </w:p>
    <w:p w:rsidRDefault="008C33CD" w:rsidP="008C33CD" w:rsidR="008C33CD">
      <w:pPr>
        <w:tabs>
          <w:tab w:pos="851" w:val="left"/>
        </w:tabs>
        <w:jc w:val="both"/>
        <w:rPr>
          <w:rFonts w:eastAsia="Calibri"/>
          <w:lang w:eastAsia="en-US"/>
        </w:rPr>
      </w:pPr>
      <w:r>
        <w:rPr>
          <w:rFonts w:eastAsia="Calibri"/>
          <w:lang w:eastAsia="en-US"/>
        </w:rPr>
        <w:tab/>
        <w:t xml:space="preserve">Detaljnom analizom Izjave o pristupanju dugu s priloženim planom otplate na način propisan u čl. 124. i čl. 128. st. 4. SZ-a, polazeći od ukupnog iznosa obveza za koje treća osoba CONING ING d.o.o. treba jamčiti (22.525.894,94 kn prema Očevidniku o redoslijedu plaćanja izdanog od strane Financijske agencije na dan 15.2.2018.), ovaj sud zaključuje da je Izjava o pristupanju dugu dana bez valjanog pokrića, odnosno da ne proizlazi realna mogućnost da bi treća osoba kao </w:t>
      </w:r>
      <w:proofErr w:type="spellStart"/>
      <w:r>
        <w:rPr>
          <w:rFonts w:eastAsia="Calibri"/>
          <w:lang w:eastAsia="en-US"/>
        </w:rPr>
        <w:t>pristupatelj</w:t>
      </w:r>
      <w:proofErr w:type="spellEnd"/>
      <w:r>
        <w:rPr>
          <w:rFonts w:eastAsia="Calibri"/>
          <w:lang w:eastAsia="en-US"/>
        </w:rPr>
        <w:t xml:space="preserve"> dugu u roku od dva mjeseca mogao podmiriti sve dospjele obveze stečajnog dužnika.</w:t>
      </w:r>
    </w:p>
    <w:p w:rsidRDefault="008C33CD" w:rsidP="008C33CD" w:rsidR="008C33CD">
      <w:pPr>
        <w:tabs>
          <w:tab w:pos="851" w:val="left"/>
        </w:tabs>
        <w:jc w:val="both"/>
        <w:rPr>
          <w:rFonts w:eastAsia="Calibri"/>
          <w:lang w:eastAsia="en-US"/>
        </w:rPr>
      </w:pPr>
    </w:p>
    <w:p w:rsidRDefault="008C33CD" w:rsidP="008C33CD" w:rsidR="008C33CD">
      <w:pPr>
        <w:tabs>
          <w:tab w:pos="851" w:val="left"/>
        </w:tabs>
        <w:jc w:val="both"/>
        <w:rPr>
          <w:rFonts w:eastAsia="Calibri"/>
          <w:lang w:eastAsia="en-US"/>
        </w:rPr>
      </w:pPr>
      <w:r>
        <w:rPr>
          <w:rFonts w:eastAsia="Calibri"/>
          <w:lang w:eastAsia="en-US"/>
        </w:rPr>
        <w:tab/>
        <w:t>Navedeni zaključak proizlazi, osim iz činjenice što treća osoba nije dostavila tražena jamstva u obliku bankarske garancije na prvi poziv sukladno zaključku suda od 19. veljače 2018., naročito iz činjenice što treća osoba Izjavu o pristupanju dugu između ostalog bazira na „povlačenju iz blokade“ određenih vjerovnika, do kojeg bi trebalo doći nakon pravomoćnosti rješenja suda o odobrenju pristupa dugu pod uvjetom da pojedini vjerovnici budu namireni sukladno posebnim sporazumima koji se tek imaju sklopiti.</w:t>
      </w:r>
    </w:p>
    <w:p w:rsidRDefault="008C33CD" w:rsidP="008C33CD" w:rsidR="008C33CD">
      <w:pPr>
        <w:tabs>
          <w:tab w:pos="851" w:val="left"/>
        </w:tabs>
        <w:jc w:val="both"/>
        <w:rPr>
          <w:rFonts w:eastAsia="Calibri"/>
          <w:lang w:eastAsia="en-US"/>
        </w:rPr>
      </w:pPr>
      <w:r>
        <w:rPr>
          <w:rFonts w:eastAsia="Calibri"/>
          <w:lang w:eastAsia="en-US"/>
        </w:rPr>
        <w:tab/>
      </w:r>
    </w:p>
    <w:p w:rsidRDefault="008C33CD" w:rsidP="008C33CD" w:rsidR="008C33CD">
      <w:pPr>
        <w:tabs>
          <w:tab w:pos="851" w:val="left"/>
        </w:tabs>
        <w:jc w:val="both"/>
        <w:rPr>
          <w:rFonts w:eastAsia="Calibri"/>
          <w:lang w:eastAsia="en-US"/>
        </w:rPr>
      </w:pPr>
      <w:r>
        <w:rPr>
          <w:rFonts w:eastAsia="Calibri"/>
          <w:lang w:eastAsia="en-US"/>
        </w:rPr>
        <w:tab/>
        <w:t>Naime, treća osoba CONING ING d.o.o. već u samoj Izjavi o pristupanju dugu i priloženom otplatnom planu izdvaja najveće vjerovnike čiji ukupni iznos tražbina iznosi 14.682.690,02 kn (pri čemu se naglašava da iz vještačkog nalaza proizlazi da je pogrešno zbrojen iznos njihovih tražbina iz Očevidnika te isti iznosi 14.691.221,38 kn), te navodi da će ovi vjerovnici biti namireni odvojeno temeljem posebnih sporazuma. No iz priložene dokumentacije u odnosu na pojedine vjerovnike s visokim tražbinama proizlazi da se planira samo djelomično podmiriti njihove tražbine, dok bi u pretežitom dijelu nakon toga ovi vjerovnici trebali „povući svoje naloge iz blokade“.</w:t>
      </w:r>
    </w:p>
    <w:p w:rsidRDefault="008C33CD" w:rsidP="008C33CD" w:rsidR="008C33CD">
      <w:pPr>
        <w:tabs>
          <w:tab w:pos="851" w:val="left"/>
        </w:tabs>
        <w:jc w:val="both"/>
        <w:rPr>
          <w:rFonts w:eastAsia="Calibri"/>
          <w:lang w:eastAsia="en-US"/>
        </w:rPr>
      </w:pPr>
      <w:r>
        <w:rPr>
          <w:rFonts w:eastAsia="Calibri"/>
          <w:lang w:eastAsia="en-US"/>
        </w:rPr>
        <w:tab/>
      </w:r>
    </w:p>
    <w:p w:rsidRDefault="008C33CD" w:rsidP="008C33CD" w:rsidR="008C33CD">
      <w:pPr>
        <w:tabs>
          <w:tab w:pos="851" w:val="left"/>
        </w:tabs>
        <w:jc w:val="both"/>
        <w:rPr>
          <w:rFonts w:eastAsia="Calibri"/>
          <w:lang w:eastAsia="en-US"/>
        </w:rPr>
      </w:pPr>
      <w:r>
        <w:rPr>
          <w:rFonts w:eastAsia="Calibri"/>
          <w:lang w:eastAsia="en-US"/>
        </w:rPr>
        <w:tab/>
        <w:t xml:space="preserve">Tako primjerice obveza prema vjerovniku HEP </w:t>
      </w:r>
      <w:proofErr w:type="spellStart"/>
      <w:r>
        <w:rPr>
          <w:rFonts w:eastAsia="Calibri"/>
          <w:lang w:eastAsia="en-US"/>
        </w:rPr>
        <w:t>elektra</w:t>
      </w:r>
      <w:proofErr w:type="spellEnd"/>
      <w:r>
        <w:rPr>
          <w:rFonts w:eastAsia="Calibri"/>
          <w:lang w:eastAsia="en-US"/>
        </w:rPr>
        <w:t xml:space="preserve"> d.o.o. zavedena u Očevidniku Financijske agencije iznosi 921.753,41 kn (prema izračunu vještaka – tabela 2 nalaza), od čega treća osoba planira podmiriti iznos od 129.035,13 kn u roku od 20 dana od sklapanja Ugovora (koji još nije zaključen a čiji nacrt je dostavljen u spis – list 725-727), dok bi se u pogledu preostalog iznosa duga ovaj vjerovnik obvezao da u daljnjem roku od 60 dana neće podnijeti zahtjev za naplatom pred Financijskom agencijom. Jednako tako, u odnosu na vjerovnika HBOR, čija tražbina prema stečajnom dužniku  iznosi ukupno 11.389.538,80 kn planira se podmiriti iznos od 601.090,00 kn, nakon čega bi ovaj vjerovnik uz ispunjenje ostalih uvjeta taksativno navedenih u Neobvezujućem pismu namjere za povlačenje zadužnica od 12.02.2018. (list 736 spisa), povukao s naplate zadužnice s poslovnog računa stečajnog dužnika na rok od dva mjeseca. Također vjerovniku NEXE GRADNJA d.o.o. tražbina u ukupnom iznosu od 210.541,88 kn ne bi bila podmirena, već je </w:t>
      </w:r>
      <w:proofErr w:type="spellStart"/>
      <w:r>
        <w:rPr>
          <w:rFonts w:eastAsia="Calibri"/>
          <w:lang w:eastAsia="en-US"/>
        </w:rPr>
        <w:t>pristupatelj</w:t>
      </w:r>
      <w:proofErr w:type="spellEnd"/>
      <w:r>
        <w:rPr>
          <w:rFonts w:eastAsia="Calibri"/>
          <w:lang w:eastAsia="en-US"/>
        </w:rPr>
        <w:t xml:space="preserve"> dugu priložio Izjavu o povlačenju iz blokade za navedeni iznos izdanu od strane ERGASIA d.o.o. kojemu je tražbina NEXE GRADNJE d.o.o. ustupljena (listovi 706-707 spisa).</w:t>
      </w:r>
    </w:p>
    <w:p w:rsidRDefault="008C33CD" w:rsidP="008C33CD" w:rsidR="008C33CD">
      <w:pPr>
        <w:tabs>
          <w:tab w:pos="851" w:val="left"/>
        </w:tabs>
        <w:jc w:val="both"/>
        <w:rPr>
          <w:rFonts w:eastAsia="Calibri"/>
          <w:lang w:eastAsia="en-US"/>
        </w:rPr>
      </w:pPr>
      <w:r>
        <w:rPr>
          <w:rFonts w:eastAsia="Calibri"/>
          <w:lang w:eastAsia="en-US"/>
        </w:rPr>
        <w:tab/>
      </w:r>
    </w:p>
    <w:p w:rsidRDefault="008C33CD" w:rsidP="008C33CD" w:rsidR="008C33CD">
      <w:pPr>
        <w:tabs>
          <w:tab w:pos="851" w:val="left"/>
        </w:tabs>
        <w:jc w:val="both"/>
        <w:rPr>
          <w:rFonts w:eastAsia="Calibri"/>
          <w:lang w:eastAsia="en-US"/>
        </w:rPr>
      </w:pPr>
      <w:r>
        <w:rPr>
          <w:rFonts w:eastAsia="Calibri"/>
          <w:lang w:eastAsia="en-US"/>
        </w:rPr>
        <w:tab/>
        <w:t xml:space="preserve">Prema tome obveze u ukupnom iznosu od 11.790.205,96 kn prema vjerovnicima HEP </w:t>
      </w:r>
      <w:proofErr w:type="spellStart"/>
      <w:r>
        <w:rPr>
          <w:rFonts w:eastAsia="Calibri"/>
          <w:lang w:eastAsia="en-US"/>
        </w:rPr>
        <w:t>elektra</w:t>
      </w:r>
      <w:proofErr w:type="spellEnd"/>
      <w:r>
        <w:rPr>
          <w:rFonts w:eastAsia="Calibri"/>
          <w:lang w:eastAsia="en-US"/>
        </w:rPr>
        <w:t xml:space="preserve"> d.o.o., HBOR i  NEXE GRADNJA d.o.o. (sada ERGASIA d.o.o. kojoj je tražbina od strane NEXE GRADNJE d.o.o. ustupljena) bi prema predmetnoj Izjavi o pristupanju dugu i priloženom planu otplate ostale nepodmirene, te bi trebale biti „povučene iz blokade“ pod uvjetom sklapanja sporazuma. Dakle, ne radi se o tome da bi, kako stalna sudska vještakinja u svom nalazu u tabeli 1.z. prikazuje, nepokrivena razlika iznosila 1.403.672,01 kn. Taj iznos bi u najboljem slučaju ostao u blokadi nakon što se djelomično isplate a djelomično povuku iz blokade pojedine tražbine vjerovnika, no činjenica je da bi iznos tražbina od najmanje 11.790.205,96 kn ostao u realitetu nepodmiren.</w:t>
      </w:r>
    </w:p>
    <w:p w:rsidRDefault="008C33CD" w:rsidP="008C33CD" w:rsidR="008C33CD">
      <w:pPr>
        <w:tabs>
          <w:tab w:pos="851" w:val="left"/>
        </w:tabs>
        <w:jc w:val="both"/>
        <w:rPr>
          <w:rFonts w:eastAsia="Calibri"/>
          <w:lang w:eastAsia="en-US"/>
        </w:rPr>
      </w:pPr>
    </w:p>
    <w:p w:rsidRDefault="008C33CD" w:rsidP="008C33CD" w:rsidR="008C33CD">
      <w:pPr>
        <w:tabs>
          <w:tab w:pos="851" w:val="left"/>
        </w:tabs>
        <w:jc w:val="both"/>
        <w:rPr>
          <w:rFonts w:eastAsia="Calibri"/>
          <w:lang w:eastAsia="en-US"/>
        </w:rPr>
      </w:pPr>
      <w:r>
        <w:rPr>
          <w:rFonts w:eastAsia="Calibri"/>
          <w:lang w:eastAsia="en-US"/>
        </w:rPr>
        <w:tab/>
        <w:t xml:space="preserve">Navedeno nedvojbeno upućuje na zaključak da predmetna Izjava o pristupanju dugu ne zadovoljava uvjete propisane u čl. 124. st. 3. SZ-a. Prema navedenoj zakonskoj odredbi je uvjet pod kojim će sud odobriti pristupanje dugu da se </w:t>
      </w:r>
      <w:proofErr w:type="spellStart"/>
      <w:r>
        <w:rPr>
          <w:rFonts w:eastAsia="Calibri"/>
          <w:lang w:eastAsia="en-US"/>
        </w:rPr>
        <w:t>pristupatelj</w:t>
      </w:r>
      <w:proofErr w:type="spellEnd"/>
      <w:r>
        <w:rPr>
          <w:rFonts w:eastAsia="Calibri"/>
          <w:lang w:eastAsia="en-US"/>
        </w:rPr>
        <w:t xml:space="preserve"> prvenstveno obvezao da će u roku od dva mjeseca ispuniti sve dospjele obveze stečajnog dužnika, a ostale, u vrijeme pristupanja dugu već nastale obveze, kako budu dospijevale. U konkretnom slučaju </w:t>
      </w:r>
      <w:proofErr w:type="spellStart"/>
      <w:r>
        <w:rPr>
          <w:rFonts w:eastAsia="Calibri"/>
          <w:lang w:eastAsia="en-US"/>
        </w:rPr>
        <w:t>pristupatelj</w:t>
      </w:r>
      <w:proofErr w:type="spellEnd"/>
      <w:r>
        <w:rPr>
          <w:rFonts w:eastAsia="Calibri"/>
          <w:lang w:eastAsia="en-US"/>
        </w:rPr>
        <w:t xml:space="preserve"> dugu CONING ING d.o.o. se u čl. 2. Izjave o pristupanju načelno obvezao da će postupiti sukladno čl. 124. st. 3. SZ-a, odnosno  da će u propisanom roku ispuniti sve dužnikove dospjele obveze prema vjerovnicima, međutim iz analize priloženog plana otplate te priložene dokumentacije proizlazi da se strategija </w:t>
      </w:r>
      <w:proofErr w:type="spellStart"/>
      <w:r>
        <w:rPr>
          <w:rFonts w:eastAsia="Calibri"/>
          <w:lang w:eastAsia="en-US"/>
        </w:rPr>
        <w:t>pristupatelja</w:t>
      </w:r>
      <w:proofErr w:type="spellEnd"/>
      <w:r>
        <w:rPr>
          <w:rFonts w:eastAsia="Calibri"/>
          <w:lang w:eastAsia="en-US"/>
        </w:rPr>
        <w:t xml:space="preserve"> dugu temelji na deblokiranju računa stečajnog dužnika putem isplate dijela tražbina pojedinim vjerovnicima kako bi se otklonio stečajni razlog prezaduženosti, a ne postoji realni plan otplate iz kojega bi proizlazilo da će u roku od dva mjeseca od dana donošenja rješenja o odobrenju pristupanja dugu ispuniti sve dospjele obveze stečajnog dužnika.</w:t>
      </w:r>
    </w:p>
    <w:p w:rsidRDefault="008C33CD" w:rsidP="008C33CD" w:rsidR="008C33CD">
      <w:pPr>
        <w:tabs>
          <w:tab w:pos="851" w:val="left"/>
        </w:tabs>
        <w:jc w:val="both"/>
        <w:rPr>
          <w:rFonts w:eastAsia="Calibri"/>
          <w:lang w:eastAsia="en-US"/>
        </w:rPr>
      </w:pPr>
    </w:p>
    <w:p w:rsidRDefault="008C33CD" w:rsidP="008C33CD" w:rsidR="008C33CD">
      <w:pPr>
        <w:tabs>
          <w:tab w:pos="851" w:val="left"/>
        </w:tabs>
        <w:jc w:val="both"/>
        <w:rPr>
          <w:rFonts w:eastAsia="Calibri"/>
          <w:lang w:eastAsia="en-US"/>
        </w:rPr>
      </w:pPr>
      <w:r>
        <w:rPr>
          <w:rFonts w:eastAsia="Calibri"/>
          <w:lang w:eastAsia="en-US"/>
        </w:rPr>
        <w:tab/>
        <w:t xml:space="preserve">Ovdje je potrebno napomenuti da je prilikom analize predmetne Izjave ovaj sud vodio računa i o svim navodima </w:t>
      </w:r>
      <w:proofErr w:type="spellStart"/>
      <w:r>
        <w:rPr>
          <w:rFonts w:eastAsia="Calibri"/>
          <w:lang w:eastAsia="en-US"/>
        </w:rPr>
        <w:t>pristupatelja</w:t>
      </w:r>
      <w:proofErr w:type="spellEnd"/>
      <w:r>
        <w:rPr>
          <w:rFonts w:eastAsia="Calibri"/>
          <w:lang w:eastAsia="en-US"/>
        </w:rPr>
        <w:t xml:space="preserve"> dugu, naročito iz podnesaka od 11. lipnja 2018. i 15. lipnja 2018. U podnesku od 11. lipnja 2018. </w:t>
      </w:r>
      <w:proofErr w:type="spellStart"/>
      <w:r>
        <w:rPr>
          <w:rFonts w:eastAsia="Calibri"/>
          <w:lang w:eastAsia="en-US"/>
        </w:rPr>
        <w:t>pristupatelj</w:t>
      </w:r>
      <w:proofErr w:type="spellEnd"/>
      <w:r>
        <w:rPr>
          <w:rFonts w:eastAsia="Calibri"/>
          <w:lang w:eastAsia="en-US"/>
        </w:rPr>
        <w:t xml:space="preserve"> dugu dodatno obrazlaže način podmirenja tražbina pojedinih vjerovnika za koje prethodno nije dostavljen ugovor o odvojenom namirenju (G.T.F. d.o.o., TBB-REV d.o.o., te Zagorje-</w:t>
      </w:r>
      <w:proofErr w:type="spellStart"/>
      <w:r>
        <w:rPr>
          <w:rFonts w:eastAsia="Calibri"/>
          <w:lang w:eastAsia="en-US"/>
        </w:rPr>
        <w:t>tehnobeton</w:t>
      </w:r>
      <w:proofErr w:type="spellEnd"/>
      <w:r>
        <w:rPr>
          <w:rFonts w:eastAsia="Calibri"/>
          <w:lang w:eastAsia="en-US"/>
        </w:rPr>
        <w:t xml:space="preserve"> d.d.), dok u odnosu na planove otplate uvjetno povučenih tražbina ističe da će biti doneseni naknadno u dogovoru s vjerovnicima. Iz navedenoga opet proizlazi da nema govora o tome da bi u roku od dva mjeseca </w:t>
      </w:r>
      <w:proofErr w:type="spellStart"/>
      <w:r>
        <w:rPr>
          <w:rFonts w:eastAsia="Calibri"/>
          <w:lang w:eastAsia="en-US"/>
        </w:rPr>
        <w:t>pristupatelj</w:t>
      </w:r>
      <w:proofErr w:type="spellEnd"/>
      <w:r>
        <w:rPr>
          <w:rFonts w:eastAsia="Calibri"/>
          <w:lang w:eastAsia="en-US"/>
        </w:rPr>
        <w:t xml:space="preserve"> dugu podmirio sve dospjele obveze stečajnog dužnika. Niti dodatni iznos zajma koji bi se temeljem priloženog Aneksa 1. Ugovora o zajmu od 13. lipnja 2018. trebao isplatiti </w:t>
      </w:r>
      <w:proofErr w:type="spellStart"/>
      <w:r>
        <w:rPr>
          <w:rFonts w:eastAsia="Calibri"/>
          <w:lang w:eastAsia="en-US"/>
        </w:rPr>
        <w:t>pristupatelju</w:t>
      </w:r>
      <w:proofErr w:type="spellEnd"/>
      <w:r>
        <w:rPr>
          <w:rFonts w:eastAsia="Calibri"/>
          <w:lang w:eastAsia="en-US"/>
        </w:rPr>
        <w:t xml:space="preserve"> dugu od strane Prime </w:t>
      </w:r>
      <w:proofErr w:type="spellStart"/>
      <w:r>
        <w:rPr>
          <w:rFonts w:eastAsia="Calibri"/>
          <w:lang w:eastAsia="en-US"/>
        </w:rPr>
        <w:t>Tourist</w:t>
      </w:r>
      <w:proofErr w:type="spellEnd"/>
      <w:r>
        <w:rPr>
          <w:rFonts w:eastAsia="Calibri"/>
          <w:lang w:eastAsia="en-US"/>
        </w:rPr>
        <w:t xml:space="preserve"> </w:t>
      </w:r>
      <w:proofErr w:type="spellStart"/>
      <w:r>
        <w:rPr>
          <w:rFonts w:eastAsia="Calibri"/>
          <w:lang w:eastAsia="en-US"/>
        </w:rPr>
        <w:t>Resorts</w:t>
      </w:r>
      <w:proofErr w:type="spellEnd"/>
      <w:r>
        <w:rPr>
          <w:rFonts w:eastAsia="Calibri"/>
          <w:lang w:eastAsia="en-US"/>
        </w:rPr>
        <w:t xml:space="preserve"> </w:t>
      </w:r>
      <w:proofErr w:type="spellStart"/>
      <w:r>
        <w:rPr>
          <w:rFonts w:eastAsia="Calibri"/>
          <w:lang w:eastAsia="en-US"/>
        </w:rPr>
        <w:t>a.s</w:t>
      </w:r>
      <w:proofErr w:type="spellEnd"/>
      <w:r>
        <w:rPr>
          <w:rFonts w:eastAsia="Calibri"/>
          <w:lang w:eastAsia="en-US"/>
        </w:rPr>
        <w:t xml:space="preserve">. iz Bratislave, ne bi (s obzirom na navode </w:t>
      </w:r>
      <w:proofErr w:type="spellStart"/>
      <w:r>
        <w:rPr>
          <w:rFonts w:eastAsia="Calibri"/>
          <w:lang w:eastAsia="en-US"/>
        </w:rPr>
        <w:t>pristupatelja</w:t>
      </w:r>
      <w:proofErr w:type="spellEnd"/>
      <w:r>
        <w:rPr>
          <w:rFonts w:eastAsia="Calibri"/>
          <w:lang w:eastAsia="en-US"/>
        </w:rPr>
        <w:t xml:space="preserve"> dugu iz podneska od 15. lipnja 2018.) bio iskorišten za podmirenje gore navedenih uvjetno povučenih tražbina vjerovnika.</w:t>
      </w:r>
    </w:p>
    <w:p w:rsidRDefault="008C33CD" w:rsidP="008C33CD" w:rsidR="008C33CD">
      <w:pPr>
        <w:tabs>
          <w:tab w:pos="851" w:val="left"/>
        </w:tabs>
        <w:jc w:val="both"/>
        <w:rPr>
          <w:rFonts w:eastAsia="Calibri"/>
          <w:lang w:eastAsia="en-US"/>
        </w:rPr>
      </w:pPr>
    </w:p>
    <w:p w:rsidRDefault="008C33CD" w:rsidP="008C33CD" w:rsidR="008C33CD" w:rsidRPr="008C33CD">
      <w:pPr>
        <w:tabs>
          <w:tab w:pos="851" w:val="left"/>
        </w:tabs>
        <w:jc w:val="both"/>
        <w:rPr>
          <w:rFonts w:eastAsia="Calibri"/>
          <w:sz w:val="22"/>
          <w:szCs w:val="22"/>
          <w:lang w:eastAsia="en-US"/>
        </w:rPr>
      </w:pPr>
      <w:r>
        <w:rPr>
          <w:rFonts w:eastAsia="Calibri"/>
          <w:lang w:eastAsia="en-US"/>
        </w:rPr>
        <w:tab/>
      </w:r>
      <w:r w:rsidRPr="008C33CD">
        <w:rPr>
          <w:rFonts w:eastAsia="Calibri"/>
          <w:sz w:val="22"/>
          <w:szCs w:val="22"/>
          <w:lang w:eastAsia="en-US"/>
        </w:rPr>
        <w:t>Zbog svega iznijetoga ovaj sud je zaključio da nema uvjeta za odobrenje Izjave o pristupanju dugu treće osobe CONING ING d.o.o. od 15. veljače 2018.</w:t>
      </w:r>
      <w:r w:rsidRPr="008C33CD">
        <w:rPr>
          <w:rFonts w:eastAsia="Calibri"/>
          <w:sz w:val="22"/>
          <w:szCs w:val="22"/>
          <w:lang w:eastAsia="en-US"/>
        </w:rPr>
        <w:tab/>
      </w:r>
    </w:p>
    <w:p w:rsidRDefault="008C33CD" w:rsidP="008C33CD" w:rsidR="008C33CD" w:rsidRPr="008C33CD">
      <w:pPr>
        <w:tabs>
          <w:tab w:pos="851" w:val="left"/>
        </w:tabs>
        <w:jc w:val="both"/>
        <w:rPr>
          <w:rFonts w:eastAsia="Calibri"/>
          <w:sz w:val="22"/>
          <w:szCs w:val="22"/>
          <w:lang w:eastAsia="en-US"/>
        </w:rPr>
      </w:pPr>
    </w:p>
    <w:p w:rsidRDefault="008C33CD" w:rsidP="008C33CD" w:rsidR="008C33CD" w:rsidRPr="008C33CD">
      <w:pPr>
        <w:tabs>
          <w:tab w:pos="851" w:val="left"/>
        </w:tabs>
        <w:jc w:val="both"/>
        <w:rPr>
          <w:rFonts w:eastAsia="Calibri"/>
          <w:sz w:val="22"/>
          <w:szCs w:val="22"/>
          <w:lang w:eastAsia="en-US"/>
        </w:rPr>
      </w:pPr>
      <w:r w:rsidRPr="008C33CD">
        <w:rPr>
          <w:rFonts w:eastAsia="Calibri"/>
          <w:sz w:val="22"/>
          <w:szCs w:val="22"/>
          <w:lang w:eastAsia="en-US"/>
        </w:rPr>
        <w:tab/>
        <w:t>Temeljem svega navedenoga, kako je tijekom prethodnog postupka utvrđeno kod dužnika postojanje stečajnog razloga nesposobnosti za plaćanje (čl. 6. st. 1. i 2. SZ-a), kako je gore obrazloženo, a detaljnom analizom Izjave o pristupanju dugu utvrđeno je da nema uvjeta za njezinim odobrenjem, valjalo je donijeti ovo rješenje o otvaranju stečajnog postupka nad dužnikom CONING d.d. Varaždin. Istovremeno je zakazano ispitno i izvještajno ročište (čl. 130. SZ-a), te su temeljem čl. 129. pozvani vjerovnici prijaviti svoje tražbine, odnosno o istima obavijestiti stečajnog upravitelja (</w:t>
      </w:r>
      <w:proofErr w:type="spellStart"/>
      <w:r w:rsidRPr="008C33CD">
        <w:rPr>
          <w:rFonts w:eastAsia="Calibri"/>
          <w:sz w:val="22"/>
          <w:szCs w:val="22"/>
          <w:lang w:eastAsia="en-US"/>
        </w:rPr>
        <w:t>razlučni</w:t>
      </w:r>
      <w:proofErr w:type="spellEnd"/>
      <w:r w:rsidRPr="008C33CD">
        <w:rPr>
          <w:rFonts w:eastAsia="Calibri"/>
          <w:sz w:val="22"/>
          <w:szCs w:val="22"/>
          <w:lang w:eastAsia="en-US"/>
        </w:rPr>
        <w:t xml:space="preserve"> i izlučni vjerovnici), te su dužnikovi dužnici pozvani svoje obveze bez odgode ispunjavati stečajnom upravitelju za stečajnog dužnika.</w:t>
      </w:r>
    </w:p>
    <w:p w:rsidRDefault="008C33CD" w:rsidP="008C33CD" w:rsidR="008C33CD" w:rsidRPr="008C33CD">
      <w:pPr>
        <w:tabs>
          <w:tab w:pos="851" w:val="left"/>
        </w:tabs>
        <w:jc w:val="both"/>
        <w:rPr>
          <w:rFonts w:eastAsia="Calibri"/>
          <w:sz w:val="22"/>
          <w:szCs w:val="22"/>
          <w:lang w:eastAsia="en-US"/>
        </w:rPr>
      </w:pPr>
    </w:p>
    <w:p w:rsidRDefault="008C33CD" w:rsidP="008C33CD" w:rsidR="008C33CD" w:rsidRPr="008C33CD">
      <w:pPr>
        <w:tabs>
          <w:tab w:pos="851" w:val="left"/>
        </w:tabs>
        <w:jc w:val="both"/>
        <w:rPr>
          <w:rFonts w:eastAsia="Calibri"/>
          <w:sz w:val="22"/>
          <w:szCs w:val="22"/>
          <w:lang w:eastAsia="en-US"/>
        </w:rPr>
      </w:pPr>
      <w:r w:rsidRPr="008C33CD">
        <w:rPr>
          <w:rFonts w:eastAsia="Calibri"/>
          <w:sz w:val="22"/>
          <w:szCs w:val="22"/>
          <w:lang w:eastAsia="en-US"/>
        </w:rPr>
        <w:tab/>
        <w:t xml:space="preserve">Za stečajnog upravitelja sud je imenovao dosadašnju privremenu stečajnu upraviteljicu Lidiju </w:t>
      </w:r>
      <w:proofErr w:type="spellStart"/>
      <w:r w:rsidRPr="008C33CD">
        <w:rPr>
          <w:rFonts w:eastAsia="Calibri"/>
          <w:sz w:val="22"/>
          <w:szCs w:val="22"/>
          <w:lang w:eastAsia="en-US"/>
        </w:rPr>
        <w:t>Lesar</w:t>
      </w:r>
      <w:proofErr w:type="spellEnd"/>
      <w:r w:rsidRPr="008C33CD">
        <w:rPr>
          <w:rFonts w:eastAsia="Calibri"/>
          <w:sz w:val="22"/>
          <w:szCs w:val="22"/>
          <w:lang w:eastAsia="en-US"/>
        </w:rPr>
        <w:t xml:space="preserve"> iz Čakovca, primjenom čl. 85. st. 2. SZ-a.</w:t>
      </w:r>
    </w:p>
    <w:p w:rsidRDefault="008C33CD" w:rsidP="008C33CD" w:rsidR="008C33CD" w:rsidRPr="008C33CD">
      <w:pPr>
        <w:tabs>
          <w:tab w:pos="851" w:val="left"/>
        </w:tabs>
        <w:jc w:val="both"/>
        <w:rPr>
          <w:rFonts w:eastAsia="Calibri"/>
          <w:sz w:val="22"/>
          <w:szCs w:val="22"/>
          <w:lang w:eastAsia="en-US"/>
        </w:rPr>
      </w:pPr>
    </w:p>
    <w:p w:rsidRDefault="008C33CD" w:rsidP="008C33CD" w:rsidR="008C33CD">
      <w:pPr>
        <w:tabs>
          <w:tab w:pos="851" w:val="left"/>
        </w:tabs>
        <w:jc w:val="both"/>
        <w:rPr>
          <w:rFonts w:eastAsia="Calibri"/>
          <w:lang w:eastAsia="en-US"/>
        </w:rPr>
      </w:pPr>
      <w:r w:rsidRPr="008C33CD">
        <w:rPr>
          <w:rFonts w:eastAsia="Calibri"/>
          <w:sz w:val="22"/>
          <w:szCs w:val="22"/>
          <w:lang w:eastAsia="en-US"/>
        </w:rPr>
        <w:tab/>
        <w:t>Također, sukladno odredbi čl. 129. st. 2. i st. 3. SZ-a određeno je pod točkama 7), 8) i 9) izreke ovog rješenja da se ovo rješenje o otvaranju stečajnog postupka upiše u sudski registar, zatim u zemljišne knjige (u odnosu na nekretnine za koje je dužnik dostavio podatke), kao i da se objavi na mrežnoj stranici e-Oglasna</w:t>
      </w:r>
      <w:r>
        <w:rPr>
          <w:rFonts w:eastAsia="Calibri"/>
          <w:lang w:eastAsia="en-US"/>
        </w:rPr>
        <w:t xml:space="preserve"> ploča sudova s danom kad je doneseno.</w:t>
      </w:r>
    </w:p>
    <w:p w:rsidRDefault="008C33CD" w:rsidP="008C33CD" w:rsidR="008C33CD">
      <w:pPr>
        <w:jc w:val="center"/>
        <w:rPr>
          <w:rFonts w:eastAsia="Calibri"/>
          <w:lang w:eastAsia="en-US"/>
        </w:rPr>
      </w:pPr>
    </w:p>
    <w:p w:rsidRDefault="008C33CD" w:rsidP="008C33CD" w:rsidR="008C33CD">
      <w:pPr>
        <w:jc w:val="center"/>
        <w:rPr>
          <w:rFonts w:eastAsia="Calibri"/>
          <w:lang w:eastAsia="en-US"/>
        </w:rPr>
      </w:pPr>
      <w:r>
        <w:rPr>
          <w:rFonts w:eastAsia="Calibri"/>
          <w:lang w:eastAsia="en-US"/>
        </w:rPr>
        <w:t>U Varaždinu 19. lipnja 2018.</w:t>
      </w:r>
    </w:p>
    <w:p w:rsidRDefault="008C33CD" w:rsidP="008C33CD" w:rsidR="008C33CD">
      <w:pPr>
        <w:tabs>
          <w:tab w:pos="3390" w:val="left"/>
        </w:tabs>
        <w:rPr>
          <w:rFonts w:eastAsia="Calibri"/>
          <w:lang w:eastAsia="en-US"/>
        </w:rPr>
      </w:pPr>
      <w:r>
        <w:rPr>
          <w:rFonts w:eastAsia="Calibri"/>
          <w:lang w:eastAsia="en-US"/>
        </w:rPr>
        <w:tab/>
      </w:r>
    </w:p>
    <w:p w:rsidRDefault="008C33CD" w:rsidP="008C33CD" w:rsidR="008C33CD">
      <w:pPr>
        <w:jc w:val="both"/>
        <w:rPr>
          <w:rFonts w:eastAsia="Calibri"/>
          <w:lang w:eastAsia="en-US"/>
        </w:rPr>
      </w:pP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t xml:space="preserve">             Sudac:</w:t>
      </w:r>
    </w:p>
    <w:p w:rsidRDefault="008C33CD" w:rsidP="008C33CD" w:rsidR="008C33CD">
      <w:pPr>
        <w:jc w:val="both"/>
        <w:rPr>
          <w:rFonts w:eastAsia="Calibri"/>
          <w:lang w:eastAsia="en-US"/>
        </w:rPr>
      </w:pP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t>Marija Levanić-Škerbić</w:t>
      </w:r>
      <w:r>
        <w:rPr>
          <w:rFonts w:eastAsia="Calibri"/>
          <w:lang w:eastAsia="en-US"/>
        </w:rPr>
        <w:t xml:space="preserve">,v. r. </w:t>
      </w:r>
    </w:p>
    <w:p w:rsidRDefault="008C33CD" w:rsidP="008C33CD" w:rsidR="008C33CD">
      <w:pPr>
        <w:jc w:val="both"/>
        <w:rPr>
          <w:rFonts w:eastAsia="Calibri"/>
          <w:lang w:eastAsia="en-US"/>
        </w:rPr>
      </w:pPr>
    </w:p>
    <w:p w:rsidRDefault="008C33CD" w:rsidP="008C33CD" w:rsidR="008C33CD">
      <w:pPr>
        <w:jc w:val="both"/>
        <w:rPr>
          <w:rFonts w:eastAsia="Calibri"/>
          <w:lang w:eastAsia="en-US"/>
        </w:rPr>
      </w:pP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t xml:space="preserve">Za točnost </w:t>
      </w:r>
      <w:proofErr w:type="spellStart"/>
      <w:r>
        <w:rPr>
          <w:rFonts w:eastAsia="Calibri"/>
          <w:lang w:eastAsia="en-US"/>
        </w:rPr>
        <w:t>otpravka</w:t>
      </w:r>
      <w:proofErr w:type="spellEnd"/>
      <w:r>
        <w:rPr>
          <w:rFonts w:eastAsia="Calibri"/>
          <w:lang w:eastAsia="en-US"/>
        </w:rPr>
        <w:t>-ovlašteni službenik:</w:t>
      </w:r>
    </w:p>
    <w:p w:rsidRDefault="008C33CD" w:rsidP="008C33CD" w:rsidR="008C33CD">
      <w:pPr>
        <w:jc w:val="both"/>
        <w:rPr>
          <w:rFonts w:eastAsia="Calibri"/>
          <w:lang w:eastAsia="en-US"/>
        </w:rPr>
      </w:pPr>
    </w:p>
    <w:p w:rsidRDefault="008C33CD" w:rsidP="008C33CD" w:rsidR="008C33CD" w:rsidRPr="008C33CD">
      <w:pPr>
        <w:jc w:val="both"/>
        <w:rPr>
          <w:rFonts w:eastAsia="Calibri"/>
          <w:sz w:val="22"/>
          <w:szCs w:val="22"/>
          <w:lang w:eastAsia="en-US"/>
        </w:rPr>
      </w:pPr>
      <w:r w:rsidRPr="008C33CD">
        <w:rPr>
          <w:rFonts w:eastAsia="Calibri"/>
          <w:sz w:val="22"/>
          <w:szCs w:val="22"/>
          <w:lang w:eastAsia="en-US"/>
        </w:rPr>
        <w:tab/>
      </w:r>
      <w:r w:rsidRPr="008C33CD">
        <w:rPr>
          <w:rFonts w:eastAsia="Calibri"/>
          <w:sz w:val="22"/>
          <w:szCs w:val="22"/>
          <w:lang w:eastAsia="en-US"/>
        </w:rPr>
        <w:tab/>
      </w:r>
      <w:r w:rsidRPr="008C33CD">
        <w:rPr>
          <w:rFonts w:eastAsia="Calibri"/>
          <w:sz w:val="22"/>
          <w:szCs w:val="22"/>
          <w:lang w:eastAsia="en-US"/>
        </w:rPr>
        <w:tab/>
      </w:r>
      <w:r w:rsidRPr="008C33CD">
        <w:rPr>
          <w:rFonts w:eastAsia="Calibri"/>
          <w:sz w:val="22"/>
          <w:szCs w:val="22"/>
          <w:lang w:eastAsia="en-US"/>
        </w:rPr>
        <w:tab/>
      </w:r>
      <w:r w:rsidRPr="008C33CD">
        <w:rPr>
          <w:rFonts w:eastAsia="Calibri"/>
          <w:sz w:val="22"/>
          <w:szCs w:val="22"/>
          <w:lang w:eastAsia="en-US"/>
        </w:rPr>
        <w:tab/>
      </w:r>
      <w:r w:rsidRPr="008C33CD">
        <w:rPr>
          <w:rFonts w:eastAsia="Calibri"/>
          <w:sz w:val="22"/>
          <w:szCs w:val="22"/>
          <w:lang w:eastAsia="en-US"/>
        </w:rPr>
        <w:tab/>
      </w:r>
      <w:r w:rsidRPr="008C33CD">
        <w:rPr>
          <w:rFonts w:eastAsia="Calibri"/>
          <w:sz w:val="22"/>
          <w:szCs w:val="22"/>
          <w:lang w:eastAsia="en-US"/>
        </w:rPr>
        <w:tab/>
      </w:r>
    </w:p>
    <w:p w:rsidRDefault="008C33CD" w:rsidP="008C33CD" w:rsidR="008C33CD" w:rsidRPr="008C33CD">
      <w:pPr>
        <w:jc w:val="both"/>
        <w:rPr>
          <w:rFonts w:eastAsia="Calibri"/>
          <w:sz w:val="22"/>
          <w:szCs w:val="22"/>
          <w:lang w:eastAsia="en-US"/>
        </w:rPr>
      </w:pPr>
      <w:r w:rsidRPr="008C33CD">
        <w:rPr>
          <w:rFonts w:eastAsia="Calibri"/>
          <w:sz w:val="22"/>
          <w:szCs w:val="22"/>
          <w:lang w:eastAsia="en-US"/>
        </w:rPr>
        <w:t>Uputa  o  pravnom  lijeku:</w:t>
      </w:r>
    </w:p>
    <w:p w:rsidRDefault="008C33CD" w:rsidP="008C33CD" w:rsidR="008C33CD" w:rsidRPr="008C33CD">
      <w:pPr>
        <w:jc w:val="both"/>
        <w:rPr>
          <w:rFonts w:eastAsia="Calibri"/>
          <w:sz w:val="22"/>
          <w:szCs w:val="22"/>
          <w:lang w:eastAsia="en-US"/>
        </w:rPr>
      </w:pPr>
      <w:r w:rsidRPr="008C33CD">
        <w:rPr>
          <w:rFonts w:eastAsia="Calibri"/>
          <w:sz w:val="22"/>
          <w:szCs w:val="22"/>
          <w:lang w:eastAsia="en-US"/>
        </w:rPr>
        <w:t xml:space="preserve">Protiv rješenja o otvaranju stečajnog postupka pravo na žalbu ima osoba ovlaštena za zastupanje dužnika po zakonu do dana nastupanja pravnih posljedica otvaranja stečajnoga postupka, a ista se podnosi pisano u roku od 8 dana od objave na mrežnoj stranici e-Oglasna ploča suda, u četiri (4) primjerka putem ovoga suda, a o istoj odlučuje Visoki trgovački sud Republike Hrvatske u Zagrebu (čl. 128. st. 8. SZ-a). </w:t>
      </w:r>
    </w:p>
    <w:p w:rsidRDefault="008C33CD" w:rsidP="008C33CD" w:rsidR="008C33CD" w:rsidRPr="008C33CD">
      <w:pPr>
        <w:jc w:val="both"/>
        <w:rPr>
          <w:rFonts w:eastAsia="Calibri"/>
          <w:sz w:val="22"/>
          <w:szCs w:val="22"/>
          <w:lang w:eastAsia="en-US"/>
        </w:rPr>
      </w:pPr>
    </w:p>
    <w:p w:rsidRDefault="008C33CD" w:rsidP="008C33CD" w:rsidR="008C33CD" w:rsidRPr="008C33CD">
      <w:pPr>
        <w:jc w:val="both"/>
        <w:rPr>
          <w:rFonts w:eastAsia="Calibri"/>
          <w:sz w:val="22"/>
          <w:szCs w:val="22"/>
          <w:lang w:eastAsia="en-US"/>
        </w:rPr>
      </w:pPr>
    </w:p>
    <w:p w:rsidRDefault="008C33CD" w:rsidP="008C33CD" w:rsidR="008C33CD" w:rsidRPr="008C33CD">
      <w:pPr>
        <w:jc w:val="both"/>
        <w:rPr>
          <w:rFonts w:eastAsia="Calibri"/>
          <w:sz w:val="22"/>
          <w:szCs w:val="22"/>
          <w:lang w:eastAsia="en-US"/>
        </w:rPr>
      </w:pPr>
      <w:r w:rsidRPr="008C33CD">
        <w:rPr>
          <w:rFonts w:eastAsia="Calibri"/>
          <w:sz w:val="22"/>
          <w:szCs w:val="22"/>
          <w:lang w:eastAsia="en-US"/>
        </w:rPr>
        <w:t>DNA:</w:t>
      </w:r>
    </w:p>
    <w:p w:rsidRDefault="008C33CD" w:rsidP="008C33CD" w:rsidR="008C33CD" w:rsidRPr="008C33CD">
      <w:pPr>
        <w:jc w:val="both"/>
        <w:rPr>
          <w:rFonts w:eastAsia="Calibri"/>
          <w:sz w:val="22"/>
          <w:szCs w:val="22"/>
          <w:lang w:eastAsia="en-US"/>
        </w:rPr>
      </w:pPr>
    </w:p>
    <w:p w:rsidRDefault="008C33CD" w:rsidP="008C33CD" w:rsidR="008C33CD" w:rsidRPr="008C33CD">
      <w:pPr>
        <w:numPr>
          <w:ilvl w:val="0"/>
          <w:numId w:val="49"/>
        </w:numPr>
        <w:spacing w:after="240"/>
        <w:contextualSpacing/>
        <w:jc w:val="both"/>
        <w:rPr>
          <w:rFonts w:eastAsia="Calibri"/>
          <w:sz w:val="22"/>
          <w:szCs w:val="22"/>
          <w:lang w:eastAsia="en-US"/>
        </w:rPr>
      </w:pPr>
      <w:r w:rsidRPr="008C33CD">
        <w:rPr>
          <w:rFonts w:eastAsia="Calibri"/>
          <w:sz w:val="22"/>
          <w:szCs w:val="22"/>
          <w:lang w:eastAsia="en-US"/>
        </w:rPr>
        <w:t>Predlagatelj FINANCIJSKA AGENCIJA, Regionalni centar Zagreb, Podružnica Varaždin, Augusta Cesarca br. 2,</w:t>
      </w:r>
    </w:p>
    <w:p w:rsidRDefault="008C33CD" w:rsidP="008C33CD" w:rsidR="008C33CD" w:rsidRPr="008C33CD">
      <w:pPr>
        <w:numPr>
          <w:ilvl w:val="0"/>
          <w:numId w:val="49"/>
        </w:numPr>
        <w:spacing w:after="240"/>
        <w:contextualSpacing/>
        <w:jc w:val="both"/>
        <w:rPr>
          <w:rFonts w:eastAsia="Calibri"/>
          <w:sz w:val="22"/>
          <w:szCs w:val="22"/>
          <w:lang w:eastAsia="en-US"/>
        </w:rPr>
      </w:pPr>
      <w:r w:rsidRPr="008C33CD">
        <w:rPr>
          <w:rFonts w:eastAsia="Calibri"/>
          <w:sz w:val="22"/>
          <w:szCs w:val="22"/>
          <w:lang w:eastAsia="en-US"/>
        </w:rPr>
        <w:t xml:space="preserve">za dužnika- OD Jelić, Čavlina </w:t>
      </w:r>
      <w:proofErr w:type="spellStart"/>
      <w:r w:rsidRPr="008C33CD">
        <w:rPr>
          <w:rFonts w:eastAsia="Calibri"/>
          <w:sz w:val="22"/>
          <w:szCs w:val="22"/>
          <w:lang w:eastAsia="en-US"/>
        </w:rPr>
        <w:t>Zrinšćak</w:t>
      </w:r>
      <w:proofErr w:type="spellEnd"/>
      <w:r w:rsidRPr="008C33CD">
        <w:rPr>
          <w:rFonts w:eastAsia="Calibri"/>
          <w:sz w:val="22"/>
          <w:szCs w:val="22"/>
          <w:lang w:eastAsia="en-US"/>
        </w:rPr>
        <w:t xml:space="preserve"> i </w:t>
      </w:r>
      <w:proofErr w:type="spellStart"/>
      <w:r w:rsidRPr="008C33CD">
        <w:rPr>
          <w:rFonts w:eastAsia="Calibri"/>
          <w:sz w:val="22"/>
          <w:szCs w:val="22"/>
          <w:lang w:eastAsia="en-US"/>
        </w:rPr>
        <w:t>Saredelić</w:t>
      </w:r>
      <w:proofErr w:type="spellEnd"/>
      <w:r w:rsidRPr="008C33CD">
        <w:rPr>
          <w:rFonts w:eastAsia="Calibri"/>
          <w:sz w:val="22"/>
          <w:szCs w:val="22"/>
          <w:lang w:eastAsia="en-US"/>
        </w:rPr>
        <w:t xml:space="preserve"> d.o.o. Zagreb, Katančićeva 3,</w:t>
      </w:r>
    </w:p>
    <w:p w:rsidRDefault="008C33CD" w:rsidP="008C33CD" w:rsidR="008C33CD" w:rsidRPr="008C33CD">
      <w:pPr>
        <w:numPr>
          <w:ilvl w:val="0"/>
          <w:numId w:val="49"/>
        </w:numPr>
        <w:spacing w:after="240"/>
        <w:contextualSpacing/>
        <w:jc w:val="both"/>
        <w:rPr>
          <w:rFonts w:eastAsia="Calibri"/>
          <w:sz w:val="22"/>
          <w:szCs w:val="22"/>
          <w:lang w:eastAsia="en-US"/>
        </w:rPr>
      </w:pPr>
      <w:r w:rsidRPr="008C33CD">
        <w:rPr>
          <w:rFonts w:eastAsia="Calibri"/>
          <w:sz w:val="22"/>
          <w:szCs w:val="22"/>
          <w:lang w:eastAsia="en-US"/>
        </w:rPr>
        <w:t xml:space="preserve">osoba ovlaštena za zastupanje dužnika po zakonu – Vatroslav Vrdoljak, </w:t>
      </w:r>
      <w:proofErr w:type="spellStart"/>
      <w:r w:rsidRPr="008C33CD">
        <w:rPr>
          <w:rFonts w:eastAsia="Calibri"/>
          <w:sz w:val="22"/>
          <w:szCs w:val="22"/>
          <w:lang w:eastAsia="en-US"/>
        </w:rPr>
        <w:t>Strmec</w:t>
      </w:r>
      <w:proofErr w:type="spellEnd"/>
      <w:r w:rsidRPr="008C33CD">
        <w:rPr>
          <w:rFonts w:eastAsia="Calibri"/>
          <w:sz w:val="22"/>
          <w:szCs w:val="22"/>
          <w:lang w:eastAsia="en-US"/>
        </w:rPr>
        <w:t>, Sviba 7,</w:t>
      </w:r>
    </w:p>
    <w:p w:rsidRDefault="008C33CD" w:rsidP="008C33CD" w:rsidR="008C33CD" w:rsidRPr="008C33CD">
      <w:pPr>
        <w:numPr>
          <w:ilvl w:val="0"/>
          <w:numId w:val="49"/>
        </w:numPr>
        <w:spacing w:after="240"/>
        <w:contextualSpacing/>
        <w:jc w:val="both"/>
        <w:rPr>
          <w:rFonts w:eastAsia="Calibri"/>
          <w:sz w:val="22"/>
          <w:szCs w:val="22"/>
          <w:lang w:eastAsia="en-US"/>
        </w:rPr>
      </w:pPr>
      <w:r w:rsidRPr="008C33CD">
        <w:rPr>
          <w:rFonts w:eastAsia="Calibri"/>
          <w:sz w:val="22"/>
          <w:szCs w:val="22"/>
          <w:lang w:eastAsia="en-US"/>
        </w:rPr>
        <w:t xml:space="preserve">stečajni upravitelj- Lidija </w:t>
      </w:r>
      <w:proofErr w:type="spellStart"/>
      <w:r w:rsidRPr="008C33CD">
        <w:rPr>
          <w:rFonts w:eastAsia="Calibri"/>
          <w:sz w:val="22"/>
          <w:szCs w:val="22"/>
          <w:lang w:eastAsia="en-US"/>
        </w:rPr>
        <w:t>Lesar</w:t>
      </w:r>
      <w:proofErr w:type="spellEnd"/>
      <w:r w:rsidRPr="008C33CD">
        <w:rPr>
          <w:rFonts w:eastAsia="Calibri"/>
          <w:sz w:val="22"/>
          <w:szCs w:val="22"/>
          <w:lang w:eastAsia="en-US"/>
        </w:rPr>
        <w:t xml:space="preserve"> iz Čakovca, Travnička 26,</w:t>
      </w:r>
    </w:p>
    <w:p w:rsidRDefault="008C33CD" w:rsidP="008C33CD" w:rsidR="008C33CD" w:rsidRPr="008C33CD">
      <w:pPr>
        <w:numPr>
          <w:ilvl w:val="0"/>
          <w:numId w:val="49"/>
        </w:numPr>
        <w:spacing w:after="240"/>
        <w:contextualSpacing/>
        <w:jc w:val="both"/>
        <w:rPr>
          <w:rFonts w:eastAsia="Calibri"/>
          <w:sz w:val="22"/>
          <w:szCs w:val="22"/>
          <w:lang w:eastAsia="en-US"/>
        </w:rPr>
      </w:pPr>
      <w:r w:rsidRPr="008C33CD">
        <w:rPr>
          <w:rFonts w:eastAsia="Calibri"/>
          <w:sz w:val="22"/>
          <w:szCs w:val="22"/>
          <w:lang w:eastAsia="en-US"/>
        </w:rPr>
        <w:t>CONING  ING d.o.o. Varaždin, A. Šenoe 4-6,</w:t>
      </w:r>
    </w:p>
    <w:p w:rsidRDefault="008C33CD" w:rsidP="008C33CD" w:rsidR="008C33CD" w:rsidRPr="008C33CD">
      <w:pPr>
        <w:numPr>
          <w:ilvl w:val="0"/>
          <w:numId w:val="49"/>
        </w:numPr>
        <w:spacing w:after="240"/>
        <w:contextualSpacing/>
        <w:jc w:val="both"/>
        <w:rPr>
          <w:rFonts w:eastAsia="Calibri"/>
          <w:sz w:val="22"/>
          <w:szCs w:val="22"/>
          <w:lang w:eastAsia="en-US"/>
        </w:rPr>
      </w:pPr>
      <w:r w:rsidRPr="008C33CD">
        <w:rPr>
          <w:rFonts w:eastAsia="Calibri"/>
          <w:sz w:val="22"/>
          <w:szCs w:val="22"/>
          <w:lang w:eastAsia="en-US"/>
        </w:rPr>
        <w:t>Republika Hrvatska, Ministarstvo financija, Porezna uprava, Područni ured Varaždin</w:t>
      </w:r>
    </w:p>
    <w:p w:rsidRDefault="008C33CD" w:rsidP="008C33CD" w:rsidR="008C33CD" w:rsidRPr="008C33CD">
      <w:pPr>
        <w:numPr>
          <w:ilvl w:val="0"/>
          <w:numId w:val="49"/>
        </w:numPr>
        <w:spacing w:after="240"/>
        <w:contextualSpacing/>
        <w:jc w:val="both"/>
        <w:rPr>
          <w:rFonts w:eastAsia="Calibri"/>
          <w:sz w:val="22"/>
          <w:szCs w:val="22"/>
          <w:lang w:eastAsia="en-US"/>
        </w:rPr>
      </w:pPr>
      <w:r w:rsidRPr="008C33CD">
        <w:rPr>
          <w:rFonts w:eastAsia="Calibri"/>
          <w:sz w:val="22"/>
          <w:szCs w:val="22"/>
          <w:lang w:eastAsia="en-US"/>
        </w:rPr>
        <w:t>ŽDO Varaždin, Građansko-upravni odjel,</w:t>
      </w:r>
    </w:p>
    <w:p w:rsidRDefault="008C33CD" w:rsidP="008C33CD" w:rsidR="008C33CD" w:rsidRPr="008C33CD">
      <w:pPr>
        <w:numPr>
          <w:ilvl w:val="0"/>
          <w:numId w:val="49"/>
        </w:numPr>
        <w:spacing w:after="240"/>
        <w:contextualSpacing/>
        <w:jc w:val="both"/>
        <w:rPr>
          <w:rFonts w:eastAsia="Calibri"/>
          <w:sz w:val="22"/>
          <w:szCs w:val="22"/>
          <w:lang w:eastAsia="en-US"/>
        </w:rPr>
      </w:pPr>
      <w:r w:rsidRPr="008C33CD">
        <w:rPr>
          <w:rFonts w:eastAsia="Calibri"/>
          <w:sz w:val="22"/>
          <w:szCs w:val="22"/>
          <w:lang w:eastAsia="en-US"/>
        </w:rPr>
        <w:t>Sudski registar ovoga suda, radi zabilježbe,</w:t>
      </w:r>
    </w:p>
    <w:p w:rsidRDefault="008C33CD" w:rsidP="008C33CD" w:rsidR="008C33CD" w:rsidRPr="008C33CD">
      <w:pPr>
        <w:numPr>
          <w:ilvl w:val="0"/>
          <w:numId w:val="49"/>
        </w:numPr>
        <w:spacing w:after="240"/>
        <w:contextualSpacing/>
        <w:jc w:val="both"/>
        <w:rPr>
          <w:rFonts w:eastAsia="Calibri"/>
          <w:sz w:val="22"/>
          <w:szCs w:val="22"/>
          <w:lang w:eastAsia="en-US"/>
        </w:rPr>
      </w:pPr>
      <w:r w:rsidRPr="008C33CD">
        <w:rPr>
          <w:rFonts w:eastAsia="Calibri"/>
          <w:sz w:val="22"/>
          <w:szCs w:val="22"/>
          <w:lang w:eastAsia="en-US"/>
        </w:rPr>
        <w:t>Općinski sud u Rijeci, Zemljišno knjižni odjel Senj,</w:t>
      </w:r>
    </w:p>
    <w:p w:rsidRDefault="008C33CD" w:rsidP="008C33CD" w:rsidR="008C33CD" w:rsidRPr="008C33CD">
      <w:pPr>
        <w:numPr>
          <w:ilvl w:val="0"/>
          <w:numId w:val="49"/>
        </w:numPr>
        <w:spacing w:after="240"/>
        <w:contextualSpacing/>
        <w:jc w:val="both"/>
        <w:rPr>
          <w:rFonts w:eastAsia="Calibri"/>
          <w:sz w:val="22"/>
          <w:szCs w:val="22"/>
          <w:lang w:eastAsia="en-US"/>
        </w:rPr>
      </w:pPr>
      <w:r w:rsidRPr="008C33CD">
        <w:rPr>
          <w:rFonts w:eastAsia="Calibri"/>
          <w:sz w:val="22"/>
          <w:szCs w:val="22"/>
          <w:lang w:eastAsia="en-US"/>
        </w:rPr>
        <w:t>Općinski sud u Zadru, Zemljišno knjižni odjel Zadar,</w:t>
      </w:r>
    </w:p>
    <w:p w:rsidRDefault="008C33CD" w:rsidP="008C33CD" w:rsidR="008C33CD" w:rsidRPr="008C33CD">
      <w:pPr>
        <w:numPr>
          <w:ilvl w:val="0"/>
          <w:numId w:val="49"/>
        </w:numPr>
        <w:spacing w:after="240"/>
        <w:contextualSpacing/>
        <w:jc w:val="both"/>
        <w:rPr>
          <w:rFonts w:eastAsia="Calibri"/>
          <w:sz w:val="22"/>
          <w:szCs w:val="22"/>
          <w:lang w:eastAsia="en-US"/>
        </w:rPr>
      </w:pPr>
      <w:r w:rsidRPr="008C33CD">
        <w:rPr>
          <w:rFonts w:eastAsia="Calibri"/>
          <w:sz w:val="22"/>
          <w:szCs w:val="22"/>
          <w:lang w:eastAsia="en-US"/>
        </w:rPr>
        <w:t>Općinski sud u Zadru, Zemljišno knjižni odjel Pag,</w:t>
      </w:r>
    </w:p>
    <w:p w:rsidRDefault="008C33CD" w:rsidP="008C33CD" w:rsidR="008C33CD" w:rsidRPr="008C33CD">
      <w:pPr>
        <w:numPr>
          <w:ilvl w:val="0"/>
          <w:numId w:val="49"/>
        </w:numPr>
        <w:spacing w:after="240"/>
        <w:contextualSpacing/>
        <w:jc w:val="both"/>
        <w:rPr>
          <w:rFonts w:eastAsia="Calibri"/>
          <w:sz w:val="22"/>
          <w:szCs w:val="22"/>
          <w:lang w:eastAsia="en-US"/>
        </w:rPr>
      </w:pPr>
      <w:r w:rsidRPr="008C33CD">
        <w:rPr>
          <w:rFonts w:eastAsia="Calibri"/>
          <w:sz w:val="22"/>
          <w:szCs w:val="22"/>
          <w:lang w:eastAsia="en-US"/>
        </w:rPr>
        <w:t>Općinski sud u Varaždinu, Zemljišno knjižni odjel Ivanec,</w:t>
      </w:r>
    </w:p>
    <w:p w:rsidRDefault="008C33CD" w:rsidP="008C33CD" w:rsidR="008C33CD" w:rsidRPr="008C33CD">
      <w:pPr>
        <w:numPr>
          <w:ilvl w:val="0"/>
          <w:numId w:val="49"/>
        </w:numPr>
        <w:spacing w:after="240"/>
        <w:contextualSpacing/>
        <w:jc w:val="both"/>
        <w:rPr>
          <w:rFonts w:eastAsia="Calibri"/>
          <w:sz w:val="22"/>
          <w:szCs w:val="22"/>
          <w:lang w:eastAsia="en-US"/>
        </w:rPr>
      </w:pPr>
      <w:r w:rsidRPr="008C33CD">
        <w:rPr>
          <w:rFonts w:eastAsia="Calibri"/>
          <w:sz w:val="22"/>
          <w:szCs w:val="22"/>
          <w:lang w:eastAsia="en-US"/>
        </w:rPr>
        <w:t>e-Oglasna ploča ovoga suda.</w:t>
      </w:r>
    </w:p>
    <w:sectPr w:rsidSect="0032366B" w:rsidR="008C33CD" w:rsidRPr="008C33CD">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3D0E95"/>
    <w:multiLevelType w:val="hybridMultilevel"/>
    <w:tmpl w:val="8D0C7CF2"/>
    <w:lvl w:tplc="914C85C6" w:ilvl="0">
      <w:start w:val="2"/>
      <w:numFmt w:val="bullet"/>
      <w:lvlText w:val="-"/>
      <w:lvlJc w:val="left"/>
      <w:pPr>
        <w:ind w:hanging="360" w:left="1770"/>
      </w:pPr>
      <w:rPr>
        <w:rFonts w:cs="Times New Roman" w:eastAsia="Calibri" w:hAnsi="Times New Roman" w:ascii="Times New Roman" w:hint="default"/>
      </w:rPr>
    </w:lvl>
    <w:lvl w:tplc="041A0003" w:ilvl="1">
      <w:start w:val="1"/>
      <w:numFmt w:val="bullet"/>
      <w:lvlText w:val="o"/>
      <w:lvlJc w:val="left"/>
      <w:pPr>
        <w:ind w:hanging="360" w:left="2490"/>
      </w:pPr>
      <w:rPr>
        <w:rFonts w:cs="Courier New" w:hAnsi="Courier New" w:ascii="Courier New" w:hint="default"/>
      </w:rPr>
    </w:lvl>
    <w:lvl w:tplc="041A0005" w:ilvl="2">
      <w:start w:val="1"/>
      <w:numFmt w:val="bullet"/>
      <w:lvlText w:val=""/>
      <w:lvlJc w:val="left"/>
      <w:pPr>
        <w:ind w:hanging="360" w:left="3210"/>
      </w:pPr>
      <w:rPr>
        <w:rFonts w:hAnsi="Wingdings" w:ascii="Wingdings" w:hint="default"/>
      </w:rPr>
    </w:lvl>
    <w:lvl w:tplc="041A0001" w:ilvl="3">
      <w:start w:val="1"/>
      <w:numFmt w:val="bullet"/>
      <w:lvlText w:val=""/>
      <w:lvlJc w:val="left"/>
      <w:pPr>
        <w:ind w:hanging="360" w:left="3930"/>
      </w:pPr>
      <w:rPr>
        <w:rFonts w:hAnsi="Symbol" w:ascii="Symbol" w:hint="default"/>
      </w:rPr>
    </w:lvl>
    <w:lvl w:tplc="041A0003" w:ilvl="4">
      <w:start w:val="1"/>
      <w:numFmt w:val="bullet"/>
      <w:lvlText w:val="o"/>
      <w:lvlJc w:val="left"/>
      <w:pPr>
        <w:ind w:hanging="360" w:left="4650"/>
      </w:pPr>
      <w:rPr>
        <w:rFonts w:cs="Courier New" w:hAnsi="Courier New" w:ascii="Courier New" w:hint="default"/>
      </w:rPr>
    </w:lvl>
    <w:lvl w:tplc="041A0005" w:ilvl="5">
      <w:start w:val="1"/>
      <w:numFmt w:val="bullet"/>
      <w:lvlText w:val=""/>
      <w:lvlJc w:val="left"/>
      <w:pPr>
        <w:ind w:hanging="360" w:left="5370"/>
      </w:pPr>
      <w:rPr>
        <w:rFonts w:hAnsi="Wingdings" w:ascii="Wingdings" w:hint="default"/>
      </w:rPr>
    </w:lvl>
    <w:lvl w:tplc="041A0001" w:ilvl="6">
      <w:start w:val="1"/>
      <w:numFmt w:val="bullet"/>
      <w:lvlText w:val=""/>
      <w:lvlJc w:val="left"/>
      <w:pPr>
        <w:ind w:hanging="360" w:left="6090"/>
      </w:pPr>
      <w:rPr>
        <w:rFonts w:hAnsi="Symbol" w:ascii="Symbol" w:hint="default"/>
      </w:rPr>
    </w:lvl>
    <w:lvl w:tplc="041A0003" w:ilvl="7">
      <w:start w:val="1"/>
      <w:numFmt w:val="bullet"/>
      <w:lvlText w:val="o"/>
      <w:lvlJc w:val="left"/>
      <w:pPr>
        <w:ind w:hanging="360" w:left="6810"/>
      </w:pPr>
      <w:rPr>
        <w:rFonts w:cs="Courier New" w:hAnsi="Courier New" w:ascii="Courier New" w:hint="default"/>
      </w:rPr>
    </w:lvl>
    <w:lvl w:tplc="041A0005" w:ilvl="8">
      <w:start w:val="1"/>
      <w:numFmt w:val="bullet"/>
      <w:lvlText w:val=""/>
      <w:lvlJc w:val="left"/>
      <w:pPr>
        <w:ind w:hanging="360" w:left="7530"/>
      </w:pPr>
      <w:rPr>
        <w:rFonts w:hAnsi="Wingdings" w:ascii="Wingdings" w:hint="default"/>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B97463"/>
    <w:multiLevelType w:val="hybridMultilevel"/>
    <w:tmpl w:val="B180100A"/>
    <w:lvl w:tplc="07F0BF98" w:ilvl="0">
      <w:start w:val="6"/>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1161D18"/>
    <w:multiLevelType w:val="hybridMultilevel"/>
    <w:tmpl w:val="8D1AC3D4"/>
    <w:lvl w:tplc="E0662FFE" w:ilvl="0">
      <w:start w:val="1"/>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30"/>
  </w:num>
  <w:num w:numId="3">
    <w:abstractNumId w:val="17"/>
  </w:num>
  <w:num w:numId="4">
    <w:abstractNumId w:val="42"/>
  </w:num>
  <w:num w:numId="5">
    <w:abstractNumId w:val="44"/>
  </w:num>
  <w:num w:numId="6">
    <w:abstractNumId w:val="19"/>
  </w:num>
  <w:num w:numId="7">
    <w:abstractNumId w:val="20"/>
  </w:num>
  <w:num w:numId="8">
    <w:abstractNumId w:val="29"/>
  </w:num>
  <w:num w:numId="9">
    <w:abstractNumId w:val="15"/>
  </w:num>
  <w:num w:numId="10">
    <w:abstractNumId w:val="36"/>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6"/>
  </w:num>
  <w:num w:numId="20">
    <w:abstractNumId w:val="21"/>
  </w:num>
  <w:num w:numId="21">
    <w:abstractNumId w:val="23"/>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6"/>
  </w:num>
  <w:num w:numId="46">
    <w:abstractNumId w:val="16"/>
    <w:lvlOverride w:ilvl="0">
      <w:startOverride w:val="1"/>
    </w:lvlOverride>
  </w:num>
  <w:num w:numId="47">
    <w:abstractNumId w:val="22"/>
    <w:lvlOverride w:ilvl="0"/>
    <w:lvlOverride w:ilvl="1"/>
    <w:lvlOverride w:ilvl="2"/>
    <w:lvlOverride w:ilvl="3"/>
    <w:lvlOverride w:ilvl="4"/>
    <w:lvlOverride w:ilvl="5"/>
    <w:lvlOverride w:ilvl="6"/>
    <w:lvlOverride w:ilvl="7"/>
    <w:lvlOverride w:ilvl="8"/>
  </w:num>
  <w:num w:numId="48">
    <w:abstractNumId w:val="40"/>
    <w:lvlOverride w:ilvl="0"/>
    <w:lvlOverride w:ilvl="1"/>
    <w:lvlOverride w:ilvl="2"/>
    <w:lvlOverride w:ilvl="3"/>
    <w:lvlOverride w:ilvl="4"/>
    <w:lvlOverride w:ilvl="5"/>
    <w:lvlOverride w:ilvl="6"/>
    <w:lvlOverride w:ilvl="7"/>
    <w:lvlOverride w:ilvl="8"/>
  </w:num>
  <w:num w:numId="49">
    <w:abstractNumId w:val="33"/>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1D4"/>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33CD"/>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8C33CD"/>
    <w:pPr>
      <w:spacing w:lineRule="auto" w:line="240" w:after="0"/>
    </w:pPr>
    <w:rPr>
      <w:rFonts w:cs="Times New Roman" w:eastAsia="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hAnsiTheme="majorHAnsi" w:asciiTheme="majorHAnsi"/>
    </w:rPr>
  </w:style>
  <w:style w:customStyle="true" w:styleId="DNA" w:type="paragraph">
    <w:name w:val="DNA"/>
    <w:basedOn w:val="Normal"/>
    <w:next w:val="Dostaviti"/>
    <w:qFormat/>
    <w:rsid w:val="00EB0D4C"/>
    <w:pPr>
      <w:keepNext/>
      <w:spacing w:before="360"/>
    </w:pPr>
    <w:rPr>
      <w:sz w:val="20"/>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8C33CD"/>
    <w:pPr>
      <w:spacing w:after="0" w:line="240" w:lineRule="auto"/>
    </w:pPr>
    <w:rPr>
      <w:rFonts w:ascii="Times New Roman" w:cs="Times New Roman" w:eastAsia="Times New Roman" w:hAns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6144876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lipnja 2018.</izvorni_sadrzaj>
    <derivirana_varijabla naziv="DomainObject.DatumDonosenjaOdluke_1">19.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St-997/2016-61</izvorni_sadrzaj>
    <derivirana_varijabla naziv="DomainObject.Oznaka_1">St-997/2016-61</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997</izvorni_sadrzaj>
    <derivirana_varijabla naziv="DomainObject.Predmet.Broj_1">997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2016.</izvorni_sadrzaj>
    <derivirana_varijabla naziv="DomainObject.Predmet.DatumOsnivanja_1">31.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stečajnoga postupka</izvorni_sadrzaj>
    <derivirana_varijabla naziv="DomainObject.Predmet.Opis_1">Prijedlog za otvaranje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St-997/2016</izvorni_sadrzaj>
    <derivirana_varijabla naziv="DomainObject.Predmet.OznakaBroj_1">St-997/2016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CONING dioničko društvo za građenje, projektiranje, nadzor, inženjering, konzalting i turizam zastupanog po punomoćniku ODVJETNIČKO DRUŠTVO JELIĆ, ČAVLINA ZRINŠĆAK I SARDELIĆ društvo s ograničenom odgovornošću</izvorni_sadrzaj>
    <derivirana_varijabla naziv="DomainObject.Predmet.ProtustrankaFormated_1">  CONING dioničko društvo za građenje, projektiranje, nadzor, inženjering, konzalting i turizam zastupanog po punomoćniku ODVJETNIČKO DRUŠTVO JELIĆ, ČAVLINA ZRINŠĆAK I SARDELIĆ društvo s ograničenom odgovornošću</derivirana_varijabla>
  </DomainObject.Predmet.ProtustrankaFormated>
  <DomainObject.Predmet.ProtustrankaFormatedOIB>
    <izvorni_sadrzaj>  CONING dioničko društvo za građenje, projektiranje, nadzor, inženjering, konzalting i turizam, OIB 49557976962 zastupanog po punomoćniku ODVJETNIČKO DRUŠTVO JELIĆ, ČAVLINA ZRINŠĆAK I SARDELIĆ društvo s ograničenom odgovornošću</izvorni_sadrzaj>
    <derivirana_varijabla naziv="DomainObject.Predmet.ProtustrankaFormatedOIB_1">  CONING dioničko društvo za građenje, projektiranje, nadzor, inženjering, konzalting i turizam, OIB 49557976962 zastupanog po punomoćniku ODVJETNIČKO DRUŠTVO JELIĆ, ČAVLINA ZRINŠĆAK I SARDELIĆ društvo s ograničenom odgovornošću</derivirana_varijabla>
  </DomainObject.Predmet.ProtustrankaFormatedOIB>
  <DomainObject.Predmet.ProtustrankaFormatedWithAdress>
    <izvorni_sadrzaj> CONING dioničko društvo za građenje, projektiranje, nadzor, inženjering, konzalting i turizam, Augusta Šenoe 4/-6, 42000 Varaždin zastupanog po punomoćniku ODVJETNIČKO DRUŠTVO JELIĆ, ČAVLINA ZRINŠĆAK I SARDELIĆ društvo s ograničenom odgovornošću</izvorni_sadrzaj>
    <derivirana_varijabla naziv="DomainObject.Predmet.ProtustrankaFormatedWithAdress_1"> CONING dioničko društvo za građenje, projektiranje, nadzor, inženjering, konzalting i turizam, Augusta Šenoe 4/-6, 42000 Varaždin zastupanog po punomoćniku ODVJETNIČKO DRUŠTVO JELIĆ, ČAVLINA ZRINŠĆAK I SARDELIĆ društvo s ograničenom odgovornošću</derivirana_varijabla>
  </DomainObject.Predmet.ProtustrankaFormatedWithAdress>
  <DomainObject.Predmet.ProtustrankaFormatedWithAdressOIB>
    <izvorni_sadrzaj> CONING dioničko društvo za građenje, projektiranje, nadzor, inženjering, konzalting i turizam, OIB 49557976962, Augusta Šenoe 4/-6, 42000 Varaždin zastupanog po punomoćniku ODVJETNIČKO DRUŠTVO JELIĆ, ČAVLINA ZRINŠĆAK I SARDELIĆ društvo s ograničenom odgovornošću</izvorni_sadrzaj>
    <derivirana_varijabla naziv="DomainObject.Predmet.ProtustrankaFormatedWithAdressOIB_1"> CONING dioničko društvo za građenje, projektiranje, nadzor, inženjering, konzalting i turizam, OIB 49557976962, Augusta Šenoe 4/-6, 42000 Varaždin zastupanog po punomoćniku ODVJETNIČKO DRUŠTVO JELIĆ, ČAVLINA ZRINŠĆAK I SARDELIĆ društvo s ograničenom odgovornošću</derivirana_varijabla>
  </DomainObject.Predmet.ProtustrankaFormatedWithAdressOIB>
  <DomainObject.Predmet.ProtustrankaWithAdress>
    <izvorni_sadrzaj>CONING dioničko društvo za građenje, projektiranje, nadzor, inženjering, konzalting i turizam Augusta Šenoe 4/-6, 42000 Varaždin</izvorni_sadrzaj>
    <derivirana_varijabla naziv="DomainObject.Predmet.ProtustrankaWithAdress_1">CONING dioničko društvo za građenje, projektiranje, nadzor, inženjering, konzalting i turizam Augusta Šenoe 4/-6, 42000 Varaždin</derivirana_varijabla>
  </DomainObject.Predmet.ProtustrankaWithAdress>
  <DomainObject.Predmet.ProtustrankaWithAdressOIB>
    <izvorni_sadrzaj>CONING dioničko društvo za građenje, projektiranje, nadzor, inženjering, konzalting i turizam, OIB 49557976962, Augusta Šenoe 4/-6, 42000 Varaždin</izvorni_sadrzaj>
    <derivirana_varijabla naziv="DomainObject.Predmet.ProtustrankaWithAdressOIB_1">CONING dioničko društvo za građenje, projektiranje, nadzor, inženjering, konzalting i turizam, OIB 49557976962, Augusta Šenoe 4/-6, 42000 Varaždin</derivirana_varijabla>
  </DomainObject.Predmet.ProtustrankaWithAdressOIB>
  <DomainObject.Predmet.ProtustrankaNazivFormated>
    <izvorni_sadrzaj>CONING dioničko društvo za građenje, projektiranje, nadzor, inženjering, konzalting i turizam</izvorni_sadrzaj>
    <derivirana_varijabla naziv="DomainObject.Predmet.ProtustrankaNazivFormated_1">CONING dioničko društvo za građenje, projektiranje, nadzor, inženjering, konzalting i turizam</derivirana_varijabla>
  </DomainObject.Predmet.ProtustrankaNazivFormated>
  <DomainObject.Predmet.ProtustrankaNazivFormatedOIB>
    <izvorni_sadrzaj>CONING dioničko društvo za građenje, projektiranje, nadzor, inženjering, konzalting i turizam, OIB 49557976962</izvorni_sadrzaj>
    <derivirana_varijabla naziv="DomainObject.Predmet.ProtustrankaNazivFormatedOIB_1">CONING dioničko društvo za građenje, projektiranje, nadzor, inženjering, konzalting i turizam, OIB 49557976962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3893733.19</izvorni_sadrzaj>
    <derivirana_varijabla naziv="DomainObject.Predmet.TrenutnaVrijednost_1">3893733.19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CONING dioničko društvo za građenje, projektiranje, nadzor, inženjering, konzalting i turizam zastupanog po punomoćniku ODVJETNIČKO DRUŠTVO JELIĆ, ČAVLINA ZRINŠĆAK I SARDELIĆ društvo s ograničenom odgovornošću</item>
    </izvorni_sadrzaj>
    <derivirana_varijabla naziv="DomainObject.Predmet.ProtuStrankaListFormated_1">
      <item>CONING dioničko društvo za građenje, projektiranje, nadzor, inženjering, konzalting i turizam zastupanog po punomoćniku ODVJETNIČKO DRUŠTVO JELIĆ, ČAVLINA ZRINŠĆAK I SARDELIĆ društvo s ograničenom odgovornošću</item>
    </derivirana_varijabla>
  </DomainObject.Predmet.ProtuStrankaListFormated>
  <DomainObject.Predmet.ProtuStrankaListFormatedOIB>
    <izvorni_sadrzaj>
      <item>CONING dioničko društvo za građenje, projektiranje, nadzor, inženjering, konzalting i turizam, OIB 49557976962 zastupanog po punomoćniku ODVJETNIČKO DRUŠTVO JELIĆ, ČAVLINA ZRINŠĆAK I SARDELIĆ društvo s ograničenom odgovornošću</item>
    </izvorni_sadrzaj>
    <derivirana_varijabla naziv="DomainObject.Predmet.ProtuStrankaListFormatedOIB_1">
      <item>CONING dioničko društvo za građenje, projektiranje, nadzor, inženjering, konzalting i turizam, OIB 49557976962 zastupanog po punomoćniku ODVJETNIČKO DRUŠTVO JELIĆ, ČAVLINA ZRINŠĆAK I SARDELIĆ društvo s ograničenom odgovornošću</item>
    </derivirana_varijabla>
  </DomainObject.Predmet.ProtuStrankaListFormatedOIB>
  <DomainObject.Predmet.ProtuStrankaListFormatedWithAdress>
    <izvorni_sadrzaj>
      <item>CONING dioničko društvo za građenje, projektiranje, nadzor, inženjering, konzalting i turizam, Augusta Šenoe 4/-6, 42000 Varaždin zastupanog po punomoćniku ODVJETNIČKO DRUŠTVO JELIĆ, ČAVLINA ZRINŠĆAK I SARDELIĆ društvo s ograničenom odgovornošću</item>
    </izvorni_sadrzaj>
    <derivirana_varijabla naziv="DomainObject.Predmet.ProtuStrankaListFormatedWithAdress_1">
      <item>CONING dioničko društvo za građenje, projektiranje, nadzor, inženjering, konzalting i turizam, Augusta Šenoe 4/-6, 42000 Varaždin zastupanog po punomoćniku ODVJETNIČKO DRUŠTVO JELIĆ, ČAVLINA ZRINŠĆAK I SARDELIĆ društvo s ograničenom odgovornošću</item>
    </derivirana_varijabla>
  </DomainObject.Predmet.ProtuStrankaListFormatedWithAdress>
  <DomainObject.Predmet.ProtuStrankaListFormatedWithAdressOIB>
    <izvorni_sadrzaj>
      <item>CONING dioničko društvo za građenje, projektiranje, nadzor, inženjering, konzalting i turizam, OIB 49557976962, Augusta Šenoe 4/-6, 42000 Varaždin zastupanog po punomoćniku ODVJETNIČKO DRUŠTVO JELIĆ, ČAVLINA ZRINŠĆAK I SARDELIĆ društvo s ograničenom odgovornošću</item>
    </izvorni_sadrzaj>
    <derivirana_varijabla naziv="DomainObject.Predmet.ProtuStrankaListFormatedWithAdressOIB_1">
      <item>CONING dioničko društvo za građenje, projektiranje, nadzor, inženjering, konzalting i turizam, OIB 49557976962, Augusta Šenoe 4/-6, 42000 Varaždin zastupanog po punomoćniku ODVJETNIČKO DRUŠTVO JELIĆ, ČAVLINA ZRINŠĆAK I SARDELIĆ društvo s ograničenom odgovornošću</item>
    </derivirana_varijabla>
  </DomainObject.Predmet.ProtuStrankaListFormatedWithAdressOIB>
  <DomainObject.Predmet.ProtuStrankaListNazivFormated>
    <izvorni_sadrzaj>
      <item>CONING dioničko društvo za građenje, projektiranje, nadzor, inženjering, konzalting i turizam</item>
    </izvorni_sadrzaj>
    <derivirana_varijabla naziv="DomainObject.Predmet.ProtuStrankaListNazivFormated_1">
      <item>CONING dioničko društvo za građenje, projektiranje, nadzor, inženjering, konzalting i turizam</item>
    </derivirana_varijabla>
  </DomainObject.Predmet.ProtuStrankaListNazivFormated>
  <DomainObject.Predmet.ProtuStrankaListNazivFormatedOIB>
    <izvorni_sadrzaj>
      <item>CONING dioničko društvo za građenje, projektiranje, nadzor, inženjering, konzalting i turizam, OIB 49557976962</item>
    </izvorni_sadrzaj>
    <derivirana_varijabla naziv="DomainObject.Predmet.ProtuStrankaListNazivFormatedOIB_1">
      <item>CONING dioničko društvo za građenje, projektiranje, nadzor, inženjering, konzalting i turizam, OIB 49557976962</item>
    </derivirana_varijabla>
  </DomainObject.Predmet.ProtuStrankaListNazivFormatedOIB>
  <DomainObject.Predmet.OstaliListFormated>
    <izvorni_sadrzaj>
      <item>Sudski registar</item>
      <item>e-oglasna ploča</item>
      <item>Zvonko Hrain</item>
      <item>Vatroslav Vrdoljak</item>
      <item>ODVJETNIČKO DRUŠTVO JELIĆ, ČAVLINA ZRINŠĆAK I SARDELIĆ društvo s ograničenom odgovornošću punomoćnik sudionika u postupku CONING dioničko društvo za građenje, projektiranje, nadzor, inženjering, konzalting i turizam</item>
      <item>VLATKA BRATIĆ</item>
      <item>Županijsko državno odvjetništvo u Varaždinu</item>
    </izvorni_sadrzaj>
    <derivirana_varijabla naziv="DomainObject.Predmet.OstaliListFormated_1">
      <item>Sudski registar</item>
      <item>e-oglasna ploča</item>
      <item>Zvonko Hrain</item>
      <item>Vatroslav Vrdoljak</item>
      <item>ODVJETNIČKO DRUŠTVO JELIĆ, ČAVLINA ZRINŠĆAK I SARDELIĆ društvo s ograničenom odgovornošću punomoćnik sudionika u postupku CONING dioničko društvo za građenje, projektiranje, nadzor, inženjering, konzalting i turizam</item>
      <item>VLATKA BRATIĆ</item>
      <item>Županijsko državno odvjetništvo u Varaždinu</item>
    </derivirana_varijabla>
  </DomainObject.Predmet.OstaliListFormated>
  <DomainObject.Predmet.OstaliListFormatedOIB>
    <izvorni_sadrzaj>
      <item>Sudski registar</item>
      <item>e-oglasna ploča</item>
      <item>Zvonko Hrain, OIB 25731960062</item>
      <item>Vatroslav Vrdoljak, OIB 75796757952</item>
      <item>ODVJETNIČKO DRUŠTVO JELIĆ, ČAVLINA ZRINŠĆAK I SARDELIĆ društvo s ograničenom odgovornošću, OIB 21721282898 punomoćnik sudionika u postupku CONING dioničko društvo za građenje, projektiranje, nadzor, inženjering, konzalting i turizam</item>
      <item>VLATKA BRATIĆ</item>
      <item>Županijsko državno odvjetništvo u Varaždinu</item>
    </izvorni_sadrzaj>
    <derivirana_varijabla naziv="DomainObject.Predmet.OstaliListFormatedOIB_1">
      <item>Sudski registar</item>
      <item>e-oglasna ploča</item>
      <item>Zvonko Hrain, OIB 25731960062</item>
      <item>Vatroslav Vrdoljak, OIB 75796757952</item>
      <item>ODVJETNIČKO DRUŠTVO JELIĆ, ČAVLINA ZRINŠĆAK I SARDELIĆ društvo s ograničenom odgovornošću, OIB 21721282898 punomoćnik sudionika u postupku CONING dioničko društvo za građenje, projektiranje, nadzor, inženjering, konzalting i turizam</item>
      <item>VLATKA BRATIĆ</item>
      <item>Županijsko državno odvjetništvo u Varaždinu</item>
    </derivirana_varijabla>
  </DomainObject.Predmet.OstaliListFormatedOIB>
  <DomainObject.Predmet.OstaliListFormatedWithAdress>
    <izvorni_sadrzaj>
      <item>Sudski registar</item>
      <item>e-oglasna ploča</item>
      <item>Zvonko Hrain, Frana Supila 7 A, 42000 Varaždin</item>
      <item>Vatroslav Vrdoljak, Sviba 7, 10434 Strmec</item>
      <item>ODVJETNIČKO DRUŠTVO JELIĆ, ČAVLINA ZRINŠĆAK I SARDELIĆ društvo s ograničenom odgovornošću, Katančićeva 3, 10000 Zagreb punomoćnik sudionika u postupku CONING dioničko društvo za građenje, projektiranje, nadzor, inženjering, konzalting i turizam</item>
      <item>VLATKA BRATIĆ</item>
      <item>Županijsko državno odvjetništvo u Varaždinu</item>
    </izvorni_sadrzaj>
    <derivirana_varijabla naziv="DomainObject.Predmet.OstaliListFormatedWithAdress_1">
      <item>Sudski registar</item>
      <item>e-oglasna ploča</item>
      <item>Zvonko Hrain, Frana Supila 7 A, 42000 Varaždin</item>
      <item>Vatroslav Vrdoljak, Sviba 7, 10434 Strmec</item>
      <item>ODVJETNIČKO DRUŠTVO JELIĆ, ČAVLINA ZRINŠĆAK I SARDELIĆ društvo s ograničenom odgovornošću, Katančićeva 3, 10000 Zagreb punomoćnik sudionika u postupku CONING dioničko društvo za građenje, projektiranje, nadzor, inženjering, konzalting i turizam</item>
      <item>VLATKA BRATIĆ</item>
      <item>Županijsko državno odvjetništvo u Varaždinu</item>
    </derivirana_varijabla>
  </DomainObject.Predmet.OstaliListFormatedWithAdress>
  <DomainObject.Predmet.OstaliListFormatedWithAdressOIB>
    <izvorni_sadrzaj>
      <item>Sudski registar</item>
      <item>e-oglasna ploča</item>
      <item>Zvonko Hrain, OIB 25731960062, Frana Supila 7 A, 42000 Varaždin</item>
      <item>Vatroslav Vrdoljak, OIB 75796757952, Sviba 7, 10434 Strmec</item>
      <item>ODVJETNIČKO DRUŠTVO JELIĆ, ČAVLINA ZRINŠĆAK I SARDELIĆ društvo s ograničenom odgovornošću, OIB 21721282898, Katančićeva 3, 10000 Zagreb punomoćnik sudionika u postupku CONING dioničko društvo za građenje, projektiranje, nadzor, inženjering, konzalting i turizam</item>
      <item>VLATKA BRATIĆ</item>
      <item>Županijsko državno odvjetništvo u Varaždinu</item>
    </izvorni_sadrzaj>
    <derivirana_varijabla naziv="DomainObject.Predmet.OstaliListFormatedWithAdressOIB_1">
      <item>Sudski registar</item>
      <item>e-oglasna ploča</item>
      <item>Zvonko Hrain, OIB 25731960062, Frana Supila 7 A, 42000 Varaždin</item>
      <item>Vatroslav Vrdoljak, OIB 75796757952, Sviba 7, 10434 Strmec</item>
      <item>ODVJETNIČKO DRUŠTVO JELIĆ, ČAVLINA ZRINŠĆAK I SARDELIĆ društvo s ograničenom odgovornošću, OIB 21721282898, Katančićeva 3, 10000 Zagreb punomoćnik sudionika u postupku CONING dioničko društvo za građenje, projektiranje, nadzor, inženjering, konzalting i turizam</item>
      <item>VLATKA BRATIĆ</item>
      <item>Županijsko državno odvjetništvo u Varaždinu</item>
    </derivirana_varijabla>
  </DomainObject.Predmet.OstaliListFormatedWithAdressOIB>
  <DomainObject.Predmet.OstaliListNazivFormated>
    <izvorni_sadrzaj>
      <item>Sudski registar</item>
      <item>e-oglasna ploča</item>
      <item>Zvonko Hrain</item>
      <item>Vatroslav Vrdoljak</item>
      <item>ODVJETNIČKO DRUŠTVO JELIĆ, ČAVLINA ZRINŠĆAK I SARDELIĆ društvo s ograničenom odgovornošću</item>
      <item>VLATKA BRATIĆ</item>
      <item>Županijsko državno odvjetništvo u Varaždinu</item>
    </izvorni_sadrzaj>
    <derivirana_varijabla naziv="DomainObject.Predmet.OstaliListNazivFormated_1">
      <item>Sudski registar</item>
      <item>e-oglasna ploča</item>
      <item>Zvonko Hrain</item>
      <item>Vatroslav Vrdoljak</item>
      <item>ODVJETNIČKO DRUŠTVO JELIĆ, ČAVLINA ZRINŠĆAK I SARDELIĆ društvo s ograničenom odgovornošću</item>
      <item>VLATKA BRATIĆ</item>
      <item>Županijsko državno odvjetništvo u Varaždinu</item>
    </derivirana_varijabla>
  </DomainObject.Predmet.OstaliListNazivFormated>
  <DomainObject.Predmet.OstaliListNazivFormatedOIB>
    <izvorni_sadrzaj>
      <item>Sudski registar</item>
      <item>e-oglasna ploča</item>
      <item>Zvonko Hrain, OIB 25731960062</item>
      <item>Vatroslav Vrdoljak, OIB 75796757952</item>
      <item>ODVJETNIČKO DRUŠTVO JELIĆ, ČAVLINA ZRINŠĆAK I SARDELIĆ društvo s ograničenom odgovornošću, OIB 21721282898</item>
      <item>VLATKA BRATIĆ</item>
      <item>Županijsko državno odvjetništvo u Varaždinu</item>
    </izvorni_sadrzaj>
    <derivirana_varijabla naziv="DomainObject.Predmet.OstaliListNazivFormatedOIB_1">
      <item>Sudski registar</item>
      <item>e-oglasna ploča</item>
      <item>Zvonko Hrain, OIB 25731960062</item>
      <item>Vatroslav Vrdoljak, OIB 75796757952</item>
      <item>ODVJETNIČKO DRUŠTVO JELIĆ, ČAVLINA ZRINŠĆAK I SARDELIĆ društvo s ograničenom odgovornošću, OIB 21721282898</item>
      <item>VLATKA BRATIĆ</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2018.</izvorni_sadrzaj>
    <derivirana_varijabla naziv="DomainObject.Datum_1">19. lipnja 2018.</derivirana_varijabla>
  </DomainObject.Datum>
  <DomainObject.PoslovniBrojDokumenta>
    <izvorni_sadrzaj>St-997/2016-61</izvorni_sadrzaj>
    <derivirana_varijabla naziv="DomainObject.PoslovniBrojDokumenta_1">St-997/2016-61</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CONING dioničko društvo za građenje, projektiranje, nadzor, inženjering, konzalting i turizam</izvorni_sadrzaj>
    <derivirana_varijabla naziv="DomainObject.Predmet.ProtustrankaIDrugi_1">CONING dioničko društvo za građenje, projektiranje, nadzor, inženjering, konzalting i turizam</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CONING dioničko društvo za građenje, projektiranje, nadzor, inženjering, konzalting i turizam, OIB 49557976962, Augusta Šenoe 4/-6, 42000 Varaždin</izvorni_sadrzaj>
    <derivirana_varijabla naziv="DomainObject.Predmet.ProtustrankaIDrugiAdressOIB_1">CONING dioničko društvo za građenje, projektiranje, nadzor, inženjering, konzalting i turizam, OIB 49557976962, Augusta Šenoe 4/-6,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CONING dioničko društvo za građenje, projektiranje, nadzor, inženjering, konzalting i turizam</item>
      <item>Sudski registar</item>
      <item>e-oglasna ploča</item>
      <item>Zvonko Hrain</item>
      <item>Vatroslav Vrdoljak</item>
      <item>ODVJETNIČKO DRUŠTVO JELIĆ, ČAVLINA ZRINŠĆAK I SARDELIĆ društvo s ograničenom odgovornošću</item>
      <item>VLATKA BRATIĆ</item>
      <item>Županijsko državno odvjetništvo u Varaždinu</item>
    </izvorni_sadrzaj>
    <derivirana_varijabla naziv="DomainObject.Predmet.SudioniciListNaziv_1">
      <item>Financijska agencija</item>
      <item>CONING dioničko društvo za građenje, projektiranje, nadzor, inženjering, konzalting i turizam</item>
      <item>Sudski registar</item>
      <item>e-oglasna ploča</item>
      <item>Zvonko Hrain</item>
      <item>Vatroslav Vrdoljak</item>
      <item>ODVJETNIČKO DRUŠTVO JELIĆ, ČAVLINA ZRINŠĆAK I SARDELIĆ društvo s ograničenom odgovornošću</item>
      <item>VLATKA BRATIĆ</item>
      <item>Županijsko državno odvjetništvo u Varaždinu</item>
    </derivirana_varijabla>
  </DomainObject.Predmet.SudioniciListNaziv>
  <DomainObject.Predmet.SudioniciListAdressOIB>
    <izvorni_sadrzaj>
      <item>Financijska agencija, OIB 85821130368, Ulica grada Vukovara 70,10000 Zagreb</item>
      <item>CONING dioničko društvo za građenje, projektiranje, nadzor, inženjering, konzalting i turizam, OIB 49557976962, Augusta Šenoe 4/-6,42000 Varaždin</item>
      <item>Sudski registar</item>
      <item>e-oglasna ploča</item>
      <item>Zvonko Hrain, OIB 25731960062, Frana Supila 7 A,42000 Varaždin</item>
      <item>Vatroslav Vrdoljak, OIB 75796757952, Sviba 7,10434 Strmec</item>
      <item>ODVJETNIČKO DRUŠTVO JELIĆ, ČAVLINA ZRINŠĆAK I SARDELIĆ društvo s ograničenom odgovornošću, OIB 21721282898, Katančićeva 3,10000 Zagreb</item>
      <item>VLATKA BRATIĆ</item>
      <item>Županijsko državno odvjetništvo u Varaždinu</item>
    </izvorni_sadrzaj>
    <derivirana_varijabla naziv="DomainObject.Predmet.SudioniciListAdressOIB_1">
      <item>Financijska agencija, OIB 85821130368, Ulica grada Vukovara 70,10000 Zagreb</item>
      <item>CONING dioničko društvo za građenje, projektiranje, nadzor, inženjering, konzalting i turizam, OIB 49557976962, Augusta Šenoe 4/-6,42000 Varaždin</item>
      <item>Sudski registar</item>
      <item>e-oglasna ploča</item>
      <item>Zvonko Hrain, OIB 25731960062, Frana Supila 7 A,42000 Varaždin</item>
      <item>Vatroslav Vrdoljak, OIB 75796757952, Sviba 7,10434 Strmec</item>
      <item>ODVJETNIČKO DRUŠTVO JELIĆ, ČAVLINA ZRINŠĆAK I SARDELIĆ društvo s ograničenom odgovornošću, OIB 21721282898, Katančićeva 3,10000 Zagreb</item>
      <item>VLATKA BRATIĆ</item>
      <item>Županijsko državno odvjetništvo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866C9E-564A-497A-992E-640A7425DE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12</properties:Pages>
  <properties:Words>5769</properties:Words>
  <properties:Characters>32368</properties:Characters>
  <properties:Lines>587</properties:Lines>
  <properties:Paragraphs>127</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38263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2018-06-19T11:43:00Z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12</vt:i4>
  </prop:property>
  <prop:property name="Naslov" pid="5" fmtid="{D5CDD505-2E9C-101B-9397-08002B2CF9AE}">
    <vt:lpwstr>St-997/2016-61 / Odluka - Rješenje - otvaranje stečajnog postupka (odluka_St-997_2016-61.docx)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