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0d54" w14:paraId="ab00d54" w:rsidRDefault="00857D01" w:rsidP="00857D01" w:rsidR="00857D01" w:rsidRPr="00E34A19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E34A19">
        <w:rPr>
          <w:noProof/>
          <w:color w:val="000000"/>
        </w:rPr>
        <w:t xml:space="preserve">          </w:t>
      </w:r>
      <w:r w:rsidRPr="00E34A19">
        <w:rPr>
          <w:noProof/>
          <w:color w:val="000000"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34A19">
        <w:rPr>
          <w:noProof/>
          <w:color w:val="000000"/>
        </w:rPr>
        <w:t xml:space="preserve">           </w:t>
      </w:r>
    </w:p>
    <w:p w:rsidRDefault="00857D01" w:rsidP="00857D01" w:rsidR="00857D01" w:rsidRPr="00E34A19">
      <w:pPr>
        <w:jc w:val="center"/>
        <w:rPr>
          <w:rFonts w:hAnsi="Times New Roman" w:ascii="Times New Roman"/>
          <w:color w:val="000000"/>
          <w:szCs w:val="24"/>
        </w:rPr>
      </w:pPr>
    </w:p>
    <w:p w:rsidRDefault="00857D01" w:rsidP="00857D01" w:rsidR="00857D01" w:rsidRPr="00E34A19">
      <w:pPr>
        <w:pStyle w:val="Zaglavlje"/>
        <w:rPr>
          <w:rFonts w:hAnsi="Times New Roman" w:ascii="Times New Roman"/>
          <w:color w:val="000000"/>
        </w:rPr>
      </w:pPr>
      <w:r w:rsidRPr="00E34A19">
        <w:rPr>
          <w:rFonts w:hAnsi="Times New Roman" w:ascii="Times New Roman"/>
          <w:color w:val="000000"/>
        </w:rPr>
        <w:t xml:space="preserve">REPUBLIKA HRVATSKA </w:t>
      </w:r>
    </w:p>
    <w:p w:rsidRDefault="00857D01" w:rsidP="00857D01" w:rsidR="00857D01" w:rsidRPr="00E34A19">
      <w:pPr>
        <w:pStyle w:val="Zaglavlje"/>
        <w:rPr>
          <w:rFonts w:hAnsi="Times New Roman" w:ascii="Times New Roman"/>
          <w:color w:val="000000"/>
        </w:rPr>
      </w:pPr>
      <w:r w:rsidRPr="00E34A19">
        <w:rPr>
          <w:rFonts w:hAnsi="Times New Roman" w:ascii="Times New Roman"/>
          <w:color w:val="000000"/>
        </w:rPr>
        <w:t>Trgovački sud u Zagrebu</w:t>
      </w:r>
    </w:p>
    <w:p w:rsidRDefault="00857D01" w:rsidP="00857D01" w:rsidR="00857D01" w:rsidRPr="00E34A19">
      <w:pPr>
        <w:pStyle w:val="Zaglavlje"/>
        <w:rPr>
          <w:rFonts w:hAnsi="Times New Roman" w:ascii="Times New Roman"/>
          <w:color w:val="000000"/>
        </w:rPr>
      </w:pPr>
      <w:r w:rsidRPr="00E34A19">
        <w:rPr>
          <w:rFonts w:hAnsi="Times New Roman" w:ascii="Times New Roman"/>
          <w:color w:val="000000"/>
        </w:rPr>
        <w:t>Zagreb, Amruševa 2/II, p.p.432</w:t>
      </w:r>
    </w:p>
    <w:p w:rsidRDefault="00857D01" w:rsidP="00857D01" w:rsidR="00857D01" w:rsidRPr="00E34A19">
      <w:pPr>
        <w:jc w:val="center"/>
        <w:rPr>
          <w:rFonts w:hAnsi="Times New Roman" w:ascii="Times New Roman"/>
          <w:color w:val="000000"/>
          <w:szCs w:val="24"/>
        </w:rPr>
      </w:pPr>
    </w:p>
    <w:p w:rsidRDefault="00857D01" w:rsidP="00857D01" w:rsidR="00857D01" w:rsidRPr="00E34A19">
      <w:pPr>
        <w:jc w:val="right"/>
        <w:rPr>
          <w:rFonts w:hAnsi="Times New Roman" w:ascii="Times New Roman"/>
          <w:color w:val="000000"/>
        </w:rPr>
      </w:pPr>
      <w:r w:rsidRPr="00E34A19">
        <w:rPr>
          <w:rFonts w:hAnsi="Times New Roman" w:ascii="Times New Roman"/>
          <w:b/>
          <w:color w:val="000000"/>
        </w:rPr>
        <w:tab/>
      </w:r>
      <w:r w:rsidRPr="00E34A19">
        <w:rPr>
          <w:rFonts w:hAnsi="Times New Roman" w:ascii="Times New Roman"/>
          <w:b/>
          <w:color w:val="000000"/>
        </w:rPr>
        <w:tab/>
      </w:r>
      <w:r w:rsidRPr="00E34A19">
        <w:rPr>
          <w:rFonts w:hAnsi="Times New Roman" w:ascii="Times New Roman"/>
          <w:b/>
          <w:color w:val="000000"/>
        </w:rPr>
        <w:tab/>
      </w:r>
      <w:r w:rsidRPr="00E34A19">
        <w:rPr>
          <w:rFonts w:hAnsi="Times New Roman" w:ascii="Times New Roman"/>
          <w:b/>
          <w:color w:val="000000"/>
        </w:rPr>
        <w:tab/>
      </w:r>
      <w:r w:rsidRPr="00E34A19">
        <w:rPr>
          <w:rFonts w:hAnsi="Times New Roman" w:ascii="Times New Roman"/>
          <w:b/>
          <w:color w:val="000000"/>
        </w:rPr>
        <w:tab/>
      </w:r>
      <w:r w:rsidRPr="00E34A19">
        <w:rPr>
          <w:rFonts w:hAnsi="Times New Roman" w:ascii="Times New Roman"/>
          <w:b/>
          <w:color w:val="000000"/>
        </w:rPr>
        <w:tab/>
      </w:r>
      <w:r w:rsidRPr="00E34A19">
        <w:rPr>
          <w:rFonts w:hAnsi="Times New Roman" w:ascii="Times New Roman"/>
          <w:b/>
          <w:color w:val="000000"/>
        </w:rPr>
        <w:tab/>
      </w:r>
      <w:r w:rsidRPr="00E34A19">
        <w:rPr>
          <w:rFonts w:hAnsi="Times New Roman" w:ascii="Times New Roman"/>
          <w:b/>
          <w:color w:val="000000"/>
        </w:rPr>
        <w:tab/>
      </w:r>
      <w:r w:rsidRPr="00E34A19">
        <w:rPr>
          <w:rFonts w:hAnsi="Times New Roman" w:ascii="Times New Roman"/>
          <w:b/>
          <w:color w:val="000000"/>
        </w:rPr>
        <w:tab/>
        <w:t xml:space="preserve">  </w:t>
      </w:r>
      <w:r w:rsidRPr="00E34A19">
        <w:rPr>
          <w:rFonts w:hAnsi="Times New Roman" w:ascii="Times New Roman"/>
          <w:color w:val="000000"/>
        </w:rPr>
        <w:t>20.</w:t>
      </w:r>
      <w:r w:rsidRPr="00E34A19">
        <w:rPr>
          <w:rFonts w:hAnsi="Times New Roman" w:ascii="Times New Roman"/>
          <w:b/>
          <w:color w:val="000000"/>
        </w:rPr>
        <w:t xml:space="preserve"> </w:t>
      </w:r>
      <w:r w:rsidRPr="00E34A19">
        <w:rPr>
          <w:rFonts w:hAnsi="Times New Roman" w:ascii="Times New Roman"/>
          <w:color w:val="000000"/>
        </w:rPr>
        <w:t>St-8876/15</w:t>
      </w:r>
      <w:r w:rsidR="009011C8" w:rsidRPr="00E34A19">
        <w:rPr>
          <w:rFonts w:hAnsi="Times New Roman" w:ascii="Times New Roman"/>
          <w:color w:val="000000"/>
        </w:rPr>
        <w:t>-11</w:t>
      </w:r>
    </w:p>
    <w:p w:rsidRDefault="00857D01" w:rsidP="00857D01" w:rsidR="00857D01" w:rsidRPr="00E34A19">
      <w:pPr>
        <w:jc w:val="center"/>
        <w:rPr>
          <w:rFonts w:hAnsi="Times New Roman" w:ascii="Times New Roman"/>
          <w:color w:val="000000"/>
        </w:rPr>
      </w:pPr>
    </w:p>
    <w:p w:rsidRDefault="00857D01" w:rsidP="00857D01" w:rsidR="00857D01" w:rsidRPr="00E34A19">
      <w:pPr>
        <w:jc w:val="center"/>
        <w:rPr>
          <w:rFonts w:hAnsi="Times New Roman" w:ascii="Times New Roman"/>
          <w:color w:val="000000"/>
        </w:rPr>
      </w:pPr>
      <w:r w:rsidRPr="00E34A19">
        <w:rPr>
          <w:rFonts w:hAnsi="Times New Roman" w:ascii="Times New Roman"/>
          <w:color w:val="000000"/>
        </w:rPr>
        <w:t xml:space="preserve">  R E P U B L I K A   H R V A T S K A</w:t>
      </w:r>
    </w:p>
    <w:p w:rsidRDefault="00857D01" w:rsidP="00857D01" w:rsidR="00857D01" w:rsidRPr="00E34A19">
      <w:pPr>
        <w:rPr>
          <w:rFonts w:hAnsi="Times New Roman" w:ascii="Times New Roman"/>
          <w:color w:val="000000"/>
        </w:rPr>
      </w:pPr>
      <w:r w:rsidRPr="00E34A19">
        <w:rPr>
          <w:rFonts w:hAnsi="Times New Roman" w:ascii="Times New Roman"/>
          <w:b/>
          <w:color w:val="000000"/>
        </w:rPr>
        <w:tab/>
      </w:r>
      <w:r w:rsidRPr="00E34A19">
        <w:rPr>
          <w:rFonts w:hAnsi="Times New Roman" w:ascii="Times New Roman"/>
          <w:b/>
          <w:color w:val="000000"/>
        </w:rPr>
        <w:tab/>
      </w:r>
      <w:r w:rsidRPr="00E34A19">
        <w:rPr>
          <w:rFonts w:hAnsi="Times New Roman" w:ascii="Times New Roman"/>
          <w:b/>
          <w:color w:val="000000"/>
        </w:rPr>
        <w:tab/>
      </w:r>
      <w:r w:rsidRPr="00E34A19">
        <w:rPr>
          <w:rFonts w:hAnsi="Times New Roman" w:ascii="Times New Roman"/>
          <w:b/>
          <w:color w:val="000000"/>
        </w:rPr>
        <w:tab/>
      </w:r>
      <w:r w:rsidRPr="00E34A19">
        <w:rPr>
          <w:rFonts w:hAnsi="Times New Roman" w:ascii="Times New Roman"/>
          <w:b/>
          <w:color w:val="000000"/>
        </w:rPr>
        <w:tab/>
      </w:r>
      <w:r w:rsidRPr="00E34A19">
        <w:rPr>
          <w:rFonts w:hAnsi="Times New Roman" w:ascii="Times New Roman"/>
          <w:b/>
          <w:color w:val="000000"/>
        </w:rPr>
        <w:tab/>
      </w:r>
      <w:r w:rsidRPr="00E34A19">
        <w:rPr>
          <w:rFonts w:hAnsi="Times New Roman" w:ascii="Times New Roman"/>
          <w:b/>
          <w:color w:val="000000"/>
        </w:rPr>
        <w:tab/>
      </w:r>
      <w:r w:rsidRPr="00E34A19">
        <w:rPr>
          <w:rFonts w:hAnsi="Times New Roman" w:ascii="Times New Roman"/>
          <w:b/>
          <w:color w:val="000000"/>
        </w:rPr>
        <w:tab/>
      </w:r>
      <w:r w:rsidRPr="00E34A19">
        <w:rPr>
          <w:rFonts w:hAnsi="Times New Roman" w:ascii="Times New Roman"/>
          <w:color w:val="000000"/>
        </w:rPr>
        <w:t xml:space="preserve">               </w:t>
      </w:r>
    </w:p>
    <w:p w:rsidRDefault="00857D01" w:rsidP="00857D01" w:rsidR="00857D01" w:rsidRPr="00E34A19">
      <w:pPr>
        <w:jc w:val="center"/>
        <w:rPr>
          <w:rFonts w:hAnsi="Times New Roman" w:ascii="Times New Roman"/>
          <w:color w:val="000000"/>
        </w:rPr>
      </w:pPr>
      <w:r w:rsidRPr="00E34A19">
        <w:rPr>
          <w:rFonts w:hAnsi="Times New Roman" w:ascii="Times New Roman"/>
          <w:color w:val="000000"/>
        </w:rPr>
        <w:t>I S P R A V A K  R J E Š E NJ A</w:t>
      </w:r>
    </w:p>
    <w:p w:rsidRDefault="00857D01" w:rsidP="00857D01" w:rsidR="00857D01" w:rsidRPr="00E34A19">
      <w:pPr>
        <w:jc w:val="center"/>
        <w:rPr>
          <w:rFonts w:hAnsi="Times New Roman" w:ascii="Times New Roman"/>
          <w:b/>
          <w:color w:val="000000"/>
        </w:rPr>
      </w:pPr>
    </w:p>
    <w:p w:rsidRDefault="00857D01" w:rsidP="00857D01" w:rsidR="00857D01" w:rsidRPr="00E34A19">
      <w:pPr>
        <w:pStyle w:val="Odlomakpopisa"/>
        <w:ind w:firstLine="708" w:left="0"/>
        <w:jc w:val="both"/>
        <w:rPr>
          <w:rFonts w:hAnsi="Times New Roman" w:ascii="Times New Roman"/>
          <w:color w:val="000000"/>
        </w:rPr>
      </w:pPr>
      <w:r w:rsidRPr="00E34A19">
        <w:rPr>
          <w:rFonts w:hAnsi="Times New Roman" w:ascii="Times New Roman"/>
          <w:color w:val="000000"/>
        </w:rPr>
        <w:tab/>
        <w:t xml:space="preserve">Trgovački sud u Zagrebu po sucu tog suda Luciji Butigan, u pravnoj stvari podnositelja zahtjeva Financijska agencija, za provedbu skraćenog stečajnog postupka nad dužnikom </w:t>
      </w:r>
      <w:r w:rsidRPr="00E34A19">
        <w:rPr>
          <w:rFonts w:hAnsi="Times New Roman" w:ascii="Times New Roman"/>
          <w:color w:val="000000"/>
          <w:szCs w:val="24"/>
        </w:rPr>
        <w:t xml:space="preserve">  KRALJEV RAJ - Dom za odrasle,  Jastrebarsko, Izimje/bb, OIB 85841262516,  </w:t>
      </w:r>
      <w:r w:rsidRPr="00E34A19">
        <w:rPr>
          <w:rFonts w:hAnsi="Times New Roman" w:ascii="Times New Roman"/>
          <w:color w:val="000000"/>
        </w:rPr>
        <w:t>dana 20. veljače 2017.</w:t>
      </w:r>
    </w:p>
    <w:p w:rsidRDefault="00857D01" w:rsidP="00857D01" w:rsidR="00857D01" w:rsidRPr="00E34A19">
      <w:pPr>
        <w:jc w:val="center"/>
        <w:rPr>
          <w:rFonts w:hAnsi="Times New Roman" w:ascii="Times New Roman"/>
          <w:color w:val="000000"/>
          <w:szCs w:val="24"/>
        </w:rPr>
      </w:pPr>
      <w:r w:rsidRPr="00E34A19">
        <w:rPr>
          <w:rFonts w:hAnsi="Times New Roman" w:ascii="Times New Roman"/>
          <w:color w:val="000000"/>
          <w:szCs w:val="24"/>
        </w:rPr>
        <w:t>r i j e š i o    je</w:t>
      </w:r>
    </w:p>
    <w:p w:rsidRDefault="00857D01" w:rsidP="00857D01" w:rsidR="00857D01" w:rsidRPr="00E34A19">
      <w:pPr>
        <w:jc w:val="both"/>
        <w:rPr>
          <w:rFonts w:hAnsi="Times New Roman" w:ascii="Times New Roman"/>
          <w:color w:val="000000"/>
          <w:szCs w:val="24"/>
        </w:rPr>
      </w:pPr>
      <w:r w:rsidRPr="00E34A19">
        <w:rPr>
          <w:rFonts w:hAnsi="Times New Roman" w:ascii="Times New Roman"/>
          <w:color w:val="000000"/>
          <w:szCs w:val="24"/>
        </w:rPr>
        <w:tab/>
      </w:r>
    </w:p>
    <w:p w:rsidRDefault="00857D01" w:rsidP="00857D01" w:rsidR="00857D01" w:rsidRPr="00E34A19">
      <w:pPr>
        <w:pStyle w:val="BodyText21"/>
        <w:ind w:firstLine="0" w:left="567"/>
        <w:rPr>
          <w:rFonts w:hAnsi="Times New Roman" w:ascii="Times New Roman"/>
          <w:color w:val="000000"/>
        </w:rPr>
      </w:pPr>
      <w:r w:rsidRPr="00E34A19">
        <w:rPr>
          <w:rFonts w:hAnsi="Times New Roman" w:ascii="Times New Roman"/>
          <w:color w:val="000000"/>
          <w:szCs w:val="24"/>
        </w:rPr>
        <w:t xml:space="preserve">Ispravlja se Rješenje Trgovačkog suda u Zagrebu, br. St-8876/15 od 3. siječnja 2017., u točki II. izreke na način, da umjesto imena </w:t>
      </w:r>
      <w:r w:rsidRPr="00E34A19">
        <w:rPr>
          <w:rFonts w:hAnsi="Times New Roman" w:ascii="Times New Roman"/>
          <w:color w:val="000000"/>
        </w:rPr>
        <w:t xml:space="preserve">David Jakovljević, Sesvete, Kašinska 7, OIB63014812654, treba stajati Tibor Toth, </w:t>
      </w:r>
      <w:r w:rsidR="003D06A8" w:rsidRPr="00E34A19">
        <w:rPr>
          <w:rFonts w:hAnsi="Times New Roman" w:ascii="Times New Roman"/>
          <w:color w:val="000000"/>
        </w:rPr>
        <w:t>Zagreb, Hribarov prilaz 10. OIB:</w:t>
      </w:r>
      <w:r w:rsidR="003D06A8" w:rsidRPr="00E34A19">
        <w:rPr>
          <w:color w:val="000000"/>
        </w:rPr>
        <w:t xml:space="preserve"> </w:t>
      </w:r>
      <w:r w:rsidR="003D06A8" w:rsidRPr="00E34A19">
        <w:rPr>
          <w:rFonts w:hAnsi="Times New Roman" w:ascii="Times New Roman"/>
          <w:color w:val="000000"/>
        </w:rPr>
        <w:t>65132060598, odnosno, nakon navedenog ispravka točka II. citiranog rješenja glasi:</w:t>
      </w:r>
    </w:p>
    <w:p w:rsidRDefault="003D06A8" w:rsidP="003D06A8" w:rsidR="003D06A8" w:rsidRPr="00E34A19">
      <w:pPr>
        <w:pStyle w:val="BodyText21"/>
        <w:ind w:firstLine="0" w:left="0"/>
        <w:rPr>
          <w:rFonts w:hAnsi="Times New Roman" w:ascii="Times New Roman"/>
          <w:color w:val="000000"/>
        </w:rPr>
      </w:pPr>
    </w:p>
    <w:p w:rsidRDefault="003D06A8" w:rsidP="003D06A8" w:rsidR="003D06A8" w:rsidRPr="00E34A19">
      <w:pPr>
        <w:pStyle w:val="BodyText21"/>
        <w:ind w:firstLine="360" w:left="0"/>
        <w:rPr>
          <w:rFonts w:hAnsi="Times New Roman" w:ascii="Times New Roman"/>
          <w:color w:val="000000"/>
          <w:szCs w:val="24"/>
          <w:u w:val="single"/>
        </w:rPr>
      </w:pPr>
      <w:r w:rsidRPr="00E34A19">
        <w:rPr>
          <w:rFonts w:hAnsi="Times New Roman" w:ascii="Times New Roman"/>
          <w:color w:val="000000"/>
          <w:szCs w:val="24"/>
        </w:rPr>
        <w:t xml:space="preserve">"Za stečajnog upravitelja imenuje se </w:t>
      </w:r>
      <w:r w:rsidRPr="00E34A19">
        <w:rPr>
          <w:rFonts w:hAnsi="Times New Roman" w:ascii="Times New Roman"/>
          <w:color w:val="000000"/>
        </w:rPr>
        <w:t>Tibor Toth, Zagreb, Hribarov prilaz 10. OIB:65132060598."</w:t>
      </w:r>
    </w:p>
    <w:p w:rsidRDefault="00857D01" w:rsidP="00857D01" w:rsidR="00857D01" w:rsidRPr="00E34A19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</w:p>
    <w:p w:rsidRDefault="00857D01" w:rsidP="003D06A8" w:rsidR="003D06A8" w:rsidRPr="00E34A19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E34A19">
        <w:rPr>
          <w:rFonts w:hAnsi="Times New Roman" w:ascii="Times New Roman"/>
          <w:color w:val="000000"/>
          <w:szCs w:val="24"/>
        </w:rPr>
        <w:t>Obrazloženje</w:t>
      </w:r>
    </w:p>
    <w:p w:rsidRDefault="003D06A8" w:rsidP="003D06A8" w:rsidR="003D06A8" w:rsidRPr="00E34A19">
      <w:pPr>
        <w:jc w:val="both"/>
        <w:rPr>
          <w:rFonts w:hAnsi="Times New Roman" w:ascii="Times New Roman"/>
          <w:color w:val="000000"/>
          <w:szCs w:val="24"/>
        </w:rPr>
      </w:pPr>
    </w:p>
    <w:p w:rsidRDefault="003D06A8" w:rsidP="003D06A8" w:rsidR="003D06A8" w:rsidRPr="00E34A19">
      <w:pPr>
        <w:ind w:firstLine="360"/>
        <w:jc w:val="both"/>
        <w:rPr>
          <w:rFonts w:hAnsi="Times New Roman" w:ascii="Times New Roman"/>
          <w:color w:val="000000"/>
          <w:szCs w:val="24"/>
        </w:rPr>
      </w:pPr>
      <w:r w:rsidRPr="00E34A19">
        <w:rPr>
          <w:rFonts w:hAnsi="Times New Roman" w:ascii="Times New Roman"/>
          <w:color w:val="000000"/>
          <w:szCs w:val="24"/>
        </w:rPr>
        <w:t>Provjerom u e-spis Trgovačkog suda u Zagrebu, a s obzirom na stanje u ovosudnom predmetu St-8876/15, u Rješenje od 3. siječnja 2017., utvrđeno je, da postoji nesuglasje između automatskog odabira stečajnog upravitelja i stečajnog upravitelja koji je upisan u točki II. Rješenja o otvaranju i zaključenju skraćenog stečajnog postupka.</w:t>
      </w:r>
    </w:p>
    <w:p w:rsidRDefault="0035527C" w:rsidP="004C5EC5" w:rsidR="00857D01" w:rsidRPr="00E34A19">
      <w:pPr>
        <w:ind w:firstLine="360"/>
        <w:jc w:val="both"/>
        <w:rPr>
          <w:rFonts w:hAnsi="Times New Roman" w:ascii="Times New Roman"/>
          <w:color w:val="000000"/>
          <w:szCs w:val="24"/>
        </w:rPr>
      </w:pPr>
      <w:r w:rsidRPr="00E34A19">
        <w:rPr>
          <w:rFonts w:hAnsi="Times New Roman" w:ascii="Times New Roman"/>
          <w:color w:val="000000"/>
          <w:szCs w:val="24"/>
        </w:rPr>
        <w:t>N</w:t>
      </w:r>
      <w:r w:rsidR="003D06A8" w:rsidRPr="00E34A19">
        <w:rPr>
          <w:rFonts w:hAnsi="Times New Roman" w:ascii="Times New Roman"/>
          <w:color w:val="000000"/>
          <w:szCs w:val="24"/>
        </w:rPr>
        <w:t>esporno je</w:t>
      </w:r>
      <w:r w:rsidRPr="00E34A19">
        <w:rPr>
          <w:rFonts w:hAnsi="Times New Roman" w:ascii="Times New Roman"/>
          <w:color w:val="000000"/>
          <w:szCs w:val="24"/>
        </w:rPr>
        <w:t>, da je</w:t>
      </w:r>
      <w:r w:rsidR="003D06A8" w:rsidRPr="00E34A19">
        <w:rPr>
          <w:rFonts w:hAnsi="Times New Roman" w:ascii="Times New Roman"/>
          <w:color w:val="000000"/>
          <w:szCs w:val="24"/>
        </w:rPr>
        <w:t xml:space="preserve"> u ovom predmetu izbor stečajnog upravitelja izvršen sukladno </w:t>
      </w:r>
      <w:r w:rsidR="0086239F" w:rsidRPr="00E34A19">
        <w:rPr>
          <w:rFonts w:hAnsi="Times New Roman" w:ascii="Times New Roman"/>
          <w:color w:val="000000"/>
          <w:szCs w:val="24"/>
        </w:rPr>
        <w:t xml:space="preserve">čl. 84. st. 1. stečajnog zakona, te temeljem takvog izbora u prethodno citiranom rješenju u točki II. trebao je za stečajnog upravitelja biti imenovana tako izabrana osoba. U konkretnom slučaju, došlo je do očite pogreške prilikom povlačenja podataka, te kako se radi o očitoj pogrešci prilikom pisanja to je sukladno  čl. 347. a u svezi s člankom 342. st. 1. Zakona o parničnom postupku (Narodne novine broj: 53/91, 91/92, 112/99, 88/01, 117/03, 88/05, 2/07, 84/08, 96/08, 123/08, 57/11, 148/11, 25/13), doneseno ovo rješenje. </w:t>
      </w:r>
    </w:p>
    <w:p w:rsidRDefault="004C5EC5" w:rsidP="004C5EC5" w:rsidR="004C5EC5" w:rsidRPr="00E34A19">
      <w:pPr>
        <w:ind w:firstLine="360"/>
        <w:jc w:val="both"/>
        <w:rPr>
          <w:rFonts w:hAnsi="Times New Roman" w:ascii="Times New Roman"/>
          <w:color w:val="000000"/>
          <w:szCs w:val="24"/>
        </w:rPr>
      </w:pPr>
    </w:p>
    <w:p w:rsidRDefault="00857D01" w:rsidP="00857D01" w:rsidR="00857D01" w:rsidRPr="00E34A19">
      <w:pPr>
        <w:jc w:val="center"/>
        <w:rPr>
          <w:rFonts w:hAnsi="Times New Roman" w:ascii="Times New Roman"/>
          <w:color w:val="000000"/>
        </w:rPr>
      </w:pPr>
      <w:r w:rsidRPr="00E34A19">
        <w:rPr>
          <w:rFonts w:hAnsi="Times New Roman" w:ascii="Times New Roman"/>
          <w:color w:val="000000"/>
        </w:rPr>
        <w:t xml:space="preserve">U Zagrebu, </w:t>
      </w:r>
      <w:r w:rsidR="003D06A8" w:rsidRPr="00E34A19">
        <w:rPr>
          <w:rFonts w:hAnsi="Times New Roman" w:ascii="Times New Roman"/>
          <w:color w:val="000000"/>
        </w:rPr>
        <w:t>20</w:t>
      </w:r>
      <w:r w:rsidRPr="00E34A19">
        <w:rPr>
          <w:rFonts w:hAnsi="Times New Roman" w:ascii="Times New Roman"/>
          <w:color w:val="000000"/>
        </w:rPr>
        <w:t xml:space="preserve">. </w:t>
      </w:r>
      <w:r w:rsidR="003D06A8" w:rsidRPr="00E34A19">
        <w:rPr>
          <w:rFonts w:hAnsi="Times New Roman" w:ascii="Times New Roman"/>
          <w:color w:val="000000"/>
        </w:rPr>
        <w:t>veljače</w:t>
      </w:r>
      <w:r w:rsidRPr="00E34A19">
        <w:rPr>
          <w:rFonts w:hAnsi="Times New Roman" w:ascii="Times New Roman"/>
          <w:color w:val="000000"/>
        </w:rPr>
        <w:t xml:space="preserve"> 2017. godine</w:t>
      </w:r>
    </w:p>
    <w:p w:rsidRDefault="00857D01" w:rsidP="00857D01" w:rsidR="00857D01" w:rsidRPr="00E34A19">
      <w:pPr>
        <w:jc w:val="center"/>
        <w:rPr>
          <w:rFonts w:hAnsi="Times New Roman" w:ascii="Times New Roman"/>
          <w:color w:val="000000"/>
        </w:rPr>
      </w:pPr>
    </w:p>
    <w:p w:rsidRDefault="00857D01" w:rsidP="00857D01" w:rsidR="00857D01" w:rsidRPr="00E34A19">
      <w:pPr>
        <w:ind w:firstLine="720" w:left="5040"/>
        <w:rPr>
          <w:rFonts w:hAnsi="Times New Roman" w:ascii="Times New Roman"/>
          <w:color w:val="000000"/>
        </w:rPr>
      </w:pPr>
      <w:r w:rsidRPr="00E34A19">
        <w:rPr>
          <w:rFonts w:hAnsi="Times New Roman" w:ascii="Times New Roman"/>
          <w:color w:val="000000"/>
        </w:rPr>
        <w:t xml:space="preserve">   </w:t>
      </w:r>
      <w:r w:rsidR="00E34A19">
        <w:rPr>
          <w:rFonts w:hAnsi="Times New Roman" w:ascii="Times New Roman"/>
          <w:color w:val="000000"/>
        </w:rPr>
        <w:t xml:space="preserve">      </w:t>
      </w:r>
      <w:r w:rsidRPr="00E34A19">
        <w:rPr>
          <w:rFonts w:hAnsi="Times New Roman" w:ascii="Times New Roman"/>
          <w:color w:val="000000"/>
        </w:rPr>
        <w:t>SUDAC:</w:t>
      </w:r>
    </w:p>
    <w:p w:rsidRDefault="00E34A19" w:rsidP="00E34A19" w:rsidR="00857D01" w:rsidRPr="00E34A19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</w:rPr>
        <w:t xml:space="preserve">                                                                      </w:t>
      </w:r>
      <w:r w:rsidR="00857D01" w:rsidRPr="00E34A19">
        <w:rPr>
          <w:rFonts w:hAnsi="Times New Roman" w:ascii="Times New Roman"/>
          <w:color w:val="000000"/>
        </w:rPr>
        <w:t>Lucija Butigan</w:t>
      </w:r>
      <w:r>
        <w:rPr>
          <w:rFonts w:hAnsi="Times New Roman" w:ascii="Times New Roman"/>
          <w:color w:val="000000"/>
        </w:rPr>
        <w:t>, v.r.</w:t>
      </w:r>
    </w:p>
    <w:p w:rsidRDefault="00857D01" w:rsidP="00857D01" w:rsidR="00857D01" w:rsidRPr="00E34A19">
      <w:pPr>
        <w:jc w:val="both"/>
        <w:rPr>
          <w:rFonts w:hAnsi="Times New Roman" w:ascii="Times New Roman"/>
          <w:color w:val="000000"/>
          <w:szCs w:val="24"/>
        </w:rPr>
      </w:pPr>
    </w:p>
    <w:p w:rsidRDefault="00E34A19" w:rsidP="00E34A19" w:rsidR="00E34A19" w:rsidRPr="00E34A19">
      <w:pPr>
        <w:ind w:left="4332"/>
        <w:rPr>
          <w:rFonts w:hAnsi="Times New Roman" w:ascii="Times New Roman"/>
          <w:color w:val="000000"/>
        </w:rPr>
      </w:pPr>
      <w:r w:rsidRPr="00E34A19">
        <w:rPr>
          <w:rFonts w:hAnsi="Times New Roman" w:ascii="Times New Roman"/>
          <w:color w:val="000000"/>
        </w:rPr>
        <w:t xml:space="preserve">      Za točnost otpravka-ovlašteni službenik:</w:t>
      </w:r>
    </w:p>
    <w:p w:rsidRDefault="00E34A19" w:rsidP="00E34A19" w:rsidR="00E34A19" w:rsidRPr="00E34A19">
      <w:pPr>
        <w:jc w:val="both"/>
        <w:rPr>
          <w:rFonts w:hAnsi="Times New Roman" w:ascii="Times New Roman"/>
          <w:color w:val="000000"/>
        </w:rPr>
      </w:pPr>
      <w:r w:rsidRPr="00E34A19">
        <w:rPr>
          <w:rFonts w:hAnsi="Times New Roman" w:ascii="Times New Roman"/>
          <w:color w:val="000000"/>
        </w:rPr>
        <w:t xml:space="preserve">  </w:t>
      </w:r>
      <w:r w:rsidRPr="00E34A19">
        <w:rPr>
          <w:rFonts w:hAnsi="Times New Roman" w:ascii="Times New Roman"/>
          <w:color w:val="000000"/>
        </w:rPr>
        <w:tab/>
      </w:r>
      <w:r w:rsidRPr="00E34A19">
        <w:rPr>
          <w:rFonts w:hAnsi="Times New Roman" w:ascii="Times New Roman"/>
          <w:color w:val="000000"/>
        </w:rPr>
        <w:tab/>
      </w:r>
      <w:r w:rsidRPr="00E34A19">
        <w:rPr>
          <w:rFonts w:hAnsi="Times New Roman" w:ascii="Times New Roman"/>
          <w:color w:val="000000"/>
        </w:rPr>
        <w:tab/>
      </w:r>
      <w:r w:rsidRPr="00E34A19">
        <w:rPr>
          <w:rFonts w:hAnsi="Times New Roman" w:ascii="Times New Roman"/>
          <w:color w:val="000000"/>
        </w:rPr>
        <w:tab/>
      </w:r>
      <w:r w:rsidRPr="00E34A19">
        <w:rPr>
          <w:rFonts w:hAnsi="Times New Roman" w:ascii="Times New Roman"/>
          <w:color w:val="000000"/>
        </w:rPr>
        <w:tab/>
        <w:t xml:space="preserve">                                  (Valentina Kranjčić)</w:t>
      </w:r>
    </w:p>
    <w:p w:rsidRDefault="00857D01" w:rsidP="00857D01" w:rsidR="00857D01" w:rsidRPr="00E34A19">
      <w:pPr>
        <w:jc w:val="both"/>
        <w:rPr>
          <w:rFonts w:hAnsi="Times New Roman" w:ascii="Times New Roman"/>
          <w:color w:val="000000"/>
          <w:szCs w:val="24"/>
        </w:rPr>
      </w:pPr>
    </w:p>
    <w:p w:rsidRDefault="00857D01" w:rsidP="00857D01" w:rsidR="00857D01" w:rsidRPr="00E34A19">
      <w:pPr>
        <w:jc w:val="both"/>
        <w:rPr>
          <w:rFonts w:hAnsi="Times New Roman" w:ascii="Times New Roman"/>
          <w:color w:val="000000"/>
          <w:szCs w:val="24"/>
        </w:rPr>
      </w:pPr>
    </w:p>
    <w:p w:rsidRDefault="00857D01" w:rsidP="00857D01" w:rsidR="00857D01" w:rsidRPr="00E34A19">
      <w:pPr>
        <w:jc w:val="both"/>
        <w:rPr>
          <w:rFonts w:hAnsi="Times New Roman" w:ascii="Times New Roman"/>
          <w:color w:val="000000"/>
          <w:szCs w:val="24"/>
        </w:rPr>
      </w:pPr>
      <w:r w:rsidRPr="00E34A19">
        <w:rPr>
          <w:rFonts w:hAnsi="Times New Roman" w:ascii="Times New Roman"/>
          <w:color w:val="000000"/>
          <w:szCs w:val="24"/>
        </w:rPr>
        <w:t>Uputa o pravnom lijeku:</w:t>
      </w:r>
    </w:p>
    <w:p w:rsidRDefault="00857D01" w:rsidP="00857D01" w:rsidR="00857D01" w:rsidRPr="00E34A19">
      <w:pPr>
        <w:jc w:val="both"/>
        <w:rPr>
          <w:rFonts w:hAnsi="Times New Roman" w:ascii="Times New Roman"/>
          <w:color w:val="000000"/>
          <w:szCs w:val="24"/>
        </w:rPr>
      </w:pPr>
      <w:r w:rsidRPr="00E34A19">
        <w:rPr>
          <w:rFonts w:hAnsi="Times New Roman" w:ascii="Times New Roman"/>
          <w:color w:val="000000"/>
          <w:szCs w:val="24"/>
        </w:rPr>
        <w:t xml:space="preserve">Protiv ovog rješenja </w:t>
      </w:r>
      <w:r w:rsidR="00375C87" w:rsidRPr="00E34A19">
        <w:rPr>
          <w:rFonts w:hAnsi="Times New Roman" w:ascii="Times New Roman"/>
          <w:color w:val="000000"/>
          <w:szCs w:val="24"/>
        </w:rPr>
        <w:t>žalba nije dopuštena čl. 278. st. 2. ZPP-a u svezi čl. 10 SZ-a.</w:t>
      </w:r>
    </w:p>
    <w:p w:rsidRDefault="00375C87" w:rsidP="00857D01" w:rsidR="00375C87" w:rsidRPr="00E34A19">
      <w:pPr>
        <w:jc w:val="both"/>
        <w:rPr>
          <w:rFonts w:hAnsi="Times New Roman" w:ascii="Times New Roman"/>
          <w:color w:val="000000"/>
          <w:szCs w:val="24"/>
        </w:rPr>
      </w:pPr>
    </w:p>
    <w:p w:rsidRDefault="00004FF6" w:rsidP="00857D01" w:rsidR="00004FF6" w:rsidRPr="00E34A19">
      <w:pPr>
        <w:jc w:val="both"/>
        <w:rPr>
          <w:rFonts w:hAnsi="Times New Roman" w:ascii="Times New Roman"/>
          <w:color w:val="000000"/>
          <w:szCs w:val="24"/>
        </w:rPr>
      </w:pPr>
    </w:p>
    <w:p w:rsidRDefault="00EA4FD5" w:rsidP="00EA4FD5" w:rsidR="00EA4FD5" w:rsidRPr="00E34A19">
      <w:pPr>
        <w:jc w:val="both"/>
        <w:rPr>
          <w:rFonts w:hAnsi="Times New Roman" w:ascii="Times New Roman"/>
          <w:color w:val="FFFFFF"/>
          <w:szCs w:val="24"/>
        </w:rPr>
      </w:pPr>
      <w:r w:rsidRPr="00E34A19">
        <w:rPr>
          <w:rFonts w:hAnsi="Times New Roman" w:ascii="Times New Roman"/>
          <w:color w:val="FFFFFF"/>
          <w:szCs w:val="24"/>
        </w:rPr>
        <w:t>DNa:</w:t>
      </w:r>
    </w:p>
    <w:p w:rsidRDefault="00EA4FD5" w:rsidP="00EA4FD5" w:rsidR="00EA4FD5" w:rsidRPr="00E34A19">
      <w:pPr>
        <w:jc w:val="both"/>
        <w:rPr>
          <w:rFonts w:hAnsi="Times New Roman" w:ascii="Times New Roman"/>
          <w:color w:val="FFFFFF"/>
          <w:szCs w:val="24"/>
        </w:rPr>
      </w:pPr>
      <w:r w:rsidRPr="00E34A19">
        <w:rPr>
          <w:rFonts w:hAnsi="Times New Roman" w:ascii="Times New Roman"/>
          <w:color w:val="FFFFFF"/>
          <w:szCs w:val="24"/>
        </w:rPr>
        <w:t>1.) Mrežna stranica e-Oglasne ploče</w:t>
      </w:r>
    </w:p>
    <w:p w:rsidRDefault="00EA4FD5" w:rsidP="00EA4FD5" w:rsidR="00EA4FD5" w:rsidRPr="00E34A19">
      <w:pPr>
        <w:jc w:val="both"/>
        <w:rPr>
          <w:rFonts w:hAnsi="Times New Roman" w:ascii="Times New Roman"/>
          <w:color w:val="FFFFFF"/>
          <w:szCs w:val="24"/>
          <w:lang w:val="en-GB"/>
        </w:rPr>
      </w:pPr>
      <w:r w:rsidRPr="00E34A19">
        <w:rPr>
          <w:rFonts w:hAnsi="Times New Roman" w:ascii="Times New Roman"/>
          <w:color w:val="FFFFFF"/>
          <w:szCs w:val="24"/>
        </w:rPr>
        <w:t>1.) Podnositelju zahtjeva: FINA-i</w:t>
      </w:r>
    </w:p>
    <w:p w:rsidRDefault="00EA4FD5" w:rsidP="00EA4FD5" w:rsidR="00EA4FD5" w:rsidRPr="00E34A19">
      <w:pPr>
        <w:jc w:val="both"/>
        <w:rPr>
          <w:rFonts w:hAnsi="Times New Roman" w:ascii="Times New Roman"/>
          <w:color w:val="FFFFFF"/>
          <w:szCs w:val="24"/>
        </w:rPr>
      </w:pPr>
      <w:r w:rsidRPr="00E34A19">
        <w:rPr>
          <w:rFonts w:hAnsi="Times New Roman" w:ascii="Times New Roman"/>
          <w:color w:val="FFFFFF"/>
          <w:szCs w:val="24"/>
        </w:rPr>
        <w:t>2.) Dužnik i zakonski zastupnik dužnika</w:t>
      </w:r>
    </w:p>
    <w:p w:rsidRDefault="00EA4FD5" w:rsidP="00EA4FD5" w:rsidR="00EA4FD5" w:rsidRPr="00E34A19">
      <w:pPr>
        <w:jc w:val="both"/>
        <w:rPr>
          <w:rFonts w:hAnsi="Times New Roman" w:ascii="Times New Roman"/>
          <w:color w:val="FFFFFF"/>
          <w:szCs w:val="24"/>
        </w:rPr>
      </w:pPr>
      <w:r w:rsidRPr="00E34A19">
        <w:rPr>
          <w:rFonts w:hAnsi="Times New Roman" w:ascii="Times New Roman"/>
          <w:color w:val="FFFFFF"/>
          <w:szCs w:val="24"/>
        </w:rPr>
        <w:t>3.) Ždo</w:t>
      </w:r>
    </w:p>
    <w:p w:rsidRDefault="00EA4FD5" w:rsidP="00EA4FD5" w:rsidR="00EA4FD5" w:rsidRPr="00E34A19">
      <w:pPr>
        <w:jc w:val="both"/>
        <w:rPr>
          <w:rFonts w:hAnsi="Times New Roman" w:ascii="Times New Roman"/>
          <w:color w:val="FFFFFF"/>
          <w:szCs w:val="24"/>
        </w:rPr>
      </w:pPr>
      <w:r w:rsidRPr="00E34A19">
        <w:rPr>
          <w:rFonts w:hAnsi="Times New Roman" w:ascii="Times New Roman"/>
          <w:color w:val="FFFFFF"/>
          <w:szCs w:val="24"/>
        </w:rPr>
        <w:t>4.) Sudski registar – elektronski i neposredno po pravomoćnosti</w:t>
      </w:r>
    </w:p>
    <w:p w:rsidRDefault="00EA4FD5" w:rsidP="00EA4FD5" w:rsidR="00EA4FD5" w:rsidRPr="00E34A19">
      <w:pPr>
        <w:jc w:val="both"/>
        <w:rPr>
          <w:rFonts w:hAnsi="Times New Roman" w:ascii="Times New Roman"/>
          <w:color w:val="FFFFFF"/>
          <w:szCs w:val="24"/>
        </w:rPr>
      </w:pPr>
      <w:r w:rsidRPr="00E34A19">
        <w:rPr>
          <w:rFonts w:hAnsi="Times New Roman" w:ascii="Times New Roman"/>
          <w:color w:val="FFFFFF"/>
          <w:szCs w:val="24"/>
        </w:rPr>
        <w:t>6.) Porezna uprava Avenija Dubrovnik 32</w:t>
      </w:r>
    </w:p>
    <w:p w:rsidRDefault="00EA4FD5" w:rsidP="00EA4FD5" w:rsidR="00EA4FD5" w:rsidRPr="00E34A19">
      <w:pPr>
        <w:jc w:val="both"/>
        <w:rPr>
          <w:rFonts w:hAnsi="Times New Roman" w:ascii="Times New Roman"/>
          <w:color w:val="FFFFFF"/>
          <w:szCs w:val="24"/>
        </w:rPr>
      </w:pPr>
      <w:r w:rsidRPr="00E34A19">
        <w:rPr>
          <w:rFonts w:hAnsi="Times New Roman" w:ascii="Times New Roman"/>
          <w:color w:val="FFFFFF"/>
          <w:szCs w:val="24"/>
        </w:rPr>
        <w:t>7.) stečajni upravitelj Tibor Toth</w:t>
      </w:r>
    </w:p>
    <w:p w:rsidRDefault="00EA4FD5" w:rsidP="00EA4FD5" w:rsidR="00EA4FD5" w:rsidRPr="00E34A19">
      <w:pPr>
        <w:jc w:val="both"/>
        <w:rPr>
          <w:rFonts w:hAnsi="Times New Roman" w:ascii="Times New Roman"/>
          <w:color w:val="FFFFFF"/>
          <w:sz w:val="22"/>
        </w:rPr>
      </w:pPr>
      <w:r w:rsidRPr="00E34A19">
        <w:rPr>
          <w:rFonts w:hAnsi="Times New Roman" w:ascii="Times New Roman"/>
          <w:color w:val="FFFFFF"/>
          <w:szCs w:val="24"/>
        </w:rPr>
        <w:t xml:space="preserve"> </w:t>
      </w:r>
    </w:p>
    <w:p w:rsidRDefault="00857D01" w:rsidP="00857D01" w:rsidR="00857D01" w:rsidRPr="00E34A19">
      <w:pPr>
        <w:jc w:val="both"/>
        <w:rPr>
          <w:rFonts w:hAnsi="Times New Roman" w:ascii="Times New Roman"/>
          <w:i/>
          <w:color w:val="000000"/>
          <w:szCs w:val="24"/>
        </w:rPr>
      </w:pPr>
    </w:p>
    <w:p w:rsidRDefault="00857D01" w:rsidP="00857D01" w:rsidR="00857D01" w:rsidRPr="00E34A19">
      <w:pPr>
        <w:jc w:val="center"/>
        <w:rPr>
          <w:color w:val="000000"/>
        </w:rPr>
      </w:pPr>
    </w:p>
    <w:p w:rsidRDefault="00857D01" w:rsidP="00857D01" w:rsidR="00857D01" w:rsidRPr="00E34A19">
      <w:pPr>
        <w:rPr>
          <w:rFonts w:hAnsi="Times New Roman" w:ascii="Times New Roman"/>
          <w:color w:val="000000"/>
          <w:sz w:val="32"/>
          <w:highlight w:val="green"/>
          <w:u w:val="single"/>
        </w:rPr>
      </w:pPr>
    </w:p>
    <w:p w:rsidRDefault="00DA5881" w:rsidR="00DA5881" w:rsidRPr="00E34A19">
      <w:pPr>
        <w:rPr>
          <w:color w:val="000000"/>
        </w:rPr>
      </w:pPr>
    </w:p>
    <w:sectPr w:rsidSect="00840E3D" w:rsidR="00DA5881" w:rsidRPr="00E34A19">
      <w:headerReference w:type="default" r:id="rId9"/>
      <w:footerReference w:type="defaul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492" w:rsidR="00C73D23" w:rsidRPr="00E34A19">
      <w:pPr>
        <w:rPr>
          <w:color w:val="000000"/>
        </w:rPr>
      </w:pPr>
      <w:r w:rsidRPr="00E34A19">
        <w:rPr>
          <w:color w:val="000000"/>
        </w:rPr>
        <w:separator/>
      </w:r>
    </w:p>
  </w:endnote>
  <w:endnote w:id="0" w:type="continuationSeparator">
    <w:p w:rsidRDefault="00C90492" w:rsidR="00C73D23" w:rsidRPr="00E34A19">
      <w:pPr>
        <w:rPr>
          <w:color w:val="000000"/>
        </w:rPr>
      </w:pPr>
      <w:r w:rsidRPr="00E34A19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0B10" w:rsidR="00280A5F" w:rsidRPr="00E34A19">
    <w:pPr>
      <w:pStyle w:val="Podnoje"/>
      <w:jc w:val="right"/>
      <w:rPr>
        <w:color w:val="000000"/>
      </w:rPr>
    </w:pPr>
  </w:p>
  <w:p w:rsidRDefault="004E0B10" w:rsidR="00280A5F" w:rsidRPr="00E34A19">
    <w:pPr>
      <w:pStyle w:val="Podnoje"/>
      <w:rPr>
        <w:color w:val="00000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492" w:rsidR="00C73D23" w:rsidRPr="00E34A19">
      <w:pPr>
        <w:rPr>
          <w:color w:val="000000"/>
        </w:rPr>
      </w:pPr>
      <w:r w:rsidRPr="00E34A19">
        <w:rPr>
          <w:color w:val="000000"/>
        </w:rPr>
        <w:separator/>
      </w:r>
    </w:p>
  </w:footnote>
  <w:footnote w:id="0" w:type="continuationSeparator">
    <w:p w:rsidRDefault="00C90492" w:rsidR="00C73D23" w:rsidRPr="00E34A19">
      <w:pPr>
        <w:rPr>
          <w:color w:val="000000"/>
        </w:rPr>
      </w:pPr>
      <w:r w:rsidRPr="00E34A19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92929616"/>
      <w:docPartObj>
        <w:docPartGallery w:val="Page Numbers (Top of Page)"/>
        <w:docPartUnique/>
      </w:docPartObj>
    </w:sdtPr>
    <w:sdtEndPr/>
    <w:sdtContent>
      <w:p w:rsidRDefault="00857D01" w:rsidR="0034018F" w:rsidRPr="00E34A19">
        <w:pPr>
          <w:pStyle w:val="Zaglavlje"/>
          <w:jc w:val="center"/>
          <w:rPr>
            <w:color w:val="000000"/>
          </w:rPr>
        </w:pPr>
        <w:r w:rsidRPr="00E34A19">
          <w:rPr>
            <w:color w:val="000000"/>
          </w:rPr>
          <w:fldChar w:fldCharType="begin"/>
        </w:r>
        <w:r w:rsidRPr="00E34A19">
          <w:rPr>
            <w:color w:val="000000"/>
          </w:rPr>
          <w:instrText>PAGE   \* MERGEFORMAT</w:instrText>
        </w:r>
        <w:r w:rsidRPr="00E34A19">
          <w:rPr>
            <w:color w:val="000000"/>
          </w:rPr>
          <w:fldChar w:fldCharType="separate"/>
        </w:r>
        <w:r w:rsidR="004E0B10">
          <w:rPr>
            <w:noProof/>
            <w:color w:val="000000"/>
          </w:rPr>
          <w:t>2</w:t>
        </w:r>
        <w:r w:rsidRPr="00E34A19">
          <w:rPr>
            <w:color w:val="000000"/>
          </w:rPr>
          <w:fldChar w:fldCharType="end"/>
        </w:r>
      </w:p>
    </w:sdtContent>
  </w:sdt>
  <w:p w:rsidRDefault="00857D01" w:rsidP="0064159D" w:rsidR="00DB4528" w:rsidRPr="00E34A19">
    <w:pPr>
      <w:pStyle w:val="Zaglavlje"/>
      <w:jc w:val="right"/>
      <w:rPr>
        <w:rFonts w:hAnsi="Times New Roman" w:ascii="Times New Roman"/>
        <w:color w:val="000000"/>
      </w:rPr>
    </w:pPr>
    <w:r w:rsidRPr="00E34A19">
      <w:rPr>
        <w:rFonts w:hAnsi="Times New Roman" w:ascii="Times New Roman"/>
        <w:color w:val="000000"/>
      </w:rPr>
      <w:t>20.</w:t>
    </w:r>
    <w:r w:rsidRPr="00E34A19">
      <w:rPr>
        <w:rFonts w:hAnsi="Times New Roman" w:ascii="Times New Roman"/>
        <w:b/>
        <w:color w:val="000000"/>
      </w:rPr>
      <w:t xml:space="preserve"> </w:t>
    </w:r>
    <w:r w:rsidRPr="00E34A19">
      <w:rPr>
        <w:rFonts w:hAnsi="Times New Roman" w:ascii="Times New Roman"/>
        <w:color w:val="000000"/>
      </w:rPr>
      <w:t>St-8876/15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7D01"/>
    <w:rsid w:val="00004FF6"/>
    <w:rsid w:val="0004304B"/>
    <w:rsid w:val="0035527C"/>
    <w:rsid w:val="00375C87"/>
    <w:rsid w:val="003D06A8"/>
    <w:rsid w:val="00433639"/>
    <w:rsid w:val="0045625A"/>
    <w:rsid w:val="004C5EC5"/>
    <w:rsid w:val="004E0B10"/>
    <w:rsid w:val="005D6E0C"/>
    <w:rsid w:val="00857D01"/>
    <w:rsid w:val="0086239F"/>
    <w:rsid w:val="009011C8"/>
    <w:rsid w:val="00BF52CF"/>
    <w:rsid w:val="00C73D23"/>
    <w:rsid w:val="00C90492"/>
    <w:rsid w:val="00CD0162"/>
    <w:rsid w:val="00DA5881"/>
    <w:rsid w:val="00E34A19"/>
    <w:rsid w:val="00EA4FD5"/>
    <w:rsid w:val="00EF2BF3"/>
    <w:rsid w:val="00FE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7D01"/>
    <w:rPr>
      <w:rFonts w:hAnsi="Arial" w:ascii="Arial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7D01"/>
    <w:rPr>
      <w:rFonts w:hAnsi="Arial" w:asci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7D01"/>
    <w:rPr>
      <w:rFonts w:hAnsi="Arial" w:ascii="Arial"/>
      <w:sz w:val="24"/>
      <w:lang w:eastAsia="hr-HR"/>
    </w:rPr>
  </w:style>
  <w:style w:customStyle="true" w:styleId="BodyText21" w:type="paragraph">
    <w:name w:val="Body Text 21"/>
    <w:basedOn w:val="Normal"/>
    <w:rsid w:val="00857D0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2B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BF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BF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BF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BF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7D01"/>
    <w:rPr>
      <w:rFonts w:ascii="Arial" w:hAnsi="Arial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7D01"/>
    <w:rPr>
      <w:rFonts w:ascii="Arial" w:hAns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7D01"/>
    <w:rPr>
      <w:rFonts w:ascii="Arial" w:hAnsi="Arial"/>
      <w:sz w:val="24"/>
      <w:lang w:eastAsia="hr-HR"/>
    </w:rPr>
  </w:style>
  <w:style w:customStyle="1" w:styleId="BodyText21" w:type="paragraph">
    <w:name w:val="Body Text 21"/>
    <w:basedOn w:val="Normal"/>
    <w:rsid w:val="00857D0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2B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BF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BF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BF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BF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61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998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32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St-8876/2015-11</izvorni_sadrzaj>
    <derivirana_varijabla naziv="DomainObject.Oznaka_1">St-8876/2015-11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8876</izvorni_sadrzaj>
    <derivirana_varijabla naziv="DomainObject.Predmet.Broj_1">8876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2017.</izvorni_sadrzaj>
    <derivirana_varijabla naziv="DomainObject.Predmet.DatumRjesavanja_1">4.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St-8876/2015</izvorni_sadrzaj>
    <derivirana_varijabla naziv="DomainObject.Predmet.OznakaBroj_1">St-8876/2015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KRALJEV RAJ - Dom za odrasle osobe /starije i nemoćne/ zastupanog po punomoćniku Josip Čavlović</izvorni_sadrzaj>
    <derivirana_varijabla naziv="DomainObject.Predmet.ProtustrankaFormated_1">  KRALJEV RAJ - Dom za odrasle osobe /starije i nemoćne/ zastupanog po punomoćniku Josip Čavlović</derivirana_varijabla>
  </DomainObject.Predmet.ProtustrankaFormated>
  <DomainObject.Predmet.ProtustrankaFormatedOIB>
    <izvorni_sadrzaj>  KRALJEV RAJ - Dom za odrasle osobe /starije i nemoćne/, OIB 85841262516 zastupanog po punomoćniku Josip Čavlović</izvorni_sadrzaj>
    <derivirana_varijabla naziv="DomainObject.Predmet.ProtustrankaFormatedOIB_1">  KRALJEV RAJ - Dom za odrasle osobe /starije i nemoćne/, OIB 85841262516 zastupanog po punomoćniku Josip Čavlović</derivirana_varijabla>
  </DomainObject.Predmet.ProtustrankaFormatedOIB>
  <DomainObject.Predmet.ProtustrankaFormatedWithAdress>
    <izvorni_sadrzaj> KRALJEV RAJ - Dom za odrasle osobe /starije i nemoćne/, Izimje/bb, 10450 Jastrebarsko zastupanog po punomoćniku Josip Čavlović</izvorni_sadrzaj>
    <derivirana_varijabla naziv="DomainObject.Predmet.ProtustrankaFormatedWithAdress_1"> KRALJEV RAJ - Dom za odrasle osobe /starije i nemoćne/, Izimje/bb, 10450 Jastrebarsko zastupanog po punomoćniku Josip Čavlović</derivirana_varijabla>
  </DomainObject.Predmet.ProtustrankaFormatedWithAdress>
  <DomainObject.Predmet.ProtustrankaFormatedWithAdressOIB>
    <izvorni_sadrzaj> KRALJEV RAJ - Dom za odrasle osobe /starije i nemoćne/, OIB 85841262516, Izimje/bb, 10450 Jastrebarsko zastupanog po punomoćniku Josip Čavlović</izvorni_sadrzaj>
    <derivirana_varijabla naziv="DomainObject.Predmet.ProtustrankaFormatedWithAdressOIB_1"> KRALJEV RAJ - Dom za odrasle osobe /starije i nemoćne/, OIB 85841262516, Izimje/bb, 10450 Jastrebarsko zastupanog po punomoćniku Josip Čavlović</derivirana_varijabla>
  </DomainObject.Predmet.ProtustrankaFormatedWithAdressOIB>
  <DomainObject.Predmet.ProtustrankaWithAdress>
    <izvorni_sadrzaj>KRALJEV RAJ - Dom za odrasle osobe /starije i nemoćne/ Izimje/bb, 10450 Jastrebarsko</izvorni_sadrzaj>
    <derivirana_varijabla naziv="DomainObject.Predmet.ProtustrankaWithAdress_1">KRALJEV RAJ - Dom za odrasle osobe /starije i nemoćne/ Izimje/bb, 10450 Jastrebarsko</derivirana_varijabla>
  </DomainObject.Predmet.ProtustrankaWithAdress>
  <DomainObject.Predmet.ProtustrankaWithAdressOIB>
    <izvorni_sadrzaj>KRALJEV RAJ - Dom za odrasle osobe /starije i nemoćne/, OIB 85841262516, Izimje/bb, 10450 Jastrebarsko</izvorni_sadrzaj>
    <derivirana_varijabla naziv="DomainObject.Predmet.ProtustrankaWithAdressOIB_1">KRALJEV RAJ - Dom za odrasle osobe /starije i nemoćne/, OIB 85841262516, Izimje/bb, 10450 Jastrebarsko</derivirana_varijabla>
  </DomainObject.Predmet.ProtustrankaWithAdressOIB>
  <DomainObject.Predmet.ProtustrankaNazivFormated>
    <izvorni_sadrzaj>KRALJEV RAJ - Dom za odrasle osobe /starije i nemoćne/</izvorni_sadrzaj>
    <derivirana_varijabla naziv="DomainObject.Predmet.ProtustrankaNazivFormated_1">KRALJEV RAJ - Dom za odrasle osobe /starije i nemoćne/</derivirana_varijabla>
  </DomainObject.Predmet.ProtustrankaNazivFormated>
  <DomainObject.Predmet.ProtustrankaNazivFormatedOIB>
    <izvorni_sadrzaj>KRALJEV RAJ - Dom za odrasle osobe /starije i nemoćne/, OIB 85841262516</izvorni_sadrzaj>
    <derivirana_varijabla naziv="DomainObject.Predmet.ProtustrankaNazivFormatedOIB_1">KRALJEV RAJ - Dom za odrasle osobe /starije i nemoćne/, OIB 85841262516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KRALJEV RAJ - Dom za odrasle osobe /starije i nemoćne/ zastupanog po punomoćniku Josip Čavlović</item>
    </izvorni_sadrzaj>
    <derivirana_varijabla naziv="DomainObject.Predmet.ProtuStrankaListFormated_1">
      <item>KRALJEV RAJ - Dom za odrasle osobe /starije i nemoćne/ zastupanog po punomoćniku Josip Čavlović</item>
    </derivirana_varijabla>
  </DomainObject.Predmet.ProtuStrankaListFormated>
  <DomainObject.Predmet.ProtuStrankaListFormatedOIB>
    <izvorni_sadrzaj>
      <item>KRALJEV RAJ - Dom za odrasle osobe /starije i nemoćne/, OIB 85841262516 zastupanog po punomoćniku Josip Čavlović</item>
    </izvorni_sadrzaj>
    <derivirana_varijabla naziv="DomainObject.Predmet.ProtuStrankaListFormatedOIB_1">
      <item>KRALJEV RAJ - Dom za odrasle osobe /starije i nemoćne/, OIB 85841262516 zastupanog po punomoćniku Josip Čavlović</item>
    </derivirana_varijabla>
  </DomainObject.Predmet.ProtuStrankaListFormatedOIB>
  <DomainObject.Predmet.ProtuStrankaListFormatedWithAdress>
    <izvorni_sadrzaj>
      <item>KRALJEV RAJ - Dom za odrasle osobe /starije i nemoćne/, Izimje/bb, 10450 Jastrebarsko zastupanog po punomoćniku Josip Čavlović</item>
    </izvorni_sadrzaj>
    <derivirana_varijabla naziv="DomainObject.Predmet.ProtuStrankaListFormatedWithAdress_1">
      <item>KRALJEV RAJ - Dom za odrasle osobe /starije i nemoćne/, Izimje/bb, 10450 Jastrebarsko zastupanog po punomoćniku Josip Čavlović</item>
    </derivirana_varijabla>
  </DomainObject.Predmet.ProtuStrankaListFormatedWithAdress>
  <DomainObject.Predmet.ProtuStrankaListFormatedWithAdressOIB>
    <izvorni_sadrzaj>
      <item>KRALJEV RAJ - Dom za odrasle osobe /starije i nemoćne/, OIB 85841262516, Izimje/bb, 10450 Jastrebarsko zastupanog po punomoćniku Josip Čavlović</item>
    </izvorni_sadrzaj>
    <derivirana_varijabla naziv="DomainObject.Predmet.ProtuStrankaListFormatedWithAdressOIB_1">
      <item>KRALJEV RAJ - Dom za odrasle osobe /starije i nemoćne/, OIB 85841262516, Izimje/bb, 10450 Jastrebarsko zastupanog po punomoćniku Josip Čavlović</item>
    </derivirana_varijabla>
  </DomainObject.Predmet.ProtuStrankaListFormatedWithAdressOIB>
  <DomainObject.Predmet.ProtuStrankaListNazivFormated>
    <izvorni_sadrzaj>
      <item>KRALJEV RAJ - Dom za odrasle osobe /starije i nemoćne/</item>
    </izvorni_sadrzaj>
    <derivirana_varijabla naziv="DomainObject.Predmet.ProtuStrankaListNazivFormated_1">
      <item>KRALJEV RAJ - Dom za odrasle osobe /starije i nemoćne/</item>
    </derivirana_varijabla>
  </DomainObject.Predmet.ProtuStrankaListNazivFormated>
  <DomainObject.Predmet.ProtuStrankaListNazivFormatedOIB>
    <izvorni_sadrzaj>
      <item>KRALJEV RAJ - Dom za odrasle osobe /starije i nemoćne/, OIB 85841262516</item>
    </izvorni_sadrzaj>
    <derivirana_varijabla naziv="DomainObject.Predmet.ProtuStrankaListNazivFormatedOIB_1">
      <item>KRALJEV RAJ - Dom za odrasle osobe /starije i nemoćne/, OIB 85841262516</item>
    </derivirana_varijabla>
  </DomainObject.Predmet.ProtuStrankaListNazivFormatedOIB>
  <DomainObject.Predmet.OstaliListFormated>
    <izvorni_sadrzaj>
      <item>Josip Čavlović punomoćnik sudionika u postupku KRALJEV RAJ - Dom za odrasle osobe /starije i nemoćne/</item>
      <item>Tibor Toth</item>
    </izvorni_sadrzaj>
    <derivirana_varijabla naziv="DomainObject.Predmet.OstaliListFormated_1">
      <item>Josip Čavlović punomoćnik sudionika u postupku KRALJEV RAJ - Dom za odrasle osobe /starije i nemoćne/</item>
      <item>Tibor Toth</item>
    </derivirana_varijabla>
  </DomainObject.Predmet.OstaliListFormated>
  <DomainObject.Predmet.OstaliListFormatedOIB>
    <izvorni_sadrzaj>
      <item>Josip Čavlović, OIB 18370602388 punomoćnik sudionika u postupku KRALJEV RAJ - Dom za odrasle osobe /starije i nemoćne/</item>
      <item>Tibor Toth, OIB 65132060598</item>
    </izvorni_sadrzaj>
    <derivirana_varijabla naziv="DomainObject.Predmet.OstaliListFormatedOIB_1">
      <item>Josip Čavlović, OIB 18370602388 punomoćnik sudionika u postupku KRALJEV RAJ - Dom za odrasle osobe /starije i nemoćne/</item>
      <item>Tibor Toth, OIB 65132060598</item>
    </derivirana_varijabla>
  </DomainObject.Predmet.OstaliListFormatedOIB>
  <DomainObject.Predmet.OstaliListFormatedWithAdress>
    <izvorni_sadrzaj>
      <item>Josip Čavlović, Izimje 47, 10450 Izimje punomoćnik sudionika u postupku KRALJEV RAJ - Dom za odrasle osobe /starije i nemoćne/</item>
      <item>Tibor Toth, Hribarov prilaz 10, 10000 Zagreb</item>
    </izvorni_sadrzaj>
    <derivirana_varijabla naziv="DomainObject.Predmet.OstaliListFormatedWithAdress_1">
      <item>Josip Čavlović, Izimje 47, 10450 Izimje punomoćnik sudionika u postupku KRALJEV RAJ - Dom za odrasle osobe /starije i nemoćne/</item>
      <item>Tibor Toth, Hribarov prilaz 10, 10000 Zagreb</item>
    </derivirana_varijabla>
  </DomainObject.Predmet.OstaliListFormatedWithAdress>
  <DomainObject.Predmet.OstaliListFormatedWithAdressOIB>
    <izvorni_sadrzaj>
      <item>Josip Čavlović, OIB 18370602388, Izimje 47, 10450 Izimje punomoćnik sudionika u postupku KRALJEV RAJ - Dom za odrasle osobe /starije i nemoćne/</item>
      <item>Tibor Toth, OIB 65132060598, Hribarov prilaz 10, 10000 Zagreb</item>
    </izvorni_sadrzaj>
    <derivirana_varijabla naziv="DomainObject.Predmet.OstaliListFormatedWithAdressOIB_1">
      <item>Josip Čavlović, OIB 18370602388, Izimje 47, 10450 Izimje punomoćnik sudionika u postupku KRALJEV RAJ - Dom za odrasle osobe /starije i nemoćne/</item>
      <item>Tibor Toth, OIB 65132060598, Hribarov prilaz 10, 10000 Zagreb</item>
    </derivirana_varijabla>
  </DomainObject.Predmet.OstaliListFormatedWithAdressOIB>
  <DomainObject.Predmet.OstaliListNazivFormated>
    <izvorni_sadrzaj>
      <item>Josip Čavlović</item>
      <item>Tibor Toth</item>
    </izvorni_sadrzaj>
    <derivirana_varijabla naziv="DomainObject.Predmet.OstaliListNazivFormated_1">
      <item>Josip Čavlović</item>
      <item>Tibor Toth</item>
    </derivirana_varijabla>
  </DomainObject.Predmet.OstaliListNazivFormated>
  <DomainObject.Predmet.OstaliListNazivFormatedOIB>
    <izvorni_sadrzaj>
      <item>Josip Čavlović, OIB 18370602388</item>
      <item>Tibor Toth, OIB 65132060598</item>
    </izvorni_sadrzaj>
    <derivirana_varijabla naziv="DomainObject.Predmet.OstaliListNazivFormatedOIB_1">
      <item>Josip Čavlović, OIB 18370602388</item>
      <item>Tibor Toth, OIB 65132060598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St-8876/2015-11</izvorni_sadrzaj>
    <derivirana_varijabla naziv="DomainObject.PoslovniBrojDokumenta_1">St-8876/2015-11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KRALJEV RAJ - Dom za odrasle osobe /starije i nemoćne/</izvorni_sadrzaj>
    <derivirana_varijabla naziv="DomainObject.Predmet.ProtustrankaIDrugi_1">KRALJEV RAJ - Dom za odrasle osobe /starije i nemoćne/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KRALJEV RAJ - Dom za odrasle osobe /starije i nemoćne/, OIB 85841262516, Izimje/bb, 10450 Jastrebarsko</izvorni_sadrzaj>
    <derivirana_varijabla naziv="DomainObject.Predmet.ProtustrankaIDrugiAdressOIB_1">KRALJEV RAJ - Dom za odrasle osobe /starije i nemoćne/, OIB 85841262516, Izimje/bb,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2017.</izvorni_sadrzaj>
    <derivirana_varijabla naziv="DomainObject.Predmet.OdlukaRjesenje.DatumDonosenjaOdluke_1">3.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St-8876/2015-8</izvorni_sadrzaj>
    <derivirana_varijabla naziv="DomainObject.Predmet.OdlukaRjesenje.Oznaka_1">St-8876/2015-8</derivirana_varijabla>
  </DomainObject.Predmet.OdlukaRjesenje.Oznaka>
  <DomainObject.Predmet.SudioniciListNaziv>
    <izvorni_sadrzaj>
      <item>FINA Regionalni centar Zagreb</item>
      <item>KRALJEV RAJ - Dom za odrasle osobe /starije i nemoćne/</item>
      <item>Josip Čavlović</item>
      <item>Tibor Toth</item>
    </izvorni_sadrzaj>
    <derivirana_varijabla naziv="DomainObject.Predmet.SudioniciListNaziv_1">
      <item>FINA Regionalni centar Zagreb</item>
      <item>KRALJEV RAJ - Dom za odrasle osobe /starije i nemoćne/</item>
      <item>Josip Čavlović</item>
      <item>Tibor Toth</item>
    </derivirana_varijabla>
  </DomainObject.Predmet.SudioniciListNaziv>
  <DomainObject.Predmet.SudioniciListAdressOIB>
    <izvorni_sadrzaj>
      <item>FINA Regionalni centar Zagreb, OIB 85821130368, Trg svibanjskih žrtava 1995. 1,10000 Zagreb</item>
      <item>KRALJEV RAJ - Dom za odrasle osobe /starije i nemoćne/, OIB 85841262516, Izimje/bb,10450 Jastrebarsko</item>
      <item>Josip Čavlović, OIB 18370602388, Izimje 47,10450 Izimje</item>
      <item>Tibor Toth, OIB 65132060598, Hribarov prilaz 10,10000 Zagreb</item>
    </izvorni_sadrzaj>
    <derivirana_varijabla naziv="DomainObject.Predmet.SudioniciListAdressOIB_1">
      <item>FINA Regionalni centar Zagreb, OIB 85821130368, Trg svibanjskih žrtava 1995. 1,10000 Zagreb</item>
      <item>KRALJEV RAJ - Dom za odrasle osobe /starije i nemoćne/, OIB 85841262516, Izimje/bb,10450 Jastrebarsko</item>
      <item>Josip Čavlović, OIB 18370602388, Izimje 47,10450 Izimje</item>
      <item>Tibor Toth, OIB 65132060598, Hribarov prilaz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85841262516</item>
      <item>, OIB 18370602388</item>
      <item>, OIB 65132060598</item>
    </izvorni_sadrzaj>
    <derivirana_varijabla naziv="DomainObject.Predmet.SudioniciListNazivOIB_1">
      <item>, OIB 85821130368</item>
      <item>, OIB 85841262516</item>
      <item>, OIB 18370602388</item>
      <item>, OIB 65132060598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1949</properties:Characters>
  <properties:Lines>65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2017-02-20T13:05:00Z</dcterms:created>
  <dc:creator>Valentina Kranjčić</dc:creator>
  <cp:lastModifiedBy>Valentina Kranjčić</cp:lastModifiedBy>
  <cp:lastPrinted>2017-02-20T13:31:00Z</cp:lastPrinted>
  <dcterms:modified xmlns:xsi="http://www.w3.org/2001/XMLSchema-instance" xsi:type="dcterms:W3CDTF">2017-02-20T13:31:00Z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St-8876/2015-11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