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40d92" w14:paraId="b240d92" w:rsidRDefault="00A11E31" w:rsidP="00A11E31" w:rsidR="00A11E31" w:rsidRPr="00A11E31">
      <w:pPr>
        <w:widowControl w:val="false"/>
        <w:jc w:val="both"/>
        <w15:collapsed w:val="false"/>
        <w:rPr>
          <w:snapToGrid w:val="false"/>
          <w:lang w:eastAsia="en-US"/>
        </w:rPr>
      </w:pPr>
      <w:bookmarkStart w:name="_GoBack" w:id="0"/>
      <w:bookmarkEnd w:id="0"/>
      <w:r w:rsidRPr="00A11E31">
        <w:rPr>
          <w:bCs/>
          <w:snapToGrid w:val="false"/>
          <w:lang w:eastAsia="en-US"/>
        </w:rPr>
        <w:t xml:space="preserve">                     </w:t>
      </w:r>
      <w:r w:rsidRPr="00A11E31">
        <w:rPr>
          <w:noProof/>
        </w:rPr>
        <w:drawing>
          <wp:inline distR="0" distL="0" distB="0" distT="0">
            <wp:extent cy="723265" cx="552450"/>
            <wp:effectExtent b="635"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A11E31">
        <w:rPr>
          <w:bCs/>
          <w:snapToGrid w:val="false"/>
          <w:lang w:eastAsia="en-US"/>
        </w:rPr>
        <w:tab/>
      </w:r>
      <w:r w:rsidRPr="00A11E31">
        <w:rPr>
          <w:bCs/>
          <w:snapToGrid w:val="false"/>
          <w:lang w:eastAsia="en-US"/>
        </w:rPr>
        <w:tab/>
        <w:t xml:space="preserve">                             </w:t>
      </w:r>
    </w:p>
    <w:p w:rsidRDefault="00A11E31" w:rsidP="00A11E31" w:rsidR="00A11E31" w:rsidRPr="00A11E31">
      <w:pPr>
        <w:widowControl w:val="false"/>
        <w:jc w:val="both"/>
        <w:rPr>
          <w:snapToGrid w:val="false"/>
          <w:lang w:eastAsia="en-US"/>
        </w:rPr>
      </w:pPr>
      <w:r w:rsidRPr="00A11E31">
        <w:rPr>
          <w:snapToGrid w:val="false"/>
          <w:lang w:eastAsia="en-US"/>
        </w:rPr>
        <w:t xml:space="preserve">       REPUBLIKA HRVATSKA</w:t>
      </w:r>
    </w:p>
    <w:p w:rsidRDefault="00A11E31" w:rsidP="00A11E31" w:rsidR="00A11E31" w:rsidRPr="00A11E31">
      <w:pPr>
        <w:widowControl w:val="false"/>
        <w:jc w:val="both"/>
        <w:rPr>
          <w:snapToGrid w:val="false"/>
          <w:lang w:eastAsia="en-US"/>
        </w:rPr>
      </w:pPr>
      <w:r w:rsidRPr="00A11E31">
        <w:rPr>
          <w:snapToGrid w:val="false"/>
          <w:lang w:eastAsia="en-US"/>
        </w:rPr>
        <w:t>TRGOVAČKI SUD U VARAŽDINU</w:t>
      </w:r>
    </w:p>
    <w:p w:rsidRDefault="00A11E31" w:rsidP="00A11E31" w:rsidR="00A11E31" w:rsidRPr="00A11E31">
      <w:pPr>
        <w:widowControl w:val="false"/>
        <w:rPr>
          <w:bCs/>
          <w:snapToGrid w:val="false"/>
          <w:lang w:eastAsia="en-US"/>
        </w:rPr>
      </w:pPr>
      <w:r w:rsidRPr="00A11E31">
        <w:rPr>
          <w:snapToGrid w:val="false"/>
          <w:lang w:eastAsia="en-US"/>
        </w:rPr>
        <w:t xml:space="preserve">                  B. Radić 2</w:t>
      </w:r>
      <w:r w:rsidRPr="00A11E31">
        <w:rPr>
          <w:bCs/>
          <w:snapToGrid w:val="false"/>
          <w:lang w:eastAsia="en-US"/>
        </w:rPr>
        <w:t xml:space="preserve">                   </w:t>
      </w:r>
      <w:r w:rsidRPr="00A11E31">
        <w:rPr>
          <w:bCs/>
          <w:snapToGrid w:val="false"/>
          <w:lang w:eastAsia="en-US"/>
        </w:rPr>
        <w:tab/>
      </w:r>
      <w:r w:rsidRPr="00A11E31">
        <w:rPr>
          <w:bCs/>
          <w:snapToGrid w:val="false"/>
          <w:lang w:eastAsia="en-US"/>
        </w:rPr>
        <w:tab/>
      </w:r>
      <w:r w:rsidRPr="00A11E31">
        <w:rPr>
          <w:bCs/>
          <w:snapToGrid w:val="false"/>
          <w:lang w:eastAsia="en-US"/>
        </w:rPr>
        <w:tab/>
      </w:r>
    </w:p>
    <w:p w:rsidRDefault="008377B8" w:rsidP="008377B8" w:rsidR="008377B8" w:rsidRPr="00C60298">
      <w:pPr>
        <w:jc w:val="right"/>
        <w:rPr>
          <w:rFonts w:cs="Arial" w:hAnsi="Arial" w:ascii="Arial"/>
          <w:color w:val="000000"/>
          <w:sz w:val="22"/>
          <w:szCs w:val="22"/>
        </w:rPr>
      </w:pPr>
    </w:p>
    <w:p w:rsidRDefault="008377B8" w:rsidP="008377B8" w:rsidR="008377B8" w:rsidRPr="00C60298">
      <w:pPr>
        <w:jc w:val="right"/>
        <w:rPr>
          <w:rFonts w:cs="Arial" w:hAnsi="Arial" w:ascii="Arial"/>
          <w:color w:val="000000"/>
          <w:sz w:val="22"/>
          <w:szCs w:val="22"/>
        </w:rPr>
      </w:pPr>
    </w:p>
    <w:p w:rsidRDefault="00265B1E" w:rsidP="00265B1E" w:rsidR="008377B8" w:rsidRPr="00265B1E">
      <w:pPr>
        <w:jc w:val="center"/>
        <w:rPr>
          <w:color w:val="000000"/>
        </w:rPr>
      </w:pPr>
      <w:r>
        <w:rPr>
          <w:rFonts w:cs="Arial" w:hAnsi="Arial" w:ascii="Arial"/>
          <w:color w:val="000000"/>
          <w:sz w:val="22"/>
          <w:szCs w:val="22"/>
        </w:rPr>
        <w:t xml:space="preserve"> </w:t>
      </w:r>
      <w:r w:rsidRPr="00265B1E">
        <w:rPr>
          <w:color w:val="000000"/>
        </w:rPr>
        <w:t>R E P U B L I K A  H R V A T S K A</w:t>
      </w:r>
    </w:p>
    <w:p w:rsidRDefault="008377B8" w:rsidP="008377B8" w:rsidR="008377B8" w:rsidRPr="00676621">
      <w:pPr>
        <w:jc w:val="center"/>
        <w:rPr>
          <w:color w:val="000000"/>
        </w:rPr>
      </w:pPr>
      <w:r w:rsidRPr="00676621">
        <w:rPr>
          <w:color w:val="000000"/>
        </w:rPr>
        <w:t>R J E Š E N J E</w:t>
      </w:r>
    </w:p>
    <w:p w:rsidRDefault="008377B8" w:rsidP="008377B8" w:rsidR="008377B8" w:rsidRPr="00676621">
      <w:pPr>
        <w:jc w:val="center"/>
        <w:rPr>
          <w:color w:val="000000"/>
        </w:rPr>
      </w:pPr>
    </w:p>
    <w:p w:rsidRDefault="008377B8" w:rsidP="008377B8" w:rsidR="008377B8" w:rsidRPr="00676621">
      <w:pPr>
        <w:jc w:val="center"/>
        <w:rPr>
          <w:color w:val="000000"/>
        </w:rPr>
      </w:pPr>
    </w:p>
    <w:p w:rsidRDefault="004B330C" w:rsidP="008377B8" w:rsidR="008377B8" w:rsidRPr="00676621">
      <w:pPr>
        <w:ind w:firstLine="720"/>
        <w:jc w:val="both"/>
      </w:pPr>
      <w:r>
        <w:t>Trgovački sud u Varaždinu, po sutkinji toga suda Maji Valušnig, kao stečajnom sucu, povodom prijedloga predlagatelja/dužnika STANOING d.o.o., Varaždin, J. Habdelića 4, OIB: 21611439134, za sklapanje predstečajne nagodbe</w:t>
      </w:r>
      <w:r w:rsidR="00E20A4F">
        <w:t xml:space="preserve">, </w:t>
      </w:r>
      <w:r w:rsidR="008377B8" w:rsidRPr="00676621">
        <w:t xml:space="preserve">dana </w:t>
      </w:r>
      <w:r w:rsidR="00EF5B8E">
        <w:t>15</w:t>
      </w:r>
      <w:r w:rsidR="008377B8" w:rsidRPr="00676621">
        <w:t xml:space="preserve">. </w:t>
      </w:r>
      <w:r w:rsidR="00EF5B8E">
        <w:t>rujna</w:t>
      </w:r>
      <w:r w:rsidR="008377B8" w:rsidRPr="00676621">
        <w:t xml:space="preserve"> 201</w:t>
      </w:r>
      <w:r w:rsidR="00EF5B8E">
        <w:t>5</w:t>
      </w:r>
      <w:r w:rsidR="008377B8" w:rsidRPr="00676621">
        <w:t xml:space="preserve">. </w:t>
      </w:r>
    </w:p>
    <w:p w:rsidRDefault="00AA4793" w:rsidP="008377B8" w:rsidR="00AA4793" w:rsidRPr="00676621">
      <w:pPr>
        <w:jc w:val="both"/>
        <w:rPr>
          <w:color w:val="000000"/>
        </w:rPr>
      </w:pPr>
    </w:p>
    <w:p w:rsidRDefault="00265B1E" w:rsidP="008377B8" w:rsidR="008377B8" w:rsidRPr="00676621">
      <w:pPr>
        <w:jc w:val="center"/>
        <w:rPr>
          <w:color w:val="000000"/>
        </w:rPr>
      </w:pPr>
      <w:r>
        <w:rPr>
          <w:color w:val="000000"/>
        </w:rPr>
        <w:t>r i j e š i o  j e</w:t>
      </w:r>
    </w:p>
    <w:p w:rsidRDefault="008377B8" w:rsidP="008377B8" w:rsidR="008377B8" w:rsidRPr="00676621">
      <w:pPr>
        <w:jc w:val="center"/>
        <w:rPr>
          <w:color w:val="000000"/>
        </w:rPr>
      </w:pPr>
    </w:p>
    <w:p w:rsidRDefault="008377B8" w:rsidP="008377B8" w:rsidR="00676621">
      <w:pPr>
        <w:jc w:val="both"/>
        <w:rPr>
          <w:color w:val="000000"/>
        </w:rPr>
      </w:pPr>
      <w:r w:rsidRPr="00676621">
        <w:rPr>
          <w:color w:val="000000"/>
        </w:rPr>
        <w:tab/>
      </w:r>
      <w:r w:rsidR="001E0F18">
        <w:rPr>
          <w:color w:val="000000"/>
        </w:rPr>
        <w:t xml:space="preserve">I Određuje se </w:t>
      </w:r>
      <w:r w:rsidR="001B6FBA">
        <w:rPr>
          <w:color w:val="000000"/>
        </w:rPr>
        <w:t xml:space="preserve">prekid </w:t>
      </w:r>
      <w:r w:rsidRPr="00676621">
        <w:rPr>
          <w:color w:val="000000"/>
        </w:rPr>
        <w:t>postupka</w:t>
      </w:r>
      <w:r w:rsidR="001B6FBA">
        <w:rPr>
          <w:color w:val="000000"/>
        </w:rPr>
        <w:t xml:space="preserve"> </w:t>
      </w:r>
      <w:r w:rsidR="00676621" w:rsidRPr="00676621">
        <w:rPr>
          <w:color w:val="000000"/>
        </w:rPr>
        <w:t>u ovoj pravnoj stvari.</w:t>
      </w:r>
    </w:p>
    <w:p w:rsidRDefault="00265B1E" w:rsidP="008377B8" w:rsidR="00265B1E">
      <w:pPr>
        <w:jc w:val="both"/>
        <w:rPr>
          <w:color w:val="000000"/>
        </w:rPr>
      </w:pPr>
    </w:p>
    <w:p w:rsidRDefault="001E0F18" w:rsidP="001E0F18" w:rsidR="001E0F18">
      <w:pPr>
        <w:ind w:firstLine="708"/>
        <w:jc w:val="both"/>
        <w:rPr>
          <w:color w:val="000000"/>
        </w:rPr>
      </w:pPr>
      <w:r>
        <w:rPr>
          <w:color w:val="000000"/>
        </w:rPr>
        <w:t>II Postupak će se nastaviti kad se pravomoćno završi postupak koji se vodi</w:t>
      </w:r>
      <w:r w:rsidR="00EF5B8E">
        <w:rPr>
          <w:color w:val="000000"/>
        </w:rPr>
        <w:t xml:space="preserve"> pred Upravnim sudom u Zagrebu povodom tužbi tužiteljice Ivke Vidić protiv rješenja Republike Hrvatske, Ministarstva financija, Samostalnog sektora za drugostupanjski upravni postupak, klasa:UP/II-423-01/15-01/307, ur. br. 513-04/15-2 od 18. svibnja 2015. i </w:t>
      </w:r>
      <w:r w:rsidR="00EF5B8E" w:rsidRPr="00EF5B8E">
        <w:rPr>
          <w:color w:val="000000"/>
        </w:rPr>
        <w:t>klasa:UP/II-423-01/15-01/</w:t>
      </w:r>
      <w:r w:rsidR="00EF5B8E">
        <w:rPr>
          <w:color w:val="000000"/>
        </w:rPr>
        <w:t>139</w:t>
      </w:r>
      <w:r w:rsidR="00EF5B8E" w:rsidRPr="00EF5B8E">
        <w:rPr>
          <w:color w:val="000000"/>
        </w:rPr>
        <w:t xml:space="preserve">, ur. br. 513-04/15-2 od </w:t>
      </w:r>
      <w:r w:rsidR="00EF5B8E">
        <w:rPr>
          <w:color w:val="000000"/>
        </w:rPr>
        <w:t>30</w:t>
      </w:r>
      <w:r w:rsidR="00EF5B8E" w:rsidRPr="00EF5B8E">
        <w:rPr>
          <w:color w:val="000000"/>
        </w:rPr>
        <w:t xml:space="preserve">. </w:t>
      </w:r>
      <w:r w:rsidR="00EF5B8E">
        <w:rPr>
          <w:color w:val="000000"/>
        </w:rPr>
        <w:t>travnja</w:t>
      </w:r>
      <w:r w:rsidR="00EF5B8E" w:rsidRPr="00EF5B8E">
        <w:rPr>
          <w:color w:val="000000"/>
        </w:rPr>
        <w:t xml:space="preserve"> 2015.</w:t>
      </w:r>
      <w:r>
        <w:rPr>
          <w:color w:val="000000"/>
        </w:rPr>
        <w:t xml:space="preserve"> </w:t>
      </w:r>
      <w:r w:rsidR="00B06282">
        <w:rPr>
          <w:color w:val="000000"/>
        </w:rPr>
        <w:t>ili kad sud ustanovi kako više ne postoje razlozi da se čeka na završetak toga post</w:t>
      </w:r>
      <w:r w:rsidR="00EF5B8E">
        <w:rPr>
          <w:color w:val="000000"/>
        </w:rPr>
        <w:t>u</w:t>
      </w:r>
      <w:r w:rsidR="00B06282">
        <w:rPr>
          <w:color w:val="000000"/>
        </w:rPr>
        <w:t>pka.</w:t>
      </w:r>
    </w:p>
    <w:p w:rsidRDefault="00E10041" w:rsidP="008377B8" w:rsidR="00E10041">
      <w:pPr>
        <w:jc w:val="both"/>
        <w:rPr>
          <w:color w:val="000000"/>
        </w:rPr>
      </w:pPr>
    </w:p>
    <w:p w:rsidRDefault="00676621" w:rsidP="009A0B38" w:rsidR="008377B8" w:rsidRPr="00676621">
      <w:pPr>
        <w:jc w:val="center"/>
        <w:rPr>
          <w:color w:val="000000"/>
        </w:rPr>
      </w:pPr>
      <w:r w:rsidRPr="00676621">
        <w:rPr>
          <w:color w:val="000000"/>
        </w:rPr>
        <w:t>Obrazloženje</w:t>
      </w:r>
    </w:p>
    <w:p w:rsidRDefault="008377B8" w:rsidP="008377B8" w:rsidR="008377B8" w:rsidRPr="00676621">
      <w:pPr>
        <w:jc w:val="center"/>
        <w:rPr>
          <w:color w:val="000000"/>
        </w:rPr>
      </w:pPr>
    </w:p>
    <w:p w:rsidRDefault="008377B8" w:rsidP="00EF5B8E" w:rsidR="00EF5B8E" w:rsidRPr="00EF5B8E">
      <w:pPr>
        <w:jc w:val="both"/>
        <w:rPr>
          <w:color w:val="000000"/>
        </w:rPr>
      </w:pPr>
      <w:r w:rsidRPr="00676621">
        <w:rPr>
          <w:color w:val="000000"/>
        </w:rPr>
        <w:tab/>
      </w:r>
      <w:r w:rsidR="00EF5B8E" w:rsidRPr="00EF5B8E">
        <w:rPr>
          <w:color w:val="000000"/>
        </w:rPr>
        <w:t xml:space="preserve">Dužnik je 11. lipnja 2015. podnio prijedlog za sklapanje predstečajne nagodbe, uz koji je dostavio cjelokupni spis </w:t>
      </w:r>
      <w:r w:rsidR="00265B1E">
        <w:rPr>
          <w:color w:val="000000"/>
        </w:rPr>
        <w:t>Financijske agencije</w:t>
      </w:r>
      <w:r w:rsidR="00EF5B8E" w:rsidRPr="00EF5B8E">
        <w:rPr>
          <w:color w:val="000000"/>
        </w:rPr>
        <w:t>.</w:t>
      </w:r>
    </w:p>
    <w:p w:rsidRDefault="00EF5B8E" w:rsidP="00EF5B8E" w:rsidR="00EF5B8E" w:rsidRPr="00EF5B8E">
      <w:pPr>
        <w:jc w:val="both"/>
        <w:rPr>
          <w:color w:val="000000"/>
        </w:rPr>
      </w:pPr>
      <w:r w:rsidRPr="00EF5B8E">
        <w:rPr>
          <w:color w:val="000000"/>
        </w:rPr>
        <w:t xml:space="preserve"> </w:t>
      </w:r>
    </w:p>
    <w:p w:rsidRDefault="00EF5B8E" w:rsidP="00EF5B8E" w:rsidR="00EF5B8E" w:rsidRPr="00EF5B8E">
      <w:pPr>
        <w:jc w:val="both"/>
        <w:rPr>
          <w:color w:val="000000"/>
        </w:rPr>
      </w:pPr>
      <w:r w:rsidRPr="00EF5B8E">
        <w:rPr>
          <w:color w:val="000000"/>
        </w:rPr>
        <w:tab/>
        <w:t xml:space="preserve">Iz priložene dokumentacije utvrđeno je da je nad dužnikom proveden postupak predstečajne nagodbe pred </w:t>
      </w:r>
      <w:r w:rsidR="00265B1E">
        <w:rPr>
          <w:color w:val="000000"/>
        </w:rPr>
        <w:t>Financijskom agencijom</w:t>
      </w:r>
      <w:r w:rsidR="00265B1E" w:rsidRPr="00EF5B8E">
        <w:rPr>
          <w:color w:val="000000"/>
        </w:rPr>
        <w:t xml:space="preserve"> </w:t>
      </w:r>
      <w:r w:rsidRPr="00EF5B8E">
        <w:rPr>
          <w:color w:val="000000"/>
        </w:rPr>
        <w:t xml:space="preserve">te je </w:t>
      </w:r>
      <w:r w:rsidR="00265B1E">
        <w:rPr>
          <w:color w:val="000000"/>
        </w:rPr>
        <w:t>Financijska agencija</w:t>
      </w:r>
      <w:r w:rsidRPr="00EF5B8E">
        <w:rPr>
          <w:color w:val="000000"/>
        </w:rPr>
        <w:t xml:space="preserve"> donijela rješenje poslovni broj klasa: UP-I/110/07/14-01/7158, ur.br. 04-06-15-7158-1088 od 25. ožujka 2015., koje je postalo izvršno dana 30. svibnja 2015. koj</w:t>
      </w:r>
      <w:r w:rsidR="00265B1E">
        <w:rPr>
          <w:color w:val="000000"/>
        </w:rPr>
        <w:t xml:space="preserve">im je utvrđeno da su za plan </w:t>
      </w:r>
      <w:r w:rsidRPr="00EF5B8E">
        <w:rPr>
          <w:color w:val="000000"/>
        </w:rPr>
        <w:t>financijskog restrukturiranja glasovali vjerovnici čije tražbine prelaze dvije trećine vrijednosti svih utvrđenih tražbina, odnosno u ukupnom omjeru glasova 74,21% vjerovnika.</w:t>
      </w:r>
    </w:p>
    <w:p w:rsidRDefault="00EF5B8E" w:rsidP="00EF5B8E" w:rsidR="00EF5B8E" w:rsidRPr="00EF5B8E">
      <w:pPr>
        <w:jc w:val="both"/>
        <w:rPr>
          <w:color w:val="000000"/>
        </w:rPr>
      </w:pPr>
    </w:p>
    <w:p w:rsidRDefault="00EF5B8E" w:rsidP="00EF5B8E" w:rsidR="00EF5B8E" w:rsidRPr="00EF5B8E">
      <w:pPr>
        <w:jc w:val="both"/>
        <w:rPr>
          <w:color w:val="000000"/>
        </w:rPr>
      </w:pPr>
      <w:r>
        <w:rPr>
          <w:color w:val="000000"/>
        </w:rPr>
        <w:tab/>
        <w:t>Na ročištu za sklapanje predstečajne nagodbe 14. rujna 2015. punomoćnik vjerovnice Ivke Vidić preložio je prekid ovog postupka jer je ista podnijela tužbe Upravnom sudu protiv rješenja Republike Hrvatske, Ministarstva financija, Samostalnog sektora za drugostupanjski upravni postupak, klasa:UP/II-423-01/15-01/307, ur. br. 513-04/15-2 od 18. svibnja 2015.</w:t>
      </w:r>
      <w:r w:rsidR="001B6FBA">
        <w:rPr>
          <w:color w:val="000000"/>
        </w:rPr>
        <w:t>,</w:t>
      </w:r>
      <w:r w:rsidR="006E7CF2">
        <w:rPr>
          <w:color w:val="000000"/>
        </w:rPr>
        <w:t xml:space="preserve"> kojim je</w:t>
      </w:r>
      <w:r w:rsidR="006E7CF2" w:rsidRPr="006E7CF2">
        <w:rPr>
          <w:color w:val="000000"/>
        </w:rPr>
        <w:t xml:space="preserve"> odlučeno o žalbi protiv rješenja Financijske agencije, Nagodbenog vijeća ZG17 Klasa: UP/II/110/07/14-01/7158, ur. br. 04-06-15-7158-</w:t>
      </w:r>
      <w:r w:rsidR="006E7CF2">
        <w:rPr>
          <w:color w:val="000000"/>
        </w:rPr>
        <w:t>1088</w:t>
      </w:r>
      <w:r w:rsidR="006E7CF2" w:rsidRPr="006E7CF2">
        <w:rPr>
          <w:color w:val="000000"/>
        </w:rPr>
        <w:t xml:space="preserve"> od </w:t>
      </w:r>
      <w:r w:rsidR="006E7CF2">
        <w:rPr>
          <w:color w:val="000000"/>
        </w:rPr>
        <w:t>25</w:t>
      </w:r>
      <w:r w:rsidR="006E7CF2" w:rsidRPr="006E7CF2">
        <w:rPr>
          <w:color w:val="000000"/>
        </w:rPr>
        <w:t xml:space="preserve">. </w:t>
      </w:r>
      <w:r w:rsidR="006E7CF2">
        <w:rPr>
          <w:color w:val="000000"/>
        </w:rPr>
        <w:t>ožujka</w:t>
      </w:r>
      <w:r w:rsidR="006E7CF2" w:rsidRPr="006E7CF2">
        <w:rPr>
          <w:color w:val="000000"/>
        </w:rPr>
        <w:t xml:space="preserve"> 2015.</w:t>
      </w:r>
      <w:r w:rsidR="006E7CF2">
        <w:rPr>
          <w:color w:val="000000"/>
        </w:rPr>
        <w:t xml:space="preserve"> </w:t>
      </w:r>
      <w:r>
        <w:rPr>
          <w:color w:val="000000"/>
        </w:rPr>
        <w:t xml:space="preserve">i </w:t>
      </w:r>
      <w:r w:rsidR="006E7CF2">
        <w:rPr>
          <w:color w:val="000000"/>
        </w:rPr>
        <w:t>rješenja</w:t>
      </w:r>
      <w:r w:rsidR="006E7CF2" w:rsidRPr="006E7CF2">
        <w:rPr>
          <w:color w:val="000000"/>
        </w:rPr>
        <w:t xml:space="preserve"> Republike Hrvatske, Ministarstva financija, Samostalnog sektora za drugostupanjski upravni postupak</w:t>
      </w:r>
      <w:r w:rsidR="006E7CF2">
        <w:rPr>
          <w:color w:val="000000"/>
        </w:rPr>
        <w:t xml:space="preserve"> </w:t>
      </w:r>
      <w:r w:rsidRPr="00EF5B8E">
        <w:rPr>
          <w:color w:val="000000"/>
        </w:rPr>
        <w:t>klasa:UP/II-423-01/15-01/</w:t>
      </w:r>
      <w:r>
        <w:rPr>
          <w:color w:val="000000"/>
        </w:rPr>
        <w:t>139</w:t>
      </w:r>
      <w:r w:rsidRPr="00EF5B8E">
        <w:rPr>
          <w:color w:val="000000"/>
        </w:rPr>
        <w:t xml:space="preserve">, ur. br. 513-04/15-2 od </w:t>
      </w:r>
      <w:r>
        <w:rPr>
          <w:color w:val="000000"/>
        </w:rPr>
        <w:t>30</w:t>
      </w:r>
      <w:r w:rsidRPr="00EF5B8E">
        <w:rPr>
          <w:color w:val="000000"/>
        </w:rPr>
        <w:t xml:space="preserve">. </w:t>
      </w:r>
      <w:r>
        <w:rPr>
          <w:color w:val="000000"/>
        </w:rPr>
        <w:t>travnja</w:t>
      </w:r>
      <w:r w:rsidRPr="00EF5B8E">
        <w:rPr>
          <w:color w:val="000000"/>
        </w:rPr>
        <w:t xml:space="preserve"> 2015.</w:t>
      </w:r>
      <w:r w:rsidR="001B6FBA">
        <w:rPr>
          <w:color w:val="000000"/>
        </w:rPr>
        <w:t>,</w:t>
      </w:r>
      <w:r w:rsidR="006E7CF2">
        <w:rPr>
          <w:color w:val="000000"/>
        </w:rPr>
        <w:t xml:space="preserve"> kojim je odlučeno o žalbi protiv rješenja Financijske agencije, Nagodbenog vijeća ZG17 Klasa: UP/II/110/07/14-01/7158, ur. br. 04-06-15-7158-748 od 16. veljače 2015.</w:t>
      </w:r>
    </w:p>
    <w:p w:rsidRDefault="0042141F" w:rsidP="00EF5B8E" w:rsidR="0042141F">
      <w:pPr>
        <w:jc w:val="both"/>
        <w:rPr>
          <w:color w:val="000000"/>
        </w:rPr>
      </w:pPr>
    </w:p>
    <w:p w:rsidRDefault="0042141F" w:rsidP="0042141F" w:rsidR="0042141F">
      <w:pPr>
        <w:ind w:firstLine="708"/>
        <w:jc w:val="both"/>
        <w:rPr>
          <w:color w:val="000000"/>
        </w:rPr>
      </w:pPr>
      <w:r>
        <w:rPr>
          <w:color w:val="000000"/>
        </w:rPr>
        <w:t>Budući da odluka</w:t>
      </w:r>
      <w:r w:rsidR="001B6FBA" w:rsidRPr="001B6FBA">
        <w:rPr>
          <w:color w:val="000000"/>
        </w:rPr>
        <w:t xml:space="preserve"> </w:t>
      </w:r>
      <w:r w:rsidR="001B6FBA">
        <w:rPr>
          <w:color w:val="000000"/>
        </w:rPr>
        <w:t>o ispunjenju pretpostavki za sklapanje predstečajne nagodbe</w:t>
      </w:r>
      <w:r>
        <w:rPr>
          <w:color w:val="000000"/>
        </w:rPr>
        <w:t xml:space="preserve"> u ovom predmetu</w:t>
      </w:r>
      <w:r w:rsidR="006E7CF2">
        <w:rPr>
          <w:color w:val="000000"/>
        </w:rPr>
        <w:t xml:space="preserve"> </w:t>
      </w:r>
      <w:r>
        <w:rPr>
          <w:color w:val="000000"/>
        </w:rPr>
        <w:t>o</w:t>
      </w:r>
      <w:r w:rsidR="006E7CF2">
        <w:rPr>
          <w:color w:val="000000"/>
        </w:rPr>
        <w:t>visi o zakonitosti</w:t>
      </w:r>
      <w:r w:rsidR="001B6FBA">
        <w:rPr>
          <w:color w:val="000000"/>
        </w:rPr>
        <w:t xml:space="preserve"> pobijanih</w:t>
      </w:r>
      <w:r w:rsidR="006E7CF2">
        <w:rPr>
          <w:color w:val="000000"/>
        </w:rPr>
        <w:t xml:space="preserve"> upravnih akata donesenih od strane </w:t>
      </w:r>
      <w:r w:rsidR="001B6FBA">
        <w:rPr>
          <w:color w:val="000000"/>
        </w:rPr>
        <w:t>Financijske agencije</w:t>
      </w:r>
      <w:r w:rsidR="006E7CF2">
        <w:rPr>
          <w:color w:val="000000"/>
        </w:rPr>
        <w:t xml:space="preserve"> u postupku predstečajne nagodbe, jer </w:t>
      </w:r>
      <w:r w:rsidR="001B6FBA">
        <w:rPr>
          <w:color w:val="000000"/>
        </w:rPr>
        <w:t>navedena pobijana rješenja Fi</w:t>
      </w:r>
      <w:r w:rsidR="006E7CF2">
        <w:rPr>
          <w:color w:val="000000"/>
        </w:rPr>
        <w:t>nancijske agencije predstavljaju temelj za sklapanje pre</w:t>
      </w:r>
      <w:r w:rsidR="001B6FBA">
        <w:rPr>
          <w:color w:val="000000"/>
        </w:rPr>
        <w:t>dst</w:t>
      </w:r>
      <w:r w:rsidR="006E7CF2">
        <w:rPr>
          <w:color w:val="000000"/>
        </w:rPr>
        <w:t>ečajne nagodbe</w:t>
      </w:r>
      <w:r>
        <w:rPr>
          <w:color w:val="000000"/>
        </w:rPr>
        <w:t>, ovaj je s</w:t>
      </w:r>
      <w:r w:rsidR="004F59C9">
        <w:rPr>
          <w:color w:val="000000"/>
        </w:rPr>
        <w:t>ud</w:t>
      </w:r>
      <w:r w:rsidR="001B6FBA">
        <w:rPr>
          <w:color w:val="000000"/>
        </w:rPr>
        <w:t xml:space="preserve"> zaključio da odluka Upravnog suda u Zagrebu povodom predmetnih tužbi predstavlja prethodno pitanje u predmetnom postupku, te je odlučio da</w:t>
      </w:r>
      <w:r w:rsidR="001B6FBA" w:rsidRPr="001B6FBA">
        <w:rPr>
          <w:color w:val="000000"/>
        </w:rPr>
        <w:t xml:space="preserve"> </w:t>
      </w:r>
      <w:r w:rsidR="001B6FBA">
        <w:rPr>
          <w:color w:val="000000"/>
        </w:rPr>
        <w:t xml:space="preserve">sam ne rješava to prethodno pitanje, </w:t>
      </w:r>
      <w:r>
        <w:rPr>
          <w:color w:val="000000"/>
        </w:rPr>
        <w:t>s obzirom da je već u tijeku parnica o tom pita</w:t>
      </w:r>
      <w:r w:rsidR="004F59C9">
        <w:rPr>
          <w:color w:val="000000"/>
        </w:rPr>
        <w:t>n</w:t>
      </w:r>
      <w:r>
        <w:rPr>
          <w:color w:val="000000"/>
        </w:rPr>
        <w:t>ju</w:t>
      </w:r>
      <w:r w:rsidR="001B6FBA">
        <w:rPr>
          <w:color w:val="000000"/>
        </w:rPr>
        <w:t>,</w:t>
      </w:r>
      <w:r>
        <w:rPr>
          <w:color w:val="000000"/>
        </w:rPr>
        <w:t xml:space="preserve"> sukladno čl. 12</w:t>
      </w:r>
      <w:r w:rsidR="004F59C9">
        <w:rPr>
          <w:color w:val="000000"/>
        </w:rPr>
        <w:t>.</w:t>
      </w:r>
      <w:r w:rsidRPr="0042141F">
        <w:t xml:space="preserve"> </w:t>
      </w:r>
      <w:r w:rsidRPr="00676621">
        <w:t>Zakona o parničnom postupku (</w:t>
      </w:r>
      <w:r>
        <w:t>„</w:t>
      </w:r>
      <w:r w:rsidRPr="00676621">
        <w:t>Narodne novine</w:t>
      </w:r>
      <w:r>
        <w:t>“</w:t>
      </w:r>
      <w:r w:rsidRPr="00676621">
        <w:t xml:space="preserve"> broj: 53/91, 91/92, 112/99, 117/</w:t>
      </w:r>
      <w:r w:rsidR="004F59C9">
        <w:t xml:space="preserve">03, 88/05, 2/07, 96/08, 84/08, </w:t>
      </w:r>
      <w:r w:rsidRPr="00676621">
        <w:t>57/11</w:t>
      </w:r>
      <w:r w:rsidR="004F59C9">
        <w:t xml:space="preserve"> i 25/13</w:t>
      </w:r>
      <w:r w:rsidRPr="00676621">
        <w:t xml:space="preserve"> – dalje: ZPP-a)</w:t>
      </w:r>
      <w:r w:rsidR="001B6FBA">
        <w:rPr>
          <w:color w:val="000000"/>
        </w:rPr>
        <w:t>.</w:t>
      </w:r>
    </w:p>
    <w:p w:rsidRDefault="00B06282" w:rsidP="00483F9C" w:rsidR="00B06282">
      <w:pPr>
        <w:ind w:firstLine="708"/>
        <w:jc w:val="both"/>
        <w:rPr>
          <w:color w:val="000000"/>
        </w:rPr>
      </w:pPr>
    </w:p>
    <w:p w:rsidRDefault="00783E93" w:rsidP="00483F9C" w:rsidR="00676621" w:rsidRPr="002F422D">
      <w:pPr>
        <w:ind w:firstLine="708"/>
        <w:jc w:val="both"/>
        <w:rPr>
          <w:lang w:val="en-US"/>
        </w:rPr>
      </w:pPr>
      <w:r>
        <w:rPr>
          <w:color w:val="000000"/>
        </w:rPr>
        <w:t>Stoga je</w:t>
      </w:r>
      <w:r w:rsidR="00483F9C">
        <w:t xml:space="preserve"> </w:t>
      </w:r>
      <w:r w:rsidR="0042141F">
        <w:t>primjenom članka 213</w:t>
      </w:r>
      <w:r w:rsidR="00676621" w:rsidRPr="00676621">
        <w:t xml:space="preserve">. st. 1. </w:t>
      </w:r>
      <w:r w:rsidR="004F59C9">
        <w:t>i 215. st. 3.</w:t>
      </w:r>
      <w:r w:rsidR="0042141F">
        <w:t xml:space="preserve"> ZPP</w:t>
      </w:r>
      <w:r w:rsidR="004F59C9">
        <w:t>-a</w:t>
      </w:r>
      <w:r w:rsidR="00676621" w:rsidRPr="00676621">
        <w:t xml:space="preserve">, </w:t>
      </w:r>
      <w:r w:rsidR="00483F9C">
        <w:t>valjalo</w:t>
      </w:r>
      <w:r w:rsidR="00676621" w:rsidRPr="00676621">
        <w:t xml:space="preserve"> riješiti kao u</w:t>
      </w:r>
      <w:r w:rsidR="008C0768">
        <w:t xml:space="preserve"> </w:t>
      </w:r>
      <w:r w:rsidR="00684515">
        <w:t>izre</w:t>
      </w:r>
      <w:r w:rsidR="0041097F">
        <w:t>ci</w:t>
      </w:r>
      <w:r w:rsidR="00684515">
        <w:t xml:space="preserve"> </w:t>
      </w:r>
      <w:r w:rsidR="00676621" w:rsidRPr="00676621">
        <w:t>ovog rješenja.</w:t>
      </w:r>
    </w:p>
    <w:p w:rsidRDefault="00ED637B" w:rsidP="00ED637B" w:rsidR="00ED637B">
      <w:pPr>
        <w:jc w:val="both"/>
        <w:rPr>
          <w:rFonts w:eastAsia="Batang"/>
        </w:rPr>
      </w:pPr>
    </w:p>
    <w:p w:rsidRDefault="008377B8" w:rsidP="001B6FBA" w:rsidR="008377B8" w:rsidRPr="001B6FBA">
      <w:pPr>
        <w:jc w:val="center"/>
        <w:rPr>
          <w:rFonts w:eastAsia="Batang"/>
        </w:rPr>
      </w:pPr>
      <w:r w:rsidRPr="00676621">
        <w:rPr>
          <w:color w:val="000000"/>
        </w:rPr>
        <w:t>U Varaždinu,</w:t>
      </w:r>
      <w:r w:rsidR="00AA4793" w:rsidRPr="00676621">
        <w:rPr>
          <w:color w:val="000000"/>
        </w:rPr>
        <w:t xml:space="preserve"> </w:t>
      </w:r>
      <w:r w:rsidR="001B6FBA">
        <w:rPr>
          <w:color w:val="000000"/>
        </w:rPr>
        <w:t>15</w:t>
      </w:r>
      <w:r w:rsidR="00AA4793" w:rsidRPr="00676621">
        <w:rPr>
          <w:color w:val="000000"/>
        </w:rPr>
        <w:t xml:space="preserve">. </w:t>
      </w:r>
      <w:r w:rsidR="001B6FBA">
        <w:rPr>
          <w:color w:val="000000"/>
        </w:rPr>
        <w:t>rujna</w:t>
      </w:r>
      <w:r w:rsidR="00AA4793" w:rsidRPr="00676621">
        <w:rPr>
          <w:color w:val="000000"/>
        </w:rPr>
        <w:t xml:space="preserve"> 201</w:t>
      </w:r>
      <w:r w:rsidR="001B6FBA">
        <w:rPr>
          <w:color w:val="000000"/>
        </w:rPr>
        <w:t>5</w:t>
      </w:r>
      <w:r w:rsidR="00AA4793" w:rsidRPr="00676621">
        <w:rPr>
          <w:color w:val="000000"/>
        </w:rPr>
        <w:t>.</w:t>
      </w:r>
    </w:p>
    <w:p w:rsidRDefault="008377B8" w:rsidP="008377B8" w:rsidR="008377B8" w:rsidRPr="00676621">
      <w:pPr>
        <w:jc w:val="center"/>
        <w:rPr>
          <w:color w:val="000000"/>
        </w:rPr>
      </w:pPr>
    </w:p>
    <w:tbl>
      <w:tblPr>
        <w:tblW w:type="auto" w:w="0"/>
        <w:tblLook w:val="01E0" w:noVBand="0" w:noHBand="0" w:lastColumn="1" w:firstColumn="1" w:lastRow="1" w:firstRow="1"/>
      </w:tblPr>
      <w:tblGrid>
        <w:gridCol w:w="4644"/>
        <w:gridCol w:w="4644"/>
      </w:tblGrid>
      <w:tr w:rsidTr="00BE29CF" w:rsidR="008377B8" w:rsidRPr="00676621">
        <w:tc>
          <w:tcPr>
            <w:tcW w:type="dxa" w:w="4644"/>
            <w:shd w:fill="auto" w:color="auto" w:val="clear"/>
          </w:tcPr>
          <w:p w:rsidRDefault="008377B8" w:rsidP="00BE29CF" w:rsidR="008377B8" w:rsidRPr="00676621">
            <w:pPr>
              <w:jc w:val="center"/>
              <w:rPr>
                <w:color w:val="000000"/>
              </w:rPr>
            </w:pPr>
          </w:p>
        </w:tc>
        <w:tc>
          <w:tcPr>
            <w:tcW w:type="dxa" w:w="4644"/>
            <w:shd w:fill="auto" w:color="auto" w:val="clear"/>
          </w:tcPr>
          <w:p w:rsidRDefault="008377B8" w:rsidP="00BE29CF" w:rsidR="008377B8" w:rsidRPr="00676621">
            <w:pPr>
              <w:jc w:val="center"/>
              <w:rPr>
                <w:color w:val="000000"/>
              </w:rPr>
            </w:pPr>
            <w:r w:rsidRPr="00676621">
              <w:rPr>
                <w:color w:val="000000"/>
              </w:rPr>
              <w:t>S U D A C :</w:t>
            </w:r>
          </w:p>
          <w:p w:rsidRDefault="008377B8" w:rsidP="00BE29CF" w:rsidR="008377B8" w:rsidRPr="00676621">
            <w:pPr>
              <w:jc w:val="center"/>
              <w:rPr>
                <w:color w:val="000000"/>
              </w:rPr>
            </w:pPr>
          </w:p>
          <w:p w:rsidRDefault="00AA4793" w:rsidP="00BE29CF" w:rsidR="008377B8" w:rsidRPr="00676621">
            <w:pPr>
              <w:jc w:val="center"/>
              <w:rPr>
                <w:color w:val="000000"/>
              </w:rPr>
            </w:pPr>
            <w:r w:rsidRPr="00676621">
              <w:rPr>
                <w:color w:val="000000"/>
              </w:rPr>
              <w:t>Maja Valušnig</w:t>
            </w:r>
          </w:p>
        </w:tc>
      </w:tr>
    </w:tbl>
    <w:p w:rsidRDefault="008377B8" w:rsidP="008377B8" w:rsidR="008377B8" w:rsidRPr="00676621">
      <w:pPr>
        <w:ind w:firstLine="708"/>
        <w:jc w:val="both"/>
      </w:pPr>
    </w:p>
    <w:p w:rsidRDefault="00A11E31" w:rsidP="002B572F" w:rsidR="00A11E31">
      <w:pPr>
        <w:jc w:val="both"/>
      </w:pPr>
    </w:p>
    <w:p w:rsidRDefault="00A11E31" w:rsidP="002B572F" w:rsidR="00A11E31">
      <w:pPr>
        <w:jc w:val="both"/>
      </w:pPr>
    </w:p>
    <w:p w:rsidRDefault="002B572F" w:rsidP="002B572F" w:rsidR="008377B8" w:rsidRPr="00676621">
      <w:pPr>
        <w:jc w:val="both"/>
      </w:pPr>
      <w:r>
        <w:t>UPUTA O PRAVNOM LIJEKU:</w:t>
      </w:r>
    </w:p>
    <w:p w:rsidRDefault="002B572F" w:rsidP="002B572F" w:rsidR="002B572F">
      <w:pPr>
        <w:jc w:val="both"/>
      </w:pPr>
    </w:p>
    <w:p w:rsidRDefault="000953AD" w:rsidP="009A0B38" w:rsidR="000953AD">
      <w:pPr>
        <w:jc w:val="both"/>
      </w:pPr>
      <w:r>
        <w:t>Protiv ovog rješenja dopuštena je žalba Visokom trgovačkom sudu Republike Hrvatske u Zagrebu. Žalba se podnosi pisano, putem ovog suda u tri (3) primjerka, u roku od 8 dana od dana dostave prijepisa ovog rješenja.</w:t>
      </w:r>
    </w:p>
    <w:p w:rsidRDefault="000953AD" w:rsidP="008377B8" w:rsidR="000953AD">
      <w:pPr>
        <w:jc w:val="both"/>
      </w:pPr>
    </w:p>
    <w:p w:rsidRDefault="008377B8" w:rsidP="008377B8" w:rsidR="008377B8" w:rsidRPr="00676621">
      <w:pPr>
        <w:jc w:val="both"/>
      </w:pPr>
      <w:r w:rsidRPr="00676621">
        <w:t xml:space="preserve">DNA: </w:t>
      </w:r>
    </w:p>
    <w:p w:rsidRDefault="001B6FBA" w:rsidP="008377B8" w:rsidR="008377B8">
      <w:pPr>
        <w:ind w:left="360"/>
        <w:jc w:val="both"/>
      </w:pPr>
      <w:r>
        <w:t>-e oglasna ploča suda</w:t>
      </w:r>
    </w:p>
    <w:p w:rsidRDefault="001B6FBA" w:rsidP="008377B8" w:rsidR="001B6FBA" w:rsidRPr="00676621">
      <w:pPr>
        <w:ind w:left="360"/>
        <w:jc w:val="both"/>
      </w:pPr>
      <w:r>
        <w:t xml:space="preserve">-Financijska agencija, </w:t>
      </w:r>
      <w:r w:rsidR="00A11E31">
        <w:t>Ulica g</w:t>
      </w:r>
      <w:r>
        <w:t>rada Vukovara 70, Zagreb</w:t>
      </w:r>
    </w:p>
    <w:p w:rsidRDefault="008377B8" w:rsidP="00AA4793" w:rsidR="00BE29CF" w:rsidRPr="00676621">
      <w:pPr>
        <w:ind w:left="360"/>
        <w:jc w:val="both"/>
      </w:pPr>
      <w:r w:rsidRPr="00676621">
        <w:tab/>
      </w:r>
      <w:r w:rsidRPr="00676621">
        <w:tab/>
      </w:r>
      <w:r w:rsidRPr="00676621">
        <w:tab/>
        <w:t xml:space="preserve"> </w:t>
      </w:r>
    </w:p>
    <w:sectPr w:rsidSect="00A11E31" w:rsidR="00BE29CF" w:rsidRPr="00676621">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3BC3" w:rsidP="00265B1E" w:rsidR="00653BC3">
      <w:r>
        <w:separator/>
      </w:r>
    </w:p>
  </w:endnote>
  <w:endnote w:id="0" w:type="continuationSeparator">
    <w:p w:rsidRDefault="00653BC3" w:rsidP="00265B1E" w:rsidR="00653B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3BC3" w:rsidP="00265B1E" w:rsidR="00653BC3">
      <w:r>
        <w:separator/>
      </w:r>
    </w:p>
  </w:footnote>
  <w:footnote w:id="0" w:type="continuationSeparator">
    <w:p w:rsidRDefault="00653BC3" w:rsidP="00265B1E" w:rsidR="00653B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452622"/>
      <w:docPartObj>
        <w:docPartGallery w:val="Page Numbers (Top of Page)"/>
        <w:docPartUnique/>
      </w:docPartObj>
    </w:sdtPr>
    <w:sdtEndPr/>
    <w:sdtContent>
      <w:p w:rsidRDefault="00A11E31" w:rsidR="00A11E31">
        <w:pPr>
          <w:pStyle w:val="Zaglavlje"/>
          <w:jc w:val="center"/>
        </w:pPr>
        <w:r>
          <w:fldChar w:fldCharType="begin"/>
        </w:r>
        <w:r>
          <w:instrText>PAGE   \* MERGEFORMAT</w:instrText>
        </w:r>
        <w:r>
          <w:fldChar w:fldCharType="separate"/>
        </w:r>
        <w:r w:rsidR="00DC3290">
          <w:rPr>
            <w:noProof/>
          </w:rPr>
          <w:t>2</w:t>
        </w:r>
        <w:r>
          <w:fldChar w:fldCharType="end"/>
        </w:r>
      </w:p>
    </w:sdtContent>
  </w:sdt>
  <w:p w:rsidRDefault="00A11E31" w:rsidP="00265B1E" w:rsidR="00265B1E">
    <w:pPr>
      <w:pStyle w:val="Zaglavlje"/>
      <w:jc w:val="right"/>
    </w:pPr>
    <w:r w:rsidRPr="00A11E31">
      <w:t>Poslovni broj: 9 Stpn-32/2015-7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1E31" w:rsidP="00A11E31" w:rsidR="00A11E31">
    <w:pPr>
      <w:pStyle w:val="Zaglavlje"/>
      <w:jc w:val="right"/>
    </w:pPr>
    <w:r>
      <w:t>Poslovni broj: 9 Stpn-32/2015-7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7FA0931"/>
    <w:multiLevelType w:val="hybridMultilevel"/>
    <w:tmpl w:val="BA6AE728"/>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77B8"/>
    <w:rsid w:val="0003730C"/>
    <w:rsid w:val="000953AD"/>
    <w:rsid w:val="000A68EC"/>
    <w:rsid w:val="000C0B74"/>
    <w:rsid w:val="000D6815"/>
    <w:rsid w:val="000E1119"/>
    <w:rsid w:val="000F5701"/>
    <w:rsid w:val="001B6FBA"/>
    <w:rsid w:val="001E0F18"/>
    <w:rsid w:val="00265B1E"/>
    <w:rsid w:val="002B572F"/>
    <w:rsid w:val="002F422D"/>
    <w:rsid w:val="003913BC"/>
    <w:rsid w:val="003C01F0"/>
    <w:rsid w:val="003E2AE0"/>
    <w:rsid w:val="0041097F"/>
    <w:rsid w:val="0042141F"/>
    <w:rsid w:val="00483F9C"/>
    <w:rsid w:val="00497129"/>
    <w:rsid w:val="004B330C"/>
    <w:rsid w:val="004C1E71"/>
    <w:rsid w:val="004F59C9"/>
    <w:rsid w:val="00581316"/>
    <w:rsid w:val="0063224D"/>
    <w:rsid w:val="00653BC3"/>
    <w:rsid w:val="00676621"/>
    <w:rsid w:val="00684515"/>
    <w:rsid w:val="006C1AAA"/>
    <w:rsid w:val="006E7CF2"/>
    <w:rsid w:val="00783E93"/>
    <w:rsid w:val="007B10CE"/>
    <w:rsid w:val="008354B4"/>
    <w:rsid w:val="008377B8"/>
    <w:rsid w:val="008A024C"/>
    <w:rsid w:val="008C0768"/>
    <w:rsid w:val="0092438B"/>
    <w:rsid w:val="00940790"/>
    <w:rsid w:val="009A0B38"/>
    <w:rsid w:val="009B4823"/>
    <w:rsid w:val="00A11E31"/>
    <w:rsid w:val="00AA4793"/>
    <w:rsid w:val="00AB1C52"/>
    <w:rsid w:val="00B06282"/>
    <w:rsid w:val="00B43D83"/>
    <w:rsid w:val="00BC628B"/>
    <w:rsid w:val="00BE29CF"/>
    <w:rsid w:val="00BF5CAE"/>
    <w:rsid w:val="00D35C25"/>
    <w:rsid w:val="00D54214"/>
    <w:rsid w:val="00D83DA4"/>
    <w:rsid w:val="00DC3290"/>
    <w:rsid w:val="00E05AB6"/>
    <w:rsid w:val="00E10041"/>
    <w:rsid w:val="00E20A4F"/>
    <w:rsid w:val="00EC06A7"/>
    <w:rsid w:val="00ED637B"/>
    <w:rsid w:val="00EF5B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ahoma" w:ascii="Tahoma"/>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77B8"/>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8377B8"/>
    <w:rPr>
      <w:rFonts w:hAnsi="Times New Roman" w:ascii="Times New Roman"/>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Hiperveza" w:type="character">
    <w:name w:val="Hyperlink"/>
    <w:uiPriority w:val="99"/>
    <w:semiHidden/>
    <w:unhideWhenUsed/>
    <w:rsid w:val="002F422D"/>
    <w:rPr>
      <w:strike w:val="false"/>
      <w:dstrike w:val="false"/>
      <w:color w:val="159BC4"/>
      <w:u w:val="none"/>
      <w:effect w:val="none"/>
    </w:rPr>
  </w:style>
  <w:style w:styleId="Zaglavlje" w:type="paragraph">
    <w:name w:val="header"/>
    <w:basedOn w:val="Normal"/>
    <w:link w:val="ZaglavljeChar"/>
    <w:uiPriority w:val="99"/>
    <w:unhideWhenUsed/>
    <w:rsid w:val="00265B1E"/>
    <w:pPr>
      <w:tabs>
        <w:tab w:pos="4536" w:val="center"/>
        <w:tab w:pos="9072" w:val="right"/>
      </w:tabs>
    </w:pPr>
  </w:style>
  <w:style w:customStyle="true" w:styleId="ZaglavljeChar" w:type="character">
    <w:name w:val="Zaglavlje Char"/>
    <w:link w:val="Zaglavlje"/>
    <w:uiPriority w:val="99"/>
    <w:rsid w:val="00265B1E"/>
    <w:rPr>
      <w:rFonts w:hAnsi="Times New Roman" w:ascii="Times New Roman"/>
      <w:sz w:val="24"/>
      <w:szCs w:val="24"/>
    </w:rPr>
  </w:style>
  <w:style w:styleId="Podnoje" w:type="paragraph">
    <w:name w:val="footer"/>
    <w:basedOn w:val="Normal"/>
    <w:link w:val="PodnojeChar"/>
    <w:uiPriority w:val="99"/>
    <w:unhideWhenUsed/>
    <w:rsid w:val="00265B1E"/>
    <w:pPr>
      <w:tabs>
        <w:tab w:pos="4536" w:val="center"/>
        <w:tab w:pos="9072" w:val="right"/>
      </w:tabs>
    </w:pPr>
  </w:style>
  <w:style w:customStyle="true" w:styleId="PodnojeChar" w:type="character">
    <w:name w:val="Podnožje Char"/>
    <w:link w:val="Podnoje"/>
    <w:uiPriority w:val="99"/>
    <w:rsid w:val="00265B1E"/>
    <w:rPr>
      <w:rFonts w:hAnsi="Times New Roman" w:ascii="Times New Roman"/>
      <w:sz w:val="24"/>
      <w:szCs w:val="24"/>
    </w:rPr>
  </w:style>
  <w:style w:styleId="Tekstbalonia" w:type="paragraph">
    <w:name w:val="Balloon Text"/>
    <w:basedOn w:val="Normal"/>
    <w:link w:val="TekstbaloniaChar"/>
    <w:uiPriority w:val="99"/>
    <w:semiHidden/>
    <w:unhideWhenUsed/>
    <w:rsid w:val="00A11E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1E31"/>
    <w:rPr>
      <w:rFonts w:cs="Tahoma"/>
      <w:sz w:val="16"/>
      <w:szCs w:val="16"/>
    </w:rPr>
  </w:style>
  <w:style w:styleId="Tekstrezerviranogmjesta" w:type="character">
    <w:name w:val="Placeholder Text"/>
    <w:basedOn w:val="Zadanifontodlomka"/>
    <w:uiPriority w:val="99"/>
    <w:semiHidden/>
    <w:rsid w:val="00DC3290"/>
    <w:rPr>
      <w:color w:val="808080"/>
      <w:bdr w:space="0" w:sz="0" w:color="auto" w:val="none"/>
      <w:shd w:fill="auto" w:color="auto" w:val="clear"/>
    </w:rPr>
  </w:style>
  <w:style w:customStyle="true" w:styleId="eSPISCCParagraphDefaultFont" w:type="character">
    <w:name w:val="eSPIS_CC_Paragraph Default Font"/>
    <w:basedOn w:val="Zadanifontodlomka"/>
    <w:rsid w:val="00DC3290"/>
    <w:rPr>
      <w:rFonts w:cs="Times New Roman" w:hAnsi="Times New Roman" w:ascii="Times New Roman"/>
      <w:bCs/>
      <w:sz w:val="24"/>
      <w:bdr w:space="0" w:sz="0" w:color="auto" w:val="none"/>
      <w:shd w:fill="auto" w:color="auto" w:val="clear"/>
      <w:lang w:eastAsia="en-US" w:val="hr-HR"/>
    </w:rPr>
  </w:style>
  <w:style w:customStyle="true" w:styleId="PozadinaSvijetloZuta" w:type="character">
    <w:name w:val="Pozadina_SvijetloZuta"/>
    <w:basedOn w:val="Zadanifontodlomka"/>
    <w:rsid w:val="00DC3290"/>
    <w:rPr>
      <w:bCs/>
      <w:bdr w:space="0" w:sz="0" w:color="auto" w:val="none"/>
      <w:shd w:fill="FFFFCC" w:color="auto" w:val="clear"/>
      <w:lang w:eastAsia="en-US" w:val="hr-HR"/>
    </w:rPr>
  </w:style>
  <w:style w:customStyle="true" w:styleId="PozadinaSvijetloCrvena" w:type="character">
    <w:name w:val="Pozadina_SvijetloCrvena"/>
    <w:basedOn w:val="eSPISCCParagraphDefaultFont"/>
    <w:rsid w:val="00DC3290"/>
    <w:rPr>
      <w:rFonts w:cs="Times New Roman" w:hAnsi="Times New Roman" w:ascii="Times New Roman"/>
      <w:bCs w:val="false"/>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DC3290"/>
    <w:rPr>
      <w:rFonts w:cs="Times New Roman" w:hAnsi="Times New Roman" w:ascii="Times New Roman"/>
      <w:bCs w:val="false"/>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ahoma" w:cs="Times New Roman" w:eastAsia="Times New Roman" w:hAnsi="Tahoma"/>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77B8"/>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8377B8"/>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Hiperveza" w:type="character">
    <w:name w:val="Hyperlink"/>
    <w:uiPriority w:val="99"/>
    <w:semiHidden/>
    <w:unhideWhenUsed/>
    <w:rsid w:val="002F422D"/>
    <w:rPr>
      <w:strike w:val="0"/>
      <w:dstrike w:val="0"/>
      <w:color w:val="159BC4"/>
      <w:u w:val="none"/>
      <w:effect w:val="none"/>
    </w:rPr>
  </w:style>
  <w:style w:styleId="Zaglavlje" w:type="paragraph">
    <w:name w:val="header"/>
    <w:basedOn w:val="Normal"/>
    <w:link w:val="ZaglavljeChar"/>
    <w:uiPriority w:val="99"/>
    <w:unhideWhenUsed/>
    <w:rsid w:val="00265B1E"/>
    <w:pPr>
      <w:tabs>
        <w:tab w:pos="4536" w:val="center"/>
        <w:tab w:pos="9072" w:val="right"/>
      </w:tabs>
    </w:pPr>
  </w:style>
  <w:style w:customStyle="1" w:styleId="ZaglavljeChar" w:type="character">
    <w:name w:val="Zaglavlje Char"/>
    <w:link w:val="Zaglavlje"/>
    <w:uiPriority w:val="99"/>
    <w:rsid w:val="00265B1E"/>
    <w:rPr>
      <w:rFonts w:ascii="Times New Roman" w:hAnsi="Times New Roman"/>
      <w:sz w:val="24"/>
      <w:szCs w:val="24"/>
    </w:rPr>
  </w:style>
  <w:style w:styleId="Podnoje" w:type="paragraph">
    <w:name w:val="footer"/>
    <w:basedOn w:val="Normal"/>
    <w:link w:val="PodnojeChar"/>
    <w:uiPriority w:val="99"/>
    <w:unhideWhenUsed/>
    <w:rsid w:val="00265B1E"/>
    <w:pPr>
      <w:tabs>
        <w:tab w:pos="4536" w:val="center"/>
        <w:tab w:pos="9072" w:val="right"/>
      </w:tabs>
    </w:pPr>
  </w:style>
  <w:style w:customStyle="1" w:styleId="PodnojeChar" w:type="character">
    <w:name w:val="Podnožje Char"/>
    <w:link w:val="Podnoje"/>
    <w:uiPriority w:val="99"/>
    <w:rsid w:val="00265B1E"/>
    <w:rPr>
      <w:rFonts w:ascii="Times New Roman" w:hAnsi="Times New Roman"/>
      <w:sz w:val="24"/>
      <w:szCs w:val="24"/>
    </w:rPr>
  </w:style>
  <w:style w:styleId="Tekstbalonia" w:type="paragraph">
    <w:name w:val="Balloon Text"/>
    <w:basedOn w:val="Normal"/>
    <w:link w:val="TekstbaloniaChar"/>
    <w:uiPriority w:val="99"/>
    <w:semiHidden/>
    <w:unhideWhenUsed/>
    <w:rsid w:val="00A11E31"/>
    <w:rPr>
      <w:rFonts w:ascii="Tahoma" w:cs="Tahoma" w:hAnsi="Tahoma"/>
      <w:sz w:val="16"/>
      <w:szCs w:val="16"/>
    </w:rPr>
  </w:style>
  <w:style w:customStyle="1" w:styleId="TekstbaloniaChar" w:type="character">
    <w:name w:val="Tekst balončića Char"/>
    <w:basedOn w:val="Zadanifontodlomka"/>
    <w:link w:val="Tekstbalonia"/>
    <w:uiPriority w:val="99"/>
    <w:semiHidden/>
    <w:rsid w:val="00A11E31"/>
    <w:rPr>
      <w:rFonts w:cs="Tahoma"/>
      <w:sz w:val="16"/>
      <w:szCs w:val="16"/>
    </w:rPr>
  </w:style>
  <w:style w:styleId="Tekstrezerviranogmjesta" w:type="character">
    <w:name w:val="Placeholder Text"/>
    <w:basedOn w:val="Zadanifontodlomka"/>
    <w:uiPriority w:val="99"/>
    <w:semiHidden/>
    <w:rsid w:val="00DC3290"/>
    <w:rPr>
      <w:color w:val="808080"/>
      <w:bdr w:color="auto" w:space="0" w:sz="0" w:val="none"/>
      <w:shd w:color="auto" w:fill="auto" w:val="clear"/>
    </w:rPr>
  </w:style>
  <w:style w:customStyle="1" w:styleId="eSPISCCParagraphDefaultFont" w:type="character">
    <w:name w:val="eSPIS_CC_Paragraph Default Font"/>
    <w:basedOn w:val="Zadanifontodlomka"/>
    <w:rsid w:val="00DC3290"/>
    <w:rPr>
      <w:rFonts w:ascii="Times New Roman" w:cs="Times New Roman" w:hAnsi="Times New Roman"/>
      <w:bCs/>
      <w:sz w:val="24"/>
      <w:bdr w:color="auto" w:space="0" w:sz="0" w:val="none"/>
      <w:shd w:color="auto" w:fill="auto" w:val="clear"/>
      <w:lang w:eastAsia="en-US" w:val="hr-HR"/>
    </w:rPr>
  </w:style>
  <w:style w:customStyle="1" w:styleId="PozadinaSvijetloZuta" w:type="character">
    <w:name w:val="Pozadina_SvijetloZuta"/>
    <w:basedOn w:val="Zadanifontodlomka"/>
    <w:rsid w:val="00DC3290"/>
    <w:rPr>
      <w:bCs/>
      <w:bdr w:color="auto" w:space="0" w:sz="0" w:val="none"/>
      <w:shd w:color="auto" w:fill="FFFFCC" w:val="clear"/>
      <w:lang w:eastAsia="en-US" w:val="hr-HR"/>
    </w:rPr>
  </w:style>
  <w:style w:customStyle="1" w:styleId="PozadinaSvijetloCrvena" w:type="character">
    <w:name w:val="Pozadina_SvijetloCrvena"/>
    <w:basedOn w:val="eSPISCCParagraphDefaultFont"/>
    <w:rsid w:val="00DC3290"/>
    <w:rPr>
      <w:rFonts w:ascii="Times New Roman" w:cs="Times New Roman" w:hAnsi="Times New Roman"/>
      <w:bCs w:val="0"/>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DC3290"/>
    <w:rPr>
      <w:rFonts w:ascii="Times New Roman" w:cs="Times New Roman" w:hAnsi="Times New Roman"/>
      <w:bCs w:val="0"/>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819586">
      <w:bodyDiv w:val="true"/>
      <w:marLeft w:val="0"/>
      <w:marRight w:val="0"/>
      <w:marTop w:val="0"/>
      <w:marBottom w:val="0"/>
      <w:divBdr>
        <w:top w:space="0" w:sz="0" w:color="auto" w:val="none"/>
        <w:left w:space="0" w:sz="0" w:color="auto" w:val="none"/>
        <w:bottom w:space="0" w:sz="0" w:color="auto" w:val="none"/>
        <w:right w:space="0" w:sz="0" w:color="auto" w:val="none"/>
      </w:divBdr>
    </w:div>
    <w:div w:id="592979272">
      <w:bodyDiv w:val="true"/>
      <w:marLeft w:val="0"/>
      <w:marRight w:val="0"/>
      <w:marTop w:val="0"/>
      <w:marBottom w:val="0"/>
      <w:divBdr>
        <w:top w:space="0" w:sz="0" w:color="auto" w:val="none"/>
        <w:left w:space="0" w:sz="0" w:color="auto" w:val="none"/>
        <w:bottom w:space="0" w:sz="0" w:color="auto" w:val="none"/>
        <w:right w:space="0" w:sz="0" w:color="auto" w:val="none"/>
      </w:divBdr>
    </w:div>
    <w:div w:id="9395269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2015.</izvorni_sadrzaj>
    <derivirana_varijabla naziv="DomainObject.DatumDonosenjaOdluke_1">15.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Valušnig</izvorni_sadrzaj>
    <derivirana_varijabla naziv="DomainObject.DonositeljOdluke.Prezime_1">Valušnig</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2015.</izvorni_sadrzaj>
    <derivirana_varijabla naziv="DomainObject.Predmet.DatumOsnivanja_1">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 nagodbe</izvorni_sadrzaj>
    <derivirana_varijabla naziv="DomainObject.Predmet.Opis_1">Prijedlog za sklapanje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Stpn-32/2015</izvorni_sadrzaj>
    <derivirana_varijabla naziv="DomainObject.Predmet.OznakaBroj_1">Stpn-32/2015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Dokumentacija uz prijedlog priloženi u kutijama od 1-14 prileže uz spis</izvorni_sadrzaj>
    <derivirana_varijabla naziv="DomainObject.Predmet.PrimjedbaSuca_1">Dokumentacija uz prijedlog priloženi u kutijama od 1-14 prileže uz spis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Maja Valušnig</izvorni_sadrzaj>
    <derivirana_varijabla naziv="DomainObject.Predmet.Referada.Sudac_1">Maja Valušnig</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STANOING d.o.o. za stambeno-komunalno gospodarstvo</izvorni_sadrzaj>
    <derivirana_varijabla naziv="DomainObject.Predmet.StrankaFormated_1">  STANOING d.o.o. za stambeno-komunalno gospodarstvo</derivirana_varijabla>
  </DomainObject.Predmet.StrankaFormated>
  <DomainObject.Predmet.StrankaFormatedOIB>
    <izvorni_sadrzaj>  STANOING d.o.o. za stambeno-komunalno gospodarstvo, OIB 21611439134</izvorni_sadrzaj>
    <derivirana_varijabla naziv="DomainObject.Predmet.StrankaFormatedOIB_1">  STANOING d.o.o. za stambeno-komunalno gospodarstvo, OIB 21611439134</derivirana_varijabla>
  </DomainObject.Predmet.StrankaFormatedOIB>
  <DomainObject.Predmet.StrankaFormatedWithAdress>
    <izvorni_sadrzaj> STANOING d.o.o. za stambeno-komunalno gospodarstvo, Juraja Habdelića 4, 42000 Varaždin</izvorni_sadrzaj>
    <derivirana_varijabla naziv="DomainObject.Predmet.StrankaFormatedWithAdress_1"> STANOING d.o.o. za stambeno-komunalno gospodarstvo, Juraja Habdelića 4, 42000 Varaždin</derivirana_varijabla>
  </DomainObject.Predmet.StrankaFormatedWithAdress>
  <DomainObject.Predmet.StrankaFormatedWithAdressOIB>
    <izvorni_sadrzaj> STANOING d.o.o. za stambeno-komunalno gospodarstvo, OIB 21611439134, Juraja Habdelića 4, 42000 Varaždin</izvorni_sadrzaj>
    <derivirana_varijabla naziv="DomainObject.Predmet.StrankaFormatedWithAdressOIB_1"> STANOING d.o.o. za stambeno-komunalno gospodarstvo, OIB 21611439134, Juraja Habdelića 4, 42000 Varaždin</derivirana_varijabla>
  </DomainObject.Predmet.StrankaFormatedWithAdressOIB>
  <DomainObject.Predmet.StrankaWithAdress>
    <izvorni_sadrzaj>STANOING d.o.o. za stambeno-komunalno gospodarstvo Juraja Habdelića 4,42000 Varaždin</izvorni_sadrzaj>
    <derivirana_varijabla naziv="DomainObject.Predmet.StrankaWithAdress_1">STANOING d.o.o. za stambeno-komunalno gospodarstvo Juraja Habdelića 4,42000 Varaždin</derivirana_varijabla>
  </DomainObject.Predmet.StrankaWithAdress>
  <DomainObject.Predmet.StrankaWithAdressOIB>
    <izvorni_sadrzaj>STANOING d.o.o. za stambeno-komunalno gospodarstvo, OIB 21611439134, Juraja Habdelića 4,42000 Varaždin</izvorni_sadrzaj>
    <derivirana_varijabla naziv="DomainObject.Predmet.StrankaWithAdressOIB_1">STANOING d.o.o. za stambeno-komunalno gospodarstvo, OIB 21611439134, Juraja Habdelića 4,42000 Varaždin</derivirana_varijabla>
  </DomainObject.Predmet.StrankaWithAdressOIB>
  <DomainObject.Predmet.StrankaNazivFormated>
    <izvorni_sadrzaj>STANOING d.o.o. za stambeno-komunalno gospodarstvo</izvorni_sadrzaj>
    <derivirana_varijabla naziv="DomainObject.Predmet.StrankaNazivFormated_1">STANOING d.o.o. za stambeno-komunalno gospodarstvo</derivirana_varijabla>
  </DomainObject.Predmet.StrankaNazivFormated>
  <DomainObject.Predmet.StrankaNazivFormatedOIB>
    <izvorni_sadrzaj>STANOING d.o.o. za stambeno-komunalno gospodarstvo, OIB 21611439134</izvorni_sadrzaj>
    <derivirana_varijabla naziv="DomainObject.Predmet.StrankaNazivFormatedOIB_1">STANOING d.o.o. za stambeno-komunalno gospodarstvo, OIB 21611439134</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342080390.40</izvorni_sadrzaj>
    <derivirana_varijabla naziv="DomainObject.Predmet.TrenutnaVrijednost_1">342080390.40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STANOING d.o.o. za stambeno-komunalno gospodarstvo</item>
    </izvorni_sadrzaj>
    <derivirana_varijabla naziv="DomainObject.Predmet.StrankaListFormated_1">
      <item>STANOING d.o.o. za stambeno-komunalno gospodarstvo</item>
    </derivirana_varijabla>
  </DomainObject.Predmet.StrankaListFormated>
  <DomainObject.Predmet.StrankaListFormatedOIB>
    <izvorni_sadrzaj>
      <item>STANOING d.o.o. za stambeno-komunalno gospodarstvo, OIB 21611439134</item>
    </izvorni_sadrzaj>
    <derivirana_varijabla naziv="DomainObject.Predmet.StrankaListFormatedOIB_1">
      <item>STANOING d.o.o. za stambeno-komunalno gospodarstvo, OIB 21611439134</item>
    </derivirana_varijabla>
  </DomainObject.Predmet.StrankaListFormatedOIB>
  <DomainObject.Predmet.StrankaListFormatedWithAdress>
    <izvorni_sadrzaj>
      <item>STANOING d.o.o. za stambeno-komunalno gospodarstvo, Juraja Habdelića 4, 42000 Varaždin</item>
    </izvorni_sadrzaj>
    <derivirana_varijabla naziv="DomainObject.Predmet.StrankaListFormatedWithAdress_1">
      <item>STANOING d.o.o. za stambeno-komunalno gospodarstvo, Juraja Habdelića 4, 42000 Varaždin</item>
    </derivirana_varijabla>
  </DomainObject.Predmet.StrankaListFormatedWithAdress>
  <DomainObject.Predmet.StrankaListFormatedWithAdressOIB>
    <izvorni_sadrzaj>
      <item>STANOING d.o.o. za stambeno-komunalno gospodarstvo, OIB 21611439134, Juraja Habdelića 4, 42000 Varaždin</item>
    </izvorni_sadrzaj>
    <derivirana_varijabla naziv="DomainObject.Predmet.StrankaListFormatedWithAdressOIB_1">
      <item>STANOING d.o.o. za stambeno-komunalno gospodarstvo, OIB 21611439134, Juraja Habdelića 4, 42000 Varaždin</item>
    </derivirana_varijabla>
  </DomainObject.Predmet.StrankaListFormatedWithAdressOIB>
  <DomainObject.Predmet.StrankaListNazivFormated>
    <izvorni_sadrzaj>
      <item>STANOING d.o.o. za stambeno-komunalno gospodarstvo</item>
    </izvorni_sadrzaj>
    <derivirana_varijabla naziv="DomainObject.Predmet.StrankaListNazivFormated_1">
      <item>STANOING d.o.o. za stambeno-komunalno gospodarstvo</item>
    </derivirana_varijabla>
  </DomainObject.Predmet.StrankaListNazivFormated>
  <DomainObject.Predmet.StrankaListNazivFormatedOIB>
    <izvorni_sadrzaj>
      <item>STANOING d.o.o. za stambeno-komunalno gospodarstvo, OIB 21611439134</item>
    </izvorni_sadrzaj>
    <derivirana_varijabla naziv="DomainObject.Predmet.StrankaListNazivFormatedOIB_1">
      <item>STANOING d.o.o. za stambeno-komunalno gospodarstvo, OIB 21611439134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 Regionalni centar</item>
      <item>Mladen Lovrenčić</item>
    </izvorni_sadrzaj>
    <derivirana_varijabla naziv="DomainObject.Predmet.OstaliListFormated_1">
      <item>Financijska agencija Regionalni centar</item>
      <item>Mladen Lovrenčić</item>
    </derivirana_varijabla>
  </DomainObject.Predmet.OstaliListFormated>
  <DomainObject.Predmet.OstaliListFormatedOIB>
    <izvorni_sadrzaj>
      <item>Financijska agencija Regionalni centar</item>
      <item>Mladen Lovrenčić</item>
    </izvorni_sadrzaj>
    <derivirana_varijabla naziv="DomainObject.Predmet.OstaliListFormatedOIB_1">
      <item>Financijska agencija Regionalni centar</item>
      <item>Mladen Lovrenčić</item>
    </derivirana_varijabla>
  </DomainObject.Predmet.OstaliListFormatedOIB>
  <DomainObject.Predmet.OstaliListFormatedWithAdress>
    <izvorni_sadrzaj>
      <item>Financijska agencija Regionalni centar, Ulica grada Vukovara 70, 10000 Zagreb</item>
      <item>Mladen Lovrenčić</item>
    </izvorni_sadrzaj>
    <derivirana_varijabla naziv="DomainObject.Predmet.OstaliListFormatedWithAdress_1">
      <item>Financijska agencija Regionalni centar, Ulica grada Vukovara 70, 10000 Zagreb</item>
      <item>Mladen Lovrenčić</item>
    </derivirana_varijabla>
  </DomainObject.Predmet.OstaliListFormatedWithAdress>
  <DomainObject.Predmet.OstaliListFormatedWithAdressOIB>
    <izvorni_sadrzaj>
      <item>Financijska agencija Regionalni centar, Ulica grada Vukovara 70, 10000 Zagreb</item>
      <item>Mladen Lovrenčić</item>
    </izvorni_sadrzaj>
    <derivirana_varijabla naziv="DomainObject.Predmet.OstaliListFormatedWithAdressOIB_1">
      <item>Financijska agencija Regionalni centar, Ulica grada Vukovara 70, 10000 Zagreb</item>
      <item>Mladen Lovrenčić</item>
    </derivirana_varijabla>
  </DomainObject.Predmet.OstaliListFormatedWithAdressOIB>
  <DomainObject.Predmet.OstaliListNazivFormated>
    <izvorni_sadrzaj>
      <item>Financijska agencija Regionalni centar</item>
      <item>Mladen Lovrenčić</item>
    </izvorni_sadrzaj>
    <derivirana_varijabla naziv="DomainObject.Predmet.OstaliListNazivFormated_1">
      <item>Financijska agencija Regionalni centar</item>
      <item>Mladen Lovrenčić</item>
    </derivirana_varijabla>
  </DomainObject.Predmet.OstaliListNazivFormated>
  <DomainObject.Predmet.OstaliListNazivFormatedOIB>
    <izvorni_sadrzaj>
      <item>Financijska agencija Regionalni centar</item>
      <item>Mladen Lovrenčić</item>
    </izvorni_sadrzaj>
    <derivirana_varijabla naziv="DomainObject.Predmet.OstaliListNazivFormatedOIB_1">
      <item>Financijska agencija Regionalni centar</item>
      <item>Mladen Lovrenčić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2015.</izvorni_sadrzaj>
    <derivirana_varijabla naziv="DomainObject.Datum_1">15. rujna 2015.</derivirana_varijabla>
  </DomainObject.Datum>
  <DomainObject.PoslovniBrojDokumenta>
    <izvorni_sadrzaj/>
    <derivirana_varijabla naziv="DomainObject.PoslovniBrojDokumenta_1"/>
  </DomainObject.PoslovniBrojDokumenta>
  <DomainObject.Predmet.StrankaIDrugi>
    <izvorni_sadrzaj>STANOING d.o.o. za stambeno-komunalno gospodarstvo</izvorni_sadrzaj>
    <derivirana_varijabla naziv="DomainObject.Predmet.StrankaIDrugi_1">STANOING d.o.o. za stambeno-komunalno gospodarstvo</derivirana_varijabla>
  </DomainObject.Predmet.StrankaIDrugi>
  <DomainObject.Predmet.ProtustrankaIDrugi>
    <izvorni_sadrzaj/>
    <derivirana_varijabla naziv="DomainObject.Predmet.ProtustrankaIDrugi_1"/>
  </DomainObject.Predmet.ProtustrankaIDrugi>
  <DomainObject.Predmet.StrankaIDrugiAdressOIB>
    <izvorni_sadrzaj>STANOING d.o.o. za stambeno-komunalno gospodarstvo, OIB 21611439134, Juraja Habdelića 4, 42000 Varaždin</izvorni_sadrzaj>
    <derivirana_varijabla naziv="DomainObject.Predmet.StrankaIDrugiAdressOIB_1">STANOING d.o.o. za stambeno-komunalno gospodarstvo, OIB 21611439134, Juraja Habdelića 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STANOING d.o.o. za stambeno-komunalno gospodarstvo</item>
      <item>Financijska agencija Regionalni centar</item>
      <item>Mladen Lovrenčić</item>
    </izvorni_sadrzaj>
    <derivirana_varijabla naziv="DomainObject.Predmet.SudioniciListNaziv_1">
      <item>STANOING d.o.o. za stambeno-komunalno gospodarstvo</item>
      <item>Financijska agencija Regionalni centar</item>
      <item>Mladen Lovrenčić</item>
    </derivirana_varijabla>
  </DomainObject.Predmet.SudioniciListNaziv>
  <DomainObject.Predmet.SudioniciListAdressOIB>
    <izvorni_sadrzaj>
      <item>STANOING d.o.o. za stambeno-komunalno gospodarstvo, OIB 21611439134, Juraja Habdelića 4,42000 Varaždin</item>
      <item>Financijska agencija Regionalni centar, Ulica grada Vukovara 70,10000 Zagreb</item>
      <item>Mladen Lovrenčić</item>
    </izvorni_sadrzaj>
    <derivirana_varijabla naziv="DomainObject.Predmet.SudioniciListAdressOIB_1">
      <item>STANOING d.o.o. za stambeno-komunalno gospodarstvo, OIB 21611439134, Juraja Habdelića 4,42000 Varaždin</item>
      <item>Financijska agencija Regionalni centar, Ulica grada Vukovara 70,10000 Zagreb</item>
      <item>Mladen Lovrenčić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21611439134</item>
      <item>, OIB null</item>
      <item>, OIB null</item>
    </izvorni_sadrzaj>
    <derivirana_varijabla naziv="DomainObject.Predmet.SudioniciListNazivOIB_1">
      <item>, OIB 21611439134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30D468-CA77-4925-AC30-386F6E0E46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532</properties:Words>
  <properties:Characters>3114</properties:Characters>
  <properties:Lines>80</properties:Lines>
  <properties:Paragraphs>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2015-09-15T08:20:00Z</dcterms:created>
  <dc:creator>Ljubica Makovec</dc:creator>
  <cp:lastModifiedBy>Nevenka Vuković</cp:lastModifiedBy>
  <cp:lastPrinted>2015-09-15T08:26:00Z</cp:lastPrinted>
  <dcterms:modified xmlns:xsi="http://www.w3.org/2001/XMLSchema-instance" xsi:type="dcterms:W3CDTF">2015-09-15T08:27:00Z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