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3c68f" w14:paraId="f43c68f" w:rsidRDefault="00B21497"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1554480</wp:posOffset>
            </wp:positionH>
            <wp:positionV relativeFrom="page">
              <wp:posOffset>701040</wp:posOffset>
            </wp:positionV>
            <wp:extent cy="803880" cx="601980"/>
            <wp:effectExtent b="0"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03880" cx="601980"/>
                    </a:xfrm>
                    <a:prstGeom prst="rect">
                      <a:avLst/>
                    </a:prstGeom>
                  </pic:spPr>
                </pic:pic>
              </a:graphicData>
            </a:graphic>
          </wp:anchor>
        </w:drawing>
      </w:r>
    </w:p>
    <w:p w:rsidRDefault="00AE649C" w:rsidP="004F27AE" w:rsidR="00AE649C" w:rsidRPr="00B76F3C">
      <w:pPr>
        <w:pStyle w:val="NormaleSPIS"/>
      </w:pPr>
    </w:p>
    <w:p w:rsidRDefault="00B21497" w:rsidP="00B21497" w:rsidR="00B21497">
      <w:pPr>
        <w:spacing w:after="0"/>
        <w:jc w:val="both"/>
      </w:pPr>
      <w:r>
        <w:t xml:space="preserve">           Republika Hrvatska</w:t>
      </w:r>
    </w:p>
    <w:p w:rsidRDefault="00B21497" w:rsidP="00B21497" w:rsidR="00B21497">
      <w:pPr>
        <w:tabs>
          <w:tab w:pos="3338" w:val="left"/>
        </w:tabs>
        <w:spacing w:after="0"/>
        <w:jc w:val="both"/>
      </w:pPr>
      <w:r>
        <w:t xml:space="preserve">     Trgovački sud u Bjelovaru</w:t>
      </w:r>
      <w:r>
        <w:tab/>
      </w:r>
    </w:p>
    <w:p w:rsidRDefault="00B21497" w:rsidP="00B21497" w:rsidR="00B21497">
      <w:pPr>
        <w:spacing w:after="0"/>
        <w:jc w:val="both"/>
      </w:pPr>
      <w:r>
        <w:t xml:space="preserve">Bjelovar, Šetalište dr. I. </w:t>
      </w:r>
      <w:proofErr w:type="spellStart"/>
      <w:r>
        <w:t>Lebovića</w:t>
      </w:r>
      <w:proofErr w:type="spellEnd"/>
      <w:r>
        <w:t xml:space="preserve"> 42</w:t>
      </w:r>
    </w:p>
    <w:p w:rsidRDefault="00B21497" w:rsidP="00B21497" w:rsidR="00B21497" w:rsidRPr="00B21497">
      <w:pPr>
        <w:overflowPunct w:val="false"/>
        <w:autoSpaceDE w:val="false"/>
        <w:autoSpaceDN w:val="false"/>
        <w:adjustRightInd w:val="false"/>
        <w:spacing w:after="0"/>
        <w:jc w:val="right"/>
        <w:rPr>
          <w:rFonts w:cs="Times New Roman" w:eastAsia="Times New Roman"/>
          <w:noProof/>
          <w:szCs w:val="20"/>
          <w:lang w:eastAsia="hr-HR"/>
        </w:rPr>
      </w:pPr>
      <w:bookmarkStart w:name="_GoBack" w:id="0"/>
      <w:bookmarkEnd w:id="0"/>
      <w:r w:rsidRPr="00B21497">
        <w:rPr>
          <w:rFonts w:cs="Times New Roman" w:eastAsia="Times New Roman"/>
          <w:noProof/>
          <w:szCs w:val="20"/>
          <w:lang w:eastAsia="hr-HR"/>
        </w:rPr>
        <w:t xml:space="preserve">    Poslovni broj: 5. St-82/2018-10</w:t>
      </w:r>
    </w:p>
    <w:p w:rsidRDefault="00B21497" w:rsidP="00B21497" w:rsidR="00B21497" w:rsidRPr="00B21497">
      <w:pPr>
        <w:overflowPunct w:val="false"/>
        <w:autoSpaceDE w:val="false"/>
        <w:autoSpaceDN w:val="false"/>
        <w:adjustRightInd w:val="false"/>
        <w:spacing w:after="0"/>
        <w:rPr>
          <w:rFonts w:cs="Times New Roman" w:eastAsia="Times New Roman"/>
          <w:noProof/>
          <w:szCs w:val="20"/>
          <w:lang w:eastAsia="hr-HR"/>
        </w:rPr>
      </w:pPr>
    </w:p>
    <w:p w:rsidRDefault="00B21497" w:rsidP="00B21497" w:rsidR="00B21497" w:rsidRPr="00B21497">
      <w:pPr>
        <w:overflowPunct w:val="false"/>
        <w:autoSpaceDE w:val="false"/>
        <w:autoSpaceDN w:val="false"/>
        <w:adjustRightInd w:val="false"/>
        <w:spacing w:after="0"/>
        <w:rPr>
          <w:rFonts w:cs="Times New Roman" w:eastAsia="Times New Roman"/>
          <w:noProof/>
          <w:szCs w:val="20"/>
          <w:lang w:eastAsia="hr-HR"/>
        </w:rPr>
      </w:pPr>
    </w:p>
    <w:p w:rsidRDefault="00B21497" w:rsidP="00B21497" w:rsidR="00B21497" w:rsidRPr="00B21497">
      <w:pPr>
        <w:overflowPunct w:val="false"/>
        <w:autoSpaceDE w:val="false"/>
        <w:autoSpaceDN w:val="false"/>
        <w:adjustRightInd w:val="false"/>
        <w:spacing w:after="0"/>
        <w:rPr>
          <w:rFonts w:cs="Times New Roman" w:eastAsia="Times New Roman"/>
          <w:noProof/>
          <w:szCs w:val="20"/>
          <w:lang w:eastAsia="hr-HR"/>
        </w:rPr>
      </w:pPr>
    </w:p>
    <w:p w:rsidRDefault="00B21497" w:rsidP="00B21497" w:rsidR="00B21497" w:rsidRPr="00B21497">
      <w:pPr>
        <w:overflowPunct w:val="false"/>
        <w:autoSpaceDE w:val="false"/>
        <w:autoSpaceDN w:val="false"/>
        <w:adjustRightInd w:val="false"/>
        <w:spacing w:after="0"/>
        <w:jc w:val="center"/>
        <w:rPr>
          <w:rFonts w:cs="Times New Roman" w:eastAsia="Times New Roman"/>
          <w:noProof/>
          <w:szCs w:val="20"/>
          <w:lang w:eastAsia="hr-HR"/>
        </w:rPr>
      </w:pPr>
      <w:r w:rsidRPr="00B21497">
        <w:rPr>
          <w:rFonts w:cs="Times New Roman" w:eastAsia="Times New Roman"/>
          <w:noProof/>
          <w:szCs w:val="20"/>
          <w:lang w:eastAsia="hr-HR"/>
        </w:rPr>
        <w:t>U  I M E  R E P U B L I K E  H R V A T S K E</w:t>
      </w:r>
    </w:p>
    <w:p w:rsidRDefault="00B21497" w:rsidP="00B21497" w:rsidR="00B21497" w:rsidRPr="00B21497">
      <w:pPr>
        <w:overflowPunct w:val="false"/>
        <w:autoSpaceDE w:val="false"/>
        <w:autoSpaceDN w:val="false"/>
        <w:adjustRightInd w:val="false"/>
        <w:spacing w:after="0"/>
        <w:rPr>
          <w:rFonts w:cs="Times New Roman" w:eastAsia="Times New Roman"/>
          <w:noProof/>
          <w:szCs w:val="20"/>
          <w:lang w:eastAsia="hr-HR"/>
        </w:rPr>
      </w:pPr>
    </w:p>
    <w:p w:rsidRDefault="00B21497" w:rsidP="00B21497" w:rsidR="00B21497" w:rsidRPr="00B21497">
      <w:pPr>
        <w:overflowPunct w:val="false"/>
        <w:autoSpaceDE w:val="false"/>
        <w:autoSpaceDN w:val="false"/>
        <w:adjustRightInd w:val="false"/>
        <w:spacing w:after="0"/>
        <w:jc w:val="center"/>
        <w:outlineLvl w:val="0"/>
        <w:rPr>
          <w:rFonts w:cs="Times New Roman" w:eastAsia="Times New Roman"/>
          <w:noProof/>
          <w:lang w:eastAsia="hr-HR"/>
        </w:rPr>
      </w:pPr>
      <w:r w:rsidRPr="00B21497">
        <w:rPr>
          <w:rFonts w:cs="Times New Roman" w:eastAsia="Times New Roman"/>
          <w:noProof/>
          <w:szCs w:val="20"/>
          <w:lang w:eastAsia="hr-HR"/>
        </w:rPr>
        <w:t>R J E Š E N J E</w:t>
      </w:r>
      <w:r w:rsidRPr="00B21497">
        <w:rPr>
          <w:rFonts w:cs="Times New Roman" w:eastAsia="Times New Roman"/>
          <w:noProof/>
          <w:lang w:eastAsia="hr-HR"/>
        </w:rPr>
        <w:t xml:space="preserve">          </w:t>
      </w:r>
    </w:p>
    <w:p w:rsidRDefault="00B21497" w:rsidP="00B21497" w:rsidR="00B21497" w:rsidRPr="00B21497">
      <w:pPr>
        <w:overflowPunct w:val="false"/>
        <w:autoSpaceDE w:val="false"/>
        <w:autoSpaceDN w:val="false"/>
        <w:adjustRightInd w:val="false"/>
        <w:spacing w:after="0"/>
        <w:jc w:val="center"/>
        <w:outlineLvl w:val="0"/>
        <w:rPr>
          <w:rFonts w:cs="Times New Roman" w:eastAsia="Times New Roman"/>
          <w:noProof/>
          <w:szCs w:val="20"/>
          <w:lang w:eastAsia="hr-HR"/>
        </w:rPr>
      </w:pPr>
      <w:r w:rsidRPr="00B21497">
        <w:rPr>
          <w:rFonts w:cs="Times New Roman" w:eastAsia="Times New Roman"/>
          <w:noProof/>
          <w:lang w:eastAsia="hr-HR"/>
        </w:rPr>
        <w:t xml:space="preserve">   </w:t>
      </w:r>
    </w:p>
    <w:p w:rsidRDefault="00B21497" w:rsidP="00B21497" w:rsidR="00B21497" w:rsidRPr="00B21497">
      <w:pPr>
        <w:overflowPunct w:val="false"/>
        <w:autoSpaceDE w:val="false"/>
        <w:autoSpaceDN w:val="false"/>
        <w:adjustRightInd w:val="false"/>
        <w:spacing w:after="0"/>
        <w:ind w:firstLine="851"/>
        <w:jc w:val="both"/>
        <w:rPr>
          <w:rFonts w:cs="Times New Roman" w:eastAsia="Times New Roman"/>
          <w:szCs w:val="20"/>
          <w:lang w:eastAsia="hr-HR"/>
        </w:rPr>
      </w:pPr>
      <w:r w:rsidRPr="00B21497">
        <w:rPr>
          <w:rFonts w:cs="Times New Roman" w:eastAsia="Times New Roman"/>
          <w:szCs w:val="20"/>
          <w:lang w:eastAsia="hr-HR"/>
        </w:rPr>
        <w:t xml:space="preserve">Trgovački sud u Bjelovaru, po stečajnoj sutkinji Mariji Petrina Kubica, povodom prijedloga Financijske agencije, OIB: 85821130368, RC Zagreb, Podružnica Varaždin, Varaždin, A. Cesarca 2, za otvaranje stečajnog postupka nad  dužnikom  LUCKY DRAGON d.o.o. za trgovinu i usluge, </w:t>
      </w:r>
      <w:proofErr w:type="spellStart"/>
      <w:r w:rsidRPr="00B21497">
        <w:rPr>
          <w:rFonts w:cs="Times New Roman" w:eastAsia="Times New Roman"/>
          <w:szCs w:val="20"/>
          <w:lang w:eastAsia="hr-HR"/>
        </w:rPr>
        <w:t>Nedelišće</w:t>
      </w:r>
      <w:proofErr w:type="spellEnd"/>
      <w:r w:rsidRPr="00B21497">
        <w:rPr>
          <w:rFonts w:cs="Times New Roman" w:eastAsia="Times New Roman"/>
          <w:szCs w:val="20"/>
          <w:lang w:eastAsia="hr-HR"/>
        </w:rPr>
        <w:t>, Štamparska 6, OIB:52120456148, MBS:070144822, 29. lipnja 2018.</w:t>
      </w:r>
    </w:p>
    <w:p w:rsidRDefault="00B21497" w:rsidP="00B21497" w:rsidR="00B21497" w:rsidRPr="00B21497">
      <w:pPr>
        <w:overflowPunct w:val="false"/>
        <w:autoSpaceDE w:val="false"/>
        <w:autoSpaceDN w:val="false"/>
        <w:adjustRightInd w:val="false"/>
        <w:spacing w:after="0"/>
        <w:jc w:val="both"/>
        <w:rPr>
          <w:rFonts w:cs="Times New Roman" w:eastAsia="Times New Roman"/>
          <w:szCs w:val="20"/>
          <w:lang w:eastAsia="hr-HR"/>
        </w:rPr>
      </w:pPr>
      <w:r w:rsidRPr="00B21497">
        <w:rPr>
          <w:rFonts w:cs="Times New Roman" w:eastAsia="Times New Roman"/>
          <w:szCs w:val="20"/>
          <w:lang w:eastAsia="hr-HR"/>
        </w:rPr>
        <w:t xml:space="preserve"> </w:t>
      </w:r>
    </w:p>
    <w:p w:rsidRDefault="00B21497" w:rsidP="00B21497" w:rsidR="00B21497" w:rsidRPr="00B21497">
      <w:pPr>
        <w:overflowPunct w:val="false"/>
        <w:autoSpaceDE w:val="false"/>
        <w:autoSpaceDN w:val="false"/>
        <w:adjustRightInd w:val="false"/>
        <w:spacing w:after="0"/>
        <w:jc w:val="center"/>
        <w:rPr>
          <w:rFonts w:cs="Times New Roman" w:eastAsia="Times New Roman"/>
          <w:szCs w:val="20"/>
          <w:lang w:eastAsia="hr-HR"/>
        </w:rPr>
      </w:pPr>
      <w:r w:rsidRPr="00B21497">
        <w:rPr>
          <w:rFonts w:cs="Times New Roman" w:eastAsia="Times New Roman"/>
          <w:szCs w:val="20"/>
          <w:lang w:eastAsia="hr-HR"/>
        </w:rPr>
        <w:t>r i j e š i o   j e</w:t>
      </w:r>
    </w:p>
    <w:p w:rsidRDefault="00B21497" w:rsidP="00B21497" w:rsidR="00B21497" w:rsidRPr="00B21497">
      <w:pPr>
        <w:overflowPunct w:val="false"/>
        <w:autoSpaceDE w:val="false"/>
        <w:autoSpaceDN w:val="false"/>
        <w:adjustRightInd w:val="false"/>
        <w:spacing w:after="0"/>
        <w:jc w:val="both"/>
        <w:rPr>
          <w:rFonts w:cs="Times New Roman" w:eastAsia="Times New Roman"/>
          <w:szCs w:val="20"/>
          <w:lang w:eastAsia="hr-HR"/>
        </w:rPr>
      </w:pPr>
    </w:p>
    <w:p w:rsidRDefault="00B21497" w:rsidP="00B21497" w:rsidR="00B21497" w:rsidRPr="00B21497">
      <w:pPr>
        <w:overflowPunct w:val="false"/>
        <w:autoSpaceDE w:val="false"/>
        <w:autoSpaceDN w:val="false"/>
        <w:adjustRightInd w:val="false"/>
        <w:spacing w:after="0"/>
        <w:ind w:firstLine="851"/>
        <w:jc w:val="both"/>
        <w:rPr>
          <w:rFonts w:cs="Times New Roman" w:eastAsia="Times New Roman"/>
          <w:szCs w:val="20"/>
          <w:lang w:eastAsia="hr-HR"/>
        </w:rPr>
      </w:pPr>
      <w:r w:rsidRPr="00B21497">
        <w:rPr>
          <w:rFonts w:cs="Times New Roman" w:eastAsia="Times New Roman"/>
          <w:szCs w:val="20"/>
          <w:lang w:eastAsia="hr-HR"/>
        </w:rPr>
        <w:t xml:space="preserve">1. Otvara se stečajni postupak nad dužnikom LUCKY DRAGON d.o.o. za trgovinu i usluge, </w:t>
      </w:r>
      <w:proofErr w:type="spellStart"/>
      <w:r w:rsidRPr="00B21497">
        <w:rPr>
          <w:rFonts w:cs="Times New Roman" w:eastAsia="Times New Roman"/>
          <w:szCs w:val="20"/>
          <w:lang w:eastAsia="hr-HR"/>
        </w:rPr>
        <w:t>Nedelišće</w:t>
      </w:r>
      <w:proofErr w:type="spellEnd"/>
      <w:r w:rsidRPr="00B21497">
        <w:rPr>
          <w:rFonts w:cs="Times New Roman" w:eastAsia="Times New Roman"/>
          <w:szCs w:val="20"/>
          <w:lang w:eastAsia="hr-HR"/>
        </w:rPr>
        <w:t>, Štamparska 6, OIB:52120456148, MBS:070144822.</w:t>
      </w:r>
    </w:p>
    <w:p w:rsidRDefault="00B21497" w:rsidP="00B21497" w:rsidR="00B21497" w:rsidRPr="00B21497">
      <w:pPr>
        <w:overflowPunct w:val="false"/>
        <w:autoSpaceDE w:val="false"/>
        <w:autoSpaceDN w:val="false"/>
        <w:adjustRightInd w:val="false"/>
        <w:spacing w:after="0"/>
        <w:ind w:firstLine="851"/>
        <w:jc w:val="both"/>
        <w:rPr>
          <w:rFonts w:cs="Times New Roman" w:eastAsia="Times New Roman"/>
          <w:szCs w:val="20"/>
          <w:lang w:eastAsia="hr-HR"/>
        </w:rPr>
      </w:pPr>
    </w:p>
    <w:p w:rsidRDefault="00B21497" w:rsidP="00B21497" w:rsidR="00B21497" w:rsidRPr="00B21497">
      <w:pPr>
        <w:overflowPunct w:val="false"/>
        <w:autoSpaceDE w:val="false"/>
        <w:autoSpaceDN w:val="false"/>
        <w:adjustRightInd w:val="false"/>
        <w:spacing w:after="0"/>
        <w:ind w:firstLine="851"/>
        <w:jc w:val="both"/>
        <w:rPr>
          <w:rFonts w:cs="Times New Roman" w:eastAsia="Times New Roman"/>
          <w:lang w:eastAsia="hr-HR" w:val="en-GB"/>
        </w:rPr>
      </w:pPr>
      <w:r w:rsidRPr="00B21497">
        <w:rPr>
          <w:rFonts w:cs="Times New Roman" w:eastAsia="Times New Roman"/>
          <w:szCs w:val="20"/>
          <w:lang w:eastAsia="hr-HR"/>
        </w:rPr>
        <w:t xml:space="preserve">2. Za stečajnog upravitelja imenuje se </w:t>
      </w:r>
      <w:proofErr w:type="spellStart"/>
      <w:r w:rsidRPr="00B21497">
        <w:rPr>
          <w:rFonts w:cs="Times New Roman" w:eastAsia="Times New Roman"/>
          <w:lang w:eastAsia="hr-HR" w:val="en-GB"/>
        </w:rPr>
        <w:t>Duško</w:t>
      </w:r>
      <w:proofErr w:type="spellEnd"/>
      <w:r w:rsidRPr="00B21497">
        <w:rPr>
          <w:rFonts w:cs="Times New Roman" w:eastAsia="Times New Roman"/>
          <w:lang w:eastAsia="hr-HR" w:val="en-GB"/>
        </w:rPr>
        <w:t xml:space="preserve"> </w:t>
      </w:r>
      <w:proofErr w:type="spellStart"/>
      <w:r w:rsidRPr="00B21497">
        <w:rPr>
          <w:rFonts w:cs="Times New Roman" w:eastAsia="Times New Roman"/>
          <w:lang w:eastAsia="hr-HR" w:val="en-GB"/>
        </w:rPr>
        <w:t>Koruga</w:t>
      </w:r>
      <w:proofErr w:type="spellEnd"/>
      <w:r w:rsidRPr="00B21497">
        <w:rPr>
          <w:rFonts w:cs="Times New Roman" w:eastAsia="Times New Roman"/>
          <w:lang w:eastAsia="hr-HR" w:val="en-GB"/>
        </w:rPr>
        <w:t xml:space="preserve">, dipl. </w:t>
      </w:r>
      <w:proofErr w:type="spellStart"/>
      <w:proofErr w:type="gramStart"/>
      <w:r w:rsidRPr="00B21497">
        <w:rPr>
          <w:rFonts w:cs="Times New Roman" w:eastAsia="Times New Roman"/>
          <w:lang w:eastAsia="hr-HR" w:val="en-GB"/>
        </w:rPr>
        <w:t>ing</w:t>
      </w:r>
      <w:proofErr w:type="spellEnd"/>
      <w:proofErr w:type="gramEnd"/>
      <w:r w:rsidRPr="00B21497">
        <w:rPr>
          <w:rFonts w:cs="Times New Roman" w:eastAsia="Times New Roman"/>
          <w:lang w:eastAsia="hr-HR" w:val="en-GB"/>
        </w:rPr>
        <w:t xml:space="preserve">. </w:t>
      </w:r>
      <w:proofErr w:type="spellStart"/>
      <w:proofErr w:type="gramStart"/>
      <w:r w:rsidRPr="00B21497">
        <w:rPr>
          <w:rFonts w:cs="Times New Roman" w:eastAsia="Times New Roman"/>
          <w:lang w:eastAsia="hr-HR" w:val="en-GB"/>
        </w:rPr>
        <w:t>prometa</w:t>
      </w:r>
      <w:proofErr w:type="spellEnd"/>
      <w:proofErr w:type="gramEnd"/>
      <w:r w:rsidRPr="00B21497">
        <w:rPr>
          <w:rFonts w:cs="Times New Roman" w:eastAsia="Times New Roman"/>
          <w:lang w:eastAsia="hr-HR" w:val="en-GB"/>
        </w:rPr>
        <w:t xml:space="preserve"> </w:t>
      </w:r>
      <w:proofErr w:type="spellStart"/>
      <w:r w:rsidRPr="00B21497">
        <w:rPr>
          <w:rFonts w:cs="Times New Roman" w:eastAsia="Times New Roman"/>
          <w:lang w:eastAsia="hr-HR" w:val="en-GB"/>
        </w:rPr>
        <w:t>iz</w:t>
      </w:r>
      <w:proofErr w:type="spellEnd"/>
      <w:r w:rsidRPr="00B21497">
        <w:rPr>
          <w:rFonts w:cs="Times New Roman" w:eastAsia="Times New Roman"/>
          <w:lang w:eastAsia="hr-HR" w:val="en-GB"/>
        </w:rPr>
        <w:t xml:space="preserve"> </w:t>
      </w:r>
      <w:proofErr w:type="spellStart"/>
      <w:r w:rsidRPr="00B21497">
        <w:rPr>
          <w:rFonts w:cs="Times New Roman" w:eastAsia="Times New Roman"/>
          <w:lang w:eastAsia="hr-HR" w:val="en-GB"/>
        </w:rPr>
        <w:t>Zagreba</w:t>
      </w:r>
      <w:proofErr w:type="spellEnd"/>
      <w:r w:rsidRPr="00B21497">
        <w:rPr>
          <w:rFonts w:cs="Times New Roman" w:eastAsia="Times New Roman"/>
          <w:lang w:eastAsia="hr-HR" w:val="en-GB"/>
        </w:rPr>
        <w:t xml:space="preserve">, </w:t>
      </w:r>
      <w:proofErr w:type="spellStart"/>
      <w:r w:rsidRPr="00B21497">
        <w:rPr>
          <w:rFonts w:cs="Times New Roman" w:eastAsia="Times New Roman"/>
          <w:lang w:eastAsia="hr-HR" w:val="en-GB"/>
        </w:rPr>
        <w:t>Ilica</w:t>
      </w:r>
      <w:proofErr w:type="spellEnd"/>
      <w:r w:rsidRPr="00B21497">
        <w:rPr>
          <w:rFonts w:cs="Times New Roman" w:eastAsia="Times New Roman"/>
          <w:lang w:eastAsia="hr-HR" w:val="en-GB"/>
        </w:rPr>
        <w:t xml:space="preserve"> 129, OIB: 40565203589.</w:t>
      </w:r>
    </w:p>
    <w:p w:rsidRDefault="00B21497" w:rsidP="00B21497" w:rsidR="00B21497" w:rsidRPr="00B21497">
      <w:pPr>
        <w:overflowPunct w:val="false"/>
        <w:autoSpaceDE w:val="false"/>
        <w:autoSpaceDN w:val="false"/>
        <w:adjustRightInd w:val="false"/>
        <w:spacing w:after="0"/>
        <w:ind w:firstLine="851"/>
        <w:jc w:val="both"/>
        <w:rPr>
          <w:rFonts w:cs="Times New Roman" w:eastAsia="Times New Roman"/>
          <w:szCs w:val="20"/>
          <w:lang w:eastAsia="hr-HR"/>
        </w:rPr>
      </w:pPr>
    </w:p>
    <w:p w:rsidRDefault="00B21497" w:rsidP="00B21497" w:rsidR="00B21497" w:rsidRPr="00B21497">
      <w:pPr>
        <w:overflowPunct w:val="false"/>
        <w:autoSpaceDE w:val="false"/>
        <w:autoSpaceDN w:val="false"/>
        <w:adjustRightInd w:val="false"/>
        <w:spacing w:after="0"/>
        <w:ind w:firstLine="851"/>
        <w:jc w:val="both"/>
        <w:rPr>
          <w:rFonts w:cs="Times New Roman" w:eastAsia="Times New Roman"/>
          <w:szCs w:val="20"/>
          <w:lang w:eastAsia="hr-HR"/>
        </w:rPr>
      </w:pPr>
      <w:r w:rsidRPr="00B21497">
        <w:rPr>
          <w:rFonts w:cs="Times New Roman" w:eastAsia="Times New Roman"/>
          <w:szCs w:val="20"/>
          <w:lang w:eastAsia="hr-HR"/>
        </w:rPr>
        <w:t xml:space="preserve">3. Zaključuje se stečajni postupak nad dužnikom LUCKY DRAGON d.o.o. za trgovinu i usluge, </w:t>
      </w:r>
      <w:proofErr w:type="spellStart"/>
      <w:r w:rsidRPr="00B21497">
        <w:rPr>
          <w:rFonts w:cs="Times New Roman" w:eastAsia="Times New Roman"/>
          <w:szCs w:val="20"/>
          <w:lang w:eastAsia="hr-HR"/>
        </w:rPr>
        <w:t>Nedelišće</w:t>
      </w:r>
      <w:proofErr w:type="spellEnd"/>
      <w:r w:rsidRPr="00B21497">
        <w:rPr>
          <w:rFonts w:cs="Times New Roman" w:eastAsia="Times New Roman"/>
          <w:szCs w:val="20"/>
          <w:lang w:eastAsia="hr-HR"/>
        </w:rPr>
        <w:t>, Štamparska 6, OIB:52120456148, MBS:070144822.</w:t>
      </w:r>
    </w:p>
    <w:p w:rsidRDefault="00B21497" w:rsidP="00B21497" w:rsidR="00B21497" w:rsidRPr="00B21497">
      <w:pPr>
        <w:overflowPunct w:val="false"/>
        <w:autoSpaceDE w:val="false"/>
        <w:autoSpaceDN w:val="false"/>
        <w:adjustRightInd w:val="false"/>
        <w:spacing w:after="0"/>
        <w:ind w:firstLine="851"/>
        <w:jc w:val="both"/>
        <w:rPr>
          <w:rFonts w:cs="Times New Roman" w:eastAsia="Times New Roman"/>
          <w:szCs w:val="20"/>
          <w:lang w:eastAsia="hr-HR"/>
        </w:rPr>
      </w:pPr>
    </w:p>
    <w:p w:rsidRDefault="00B21497" w:rsidP="00B21497" w:rsidR="00B21497" w:rsidRPr="00B21497">
      <w:pPr>
        <w:overflowPunct w:val="false"/>
        <w:autoSpaceDE w:val="false"/>
        <w:autoSpaceDN w:val="false"/>
        <w:adjustRightInd w:val="false"/>
        <w:spacing w:after="0"/>
        <w:ind w:firstLine="851"/>
        <w:jc w:val="both"/>
        <w:rPr>
          <w:rFonts w:cs="Times New Roman" w:eastAsia="Times New Roman"/>
          <w:szCs w:val="20"/>
          <w:lang w:eastAsia="hr-HR"/>
        </w:rPr>
      </w:pPr>
      <w:r w:rsidRPr="00B21497">
        <w:rPr>
          <w:rFonts w:cs="Times New Roman" w:eastAsia="Times New Roman"/>
          <w:szCs w:val="20"/>
          <w:lang w:eastAsia="hr-HR"/>
        </w:rPr>
        <w:t>4. Stečajni postupak je otvoren i zaključen s danom 29. lipnja 2018. u 13,00 sati, kada je ovo rješenje objavljeno na e-oglasnoj ploči ovoga suda.</w:t>
      </w:r>
    </w:p>
    <w:p w:rsidRDefault="00B21497" w:rsidP="00B21497" w:rsidR="00B21497" w:rsidRPr="00B21497">
      <w:pPr>
        <w:overflowPunct w:val="false"/>
        <w:autoSpaceDE w:val="false"/>
        <w:autoSpaceDN w:val="false"/>
        <w:adjustRightInd w:val="false"/>
        <w:spacing w:after="0"/>
        <w:ind w:firstLine="851"/>
        <w:jc w:val="both"/>
        <w:rPr>
          <w:rFonts w:cs="Times New Roman" w:eastAsia="Times New Roman"/>
          <w:szCs w:val="20"/>
          <w:lang w:eastAsia="hr-HR"/>
        </w:rPr>
      </w:pPr>
    </w:p>
    <w:p w:rsidRDefault="00B21497" w:rsidP="00B21497" w:rsidR="00B21497" w:rsidRPr="00B21497">
      <w:pPr>
        <w:overflowPunct w:val="false"/>
        <w:autoSpaceDE w:val="false"/>
        <w:autoSpaceDN w:val="false"/>
        <w:adjustRightInd w:val="false"/>
        <w:spacing w:after="0"/>
        <w:ind w:firstLine="851"/>
        <w:jc w:val="both"/>
        <w:rPr>
          <w:rFonts w:cs="Times New Roman" w:eastAsia="Times New Roman"/>
          <w:szCs w:val="20"/>
          <w:lang w:eastAsia="hr-HR"/>
        </w:rPr>
      </w:pPr>
      <w:r w:rsidRPr="00B21497">
        <w:rPr>
          <w:rFonts w:cs="Times New Roman" w:eastAsia="Times New Roman"/>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B21497" w:rsidP="00B21497" w:rsidR="00B21497" w:rsidRPr="00B21497">
      <w:pPr>
        <w:overflowPunct w:val="false"/>
        <w:autoSpaceDE w:val="false"/>
        <w:autoSpaceDN w:val="false"/>
        <w:adjustRightInd w:val="false"/>
        <w:spacing w:after="0"/>
        <w:ind w:firstLine="851"/>
        <w:jc w:val="both"/>
        <w:rPr>
          <w:rFonts w:cs="Times New Roman" w:eastAsia="Times New Roman"/>
          <w:szCs w:val="20"/>
          <w:lang w:eastAsia="hr-HR"/>
        </w:rPr>
      </w:pPr>
    </w:p>
    <w:p w:rsidRDefault="00B21497" w:rsidP="00B21497" w:rsidR="00B21497" w:rsidRPr="00B21497">
      <w:pPr>
        <w:overflowPunct w:val="false"/>
        <w:autoSpaceDE w:val="false"/>
        <w:autoSpaceDN w:val="false"/>
        <w:adjustRightInd w:val="false"/>
        <w:spacing w:after="0"/>
        <w:ind w:firstLine="851"/>
        <w:jc w:val="both"/>
        <w:rPr>
          <w:rFonts w:cs="Times New Roman" w:eastAsia="Times New Roman"/>
          <w:szCs w:val="20"/>
          <w:lang w:eastAsia="hr-HR"/>
        </w:rPr>
      </w:pPr>
      <w:r w:rsidRPr="00B21497">
        <w:rPr>
          <w:rFonts w:cs="Times New Roman" w:eastAsia="Times New Roman"/>
          <w:szCs w:val="20"/>
          <w:lang w:eastAsia="hr-HR"/>
        </w:rPr>
        <w:t>6. Nakon pravomoćnosti ovoga rješenja stečajni dužnik će se brisati iz sudskog registra.</w:t>
      </w:r>
    </w:p>
    <w:p w:rsidRDefault="00B21497" w:rsidP="00B21497" w:rsidR="00B21497" w:rsidRPr="00B21497">
      <w:pPr>
        <w:overflowPunct w:val="false"/>
        <w:autoSpaceDE w:val="false"/>
        <w:autoSpaceDN w:val="false"/>
        <w:adjustRightInd w:val="false"/>
        <w:spacing w:after="0"/>
        <w:jc w:val="both"/>
        <w:rPr>
          <w:rFonts w:cs="Times New Roman" w:eastAsia="Times New Roman"/>
          <w:szCs w:val="20"/>
          <w:lang w:eastAsia="hr-HR"/>
        </w:rPr>
      </w:pPr>
    </w:p>
    <w:p w:rsidRDefault="00B21497" w:rsidP="00B21497" w:rsidR="00B21497" w:rsidRPr="00B21497">
      <w:pPr>
        <w:overflowPunct w:val="false"/>
        <w:autoSpaceDE w:val="false"/>
        <w:autoSpaceDN w:val="false"/>
        <w:adjustRightInd w:val="false"/>
        <w:spacing w:after="0"/>
        <w:jc w:val="center"/>
        <w:rPr>
          <w:rFonts w:cs="Times New Roman" w:eastAsia="Times New Roman"/>
          <w:szCs w:val="20"/>
          <w:lang w:eastAsia="hr-HR"/>
        </w:rPr>
      </w:pPr>
      <w:r w:rsidRPr="00B21497">
        <w:rPr>
          <w:rFonts w:cs="Times New Roman" w:eastAsia="Times New Roman"/>
          <w:szCs w:val="20"/>
          <w:lang w:eastAsia="hr-HR"/>
        </w:rPr>
        <w:t>Obrazloženje</w:t>
      </w:r>
    </w:p>
    <w:p w:rsidRDefault="00B21497" w:rsidP="00B21497" w:rsidR="00B21497" w:rsidRPr="00B21497">
      <w:pPr>
        <w:overflowPunct w:val="false"/>
        <w:autoSpaceDE w:val="false"/>
        <w:autoSpaceDN w:val="false"/>
        <w:adjustRightInd w:val="false"/>
        <w:spacing w:after="0"/>
        <w:jc w:val="center"/>
        <w:rPr>
          <w:rFonts w:cs="Times New Roman" w:eastAsia="Times New Roman"/>
          <w:szCs w:val="20"/>
          <w:lang w:eastAsia="hr-HR"/>
        </w:rPr>
      </w:pPr>
    </w:p>
    <w:p w:rsidRDefault="00B21497" w:rsidP="00B21497" w:rsidR="00B21497" w:rsidRPr="00B21497">
      <w:pPr>
        <w:overflowPunct w:val="false"/>
        <w:autoSpaceDE w:val="false"/>
        <w:autoSpaceDN w:val="false"/>
        <w:adjustRightInd w:val="false"/>
        <w:spacing w:after="0"/>
        <w:ind w:firstLine="851"/>
        <w:jc w:val="both"/>
        <w:rPr>
          <w:rFonts w:cs="Times New Roman" w:eastAsia="Times New Roman"/>
          <w:szCs w:val="20"/>
          <w:lang w:eastAsia="hr-HR"/>
        </w:rPr>
      </w:pPr>
      <w:r w:rsidRPr="00B21497">
        <w:rPr>
          <w:rFonts w:cs="Times New Roman" w:eastAsia="Times New Roman"/>
          <w:szCs w:val="20"/>
          <w:lang w:eastAsia="hr-HR"/>
        </w:rPr>
        <w:t xml:space="preserve">Financijska agencija je na temelju čl.110. st.1. Stečajnog zakona ("Narodne novine" broj 71/15 i 104/17, dalje: SZ) 29. studenog 2017. podnijela Trgovačkom sudu u Varaždinu prijedlog za otvaranje stečajnog postupka nad dužnikom LUCKY DRAGON d.o.o. za trgovinu i usluge, </w:t>
      </w:r>
      <w:proofErr w:type="spellStart"/>
      <w:r w:rsidRPr="00B21497">
        <w:rPr>
          <w:rFonts w:cs="Times New Roman" w:eastAsia="Times New Roman"/>
          <w:szCs w:val="20"/>
          <w:lang w:eastAsia="hr-HR"/>
        </w:rPr>
        <w:t>Nedelišće</w:t>
      </w:r>
      <w:proofErr w:type="spellEnd"/>
      <w:r w:rsidRPr="00B21497">
        <w:rPr>
          <w:rFonts w:cs="Times New Roman" w:eastAsia="Times New Roman"/>
          <w:szCs w:val="20"/>
          <w:lang w:eastAsia="hr-HR"/>
        </w:rPr>
        <w:t xml:space="preserve">, Štamparska 6, koji je zaprimljen pod brojem St-600/2017 i sukladno rješenju predsjednika Visokog trgovačkog suda Republike Hrvatske poslovni broj Su-1223/17-2 od 15. prosinca 2017. ustupljen je ovom sudu na daljnji postupak. </w:t>
      </w:r>
    </w:p>
    <w:p w:rsidRDefault="00B21497" w:rsidP="00B21497" w:rsidR="00B21497" w:rsidRPr="00B21497">
      <w:pPr>
        <w:overflowPunct w:val="false"/>
        <w:autoSpaceDE w:val="false"/>
        <w:autoSpaceDN w:val="false"/>
        <w:adjustRightInd w:val="false"/>
        <w:spacing w:after="0"/>
        <w:ind w:firstLine="851"/>
        <w:jc w:val="both"/>
        <w:rPr>
          <w:rFonts w:cs="Times New Roman" w:eastAsia="Times New Roman"/>
          <w:szCs w:val="20"/>
          <w:lang w:eastAsia="hr-HR"/>
        </w:rPr>
      </w:pPr>
    </w:p>
    <w:p w:rsidRDefault="00B21497" w:rsidP="00B21497" w:rsidR="00B21497" w:rsidRPr="00B21497">
      <w:pPr>
        <w:overflowPunct w:val="false"/>
        <w:autoSpaceDE w:val="false"/>
        <w:autoSpaceDN w:val="false"/>
        <w:adjustRightInd w:val="false"/>
        <w:spacing w:after="0"/>
        <w:ind w:firstLine="851"/>
        <w:jc w:val="both"/>
        <w:rPr>
          <w:rFonts w:cs="Times New Roman" w:eastAsia="Times New Roman"/>
          <w:szCs w:val="20"/>
          <w:lang w:eastAsia="hr-HR"/>
        </w:rPr>
      </w:pPr>
      <w:r w:rsidRPr="00B21497">
        <w:rPr>
          <w:rFonts w:cs="Times New Roman" w:eastAsia="Times New Roman"/>
          <w:szCs w:val="20"/>
          <w:lang w:eastAsia="hr-HR"/>
        </w:rPr>
        <w:t xml:space="preserve">Iz prijedloga je proizlazilo da je 27. studenog 2017. dužnik u Očevidniku redoslijeda osnova za plaćanje imao evidentirane neizvršene osnove za plaćanje u neprekinutom razdoblju od 284 dana, u ukupnom iznosu od 57.504,85 kn te da je Fina na temelju čl.112. st.1. SZ-a, na ime predujma za namirenje troškova stečajnog postupka, zaplijenila novčana sredstva u iznosu od 5.000,00 kn. </w:t>
      </w:r>
    </w:p>
    <w:p w:rsidRDefault="00B21497" w:rsidP="00B21497" w:rsidR="00B21497" w:rsidRPr="00B21497">
      <w:pPr>
        <w:overflowPunct w:val="false"/>
        <w:autoSpaceDE w:val="false"/>
        <w:autoSpaceDN w:val="false"/>
        <w:adjustRightInd w:val="false"/>
        <w:spacing w:after="0"/>
        <w:ind w:firstLine="851"/>
        <w:jc w:val="both"/>
        <w:rPr>
          <w:rFonts w:cs="Times New Roman" w:eastAsia="Times New Roman"/>
          <w:szCs w:val="20"/>
          <w:lang w:eastAsia="hr-HR"/>
        </w:rPr>
      </w:pPr>
    </w:p>
    <w:p w:rsidRDefault="00B21497" w:rsidP="00B21497" w:rsidR="00B21497" w:rsidRPr="00B21497">
      <w:pPr>
        <w:overflowPunct w:val="false"/>
        <w:autoSpaceDE w:val="false"/>
        <w:autoSpaceDN w:val="false"/>
        <w:adjustRightInd w:val="false"/>
        <w:spacing w:after="0"/>
        <w:ind w:firstLine="851"/>
        <w:jc w:val="both"/>
        <w:rPr>
          <w:rFonts w:cs="Times New Roman" w:eastAsia="Times New Roman"/>
          <w:szCs w:val="20"/>
          <w:lang w:eastAsia="hr-HR"/>
        </w:rPr>
      </w:pPr>
      <w:r w:rsidRPr="00B21497">
        <w:rPr>
          <w:rFonts w:cs="Times New Roman" w:eastAsia="Times New Roman"/>
          <w:szCs w:val="20"/>
          <w:lang w:eastAsia="hr-HR"/>
        </w:rPr>
        <w:t xml:space="preserve">Rješenjem od 5. travnja 2018. sud je pokrenuo prethodni postupak radi utvrđivanja pretpostavki za otvaranje stečajnog postupka, imenovao je privremenog stečajnog upravitelja Duška </w:t>
      </w:r>
      <w:proofErr w:type="spellStart"/>
      <w:r w:rsidRPr="00B21497">
        <w:rPr>
          <w:rFonts w:cs="Times New Roman" w:eastAsia="Times New Roman"/>
          <w:szCs w:val="20"/>
          <w:lang w:eastAsia="hr-HR"/>
        </w:rPr>
        <w:t>Korugu</w:t>
      </w:r>
      <w:proofErr w:type="spellEnd"/>
      <w:r w:rsidRPr="00B21497">
        <w:rPr>
          <w:rFonts w:cs="Times New Roman" w:eastAsia="Times New Roman"/>
          <w:szCs w:val="20"/>
          <w:lang w:eastAsia="hr-HR"/>
        </w:rPr>
        <w:t xml:space="preserve"> iz Zagreba, kojem je naloženo provesti potrebne radnje radi ispitivanja postoji li imovina dužnika i mogu li se tom imovinom namiriti troškovi stečajnog postupka (čl.119. st.2. i 5. SZ-a). Sazvano je ročište radi izjašnjenja o prijedlogu i rasprave o uvjetima za otvaranje stečajnog postupka za dan 9. svibnja 2018., na koje zakonski zastupnik dužnika </w:t>
      </w:r>
      <w:proofErr w:type="spellStart"/>
      <w:r w:rsidRPr="00B21497">
        <w:rPr>
          <w:rFonts w:cs="Times New Roman" w:eastAsia="Times New Roman"/>
          <w:szCs w:val="20"/>
          <w:lang w:eastAsia="hr-HR"/>
        </w:rPr>
        <w:t>Youhua</w:t>
      </w:r>
      <w:proofErr w:type="spellEnd"/>
      <w:r w:rsidRPr="00B21497">
        <w:rPr>
          <w:rFonts w:cs="Times New Roman" w:eastAsia="Times New Roman"/>
          <w:szCs w:val="20"/>
          <w:lang w:eastAsia="hr-HR"/>
        </w:rPr>
        <w:t xml:space="preserve"> </w:t>
      </w:r>
      <w:proofErr w:type="spellStart"/>
      <w:r w:rsidRPr="00B21497">
        <w:rPr>
          <w:rFonts w:cs="Times New Roman" w:eastAsia="Times New Roman"/>
          <w:szCs w:val="20"/>
          <w:lang w:eastAsia="hr-HR"/>
        </w:rPr>
        <w:t>Lin</w:t>
      </w:r>
      <w:proofErr w:type="spellEnd"/>
      <w:r w:rsidRPr="00B21497">
        <w:rPr>
          <w:rFonts w:cs="Times New Roman" w:eastAsia="Times New Roman"/>
          <w:szCs w:val="20"/>
          <w:lang w:eastAsia="hr-HR"/>
        </w:rPr>
        <w:t xml:space="preserve"> nije pristupio.</w:t>
      </w:r>
    </w:p>
    <w:p w:rsidRDefault="00B21497" w:rsidP="00B21497" w:rsidR="00B21497" w:rsidRPr="00B21497">
      <w:pPr>
        <w:overflowPunct w:val="false"/>
        <w:autoSpaceDE w:val="false"/>
        <w:autoSpaceDN w:val="false"/>
        <w:adjustRightInd w:val="false"/>
        <w:spacing w:after="0"/>
        <w:ind w:firstLine="851"/>
        <w:jc w:val="both"/>
        <w:rPr>
          <w:rFonts w:cs="Times New Roman" w:eastAsia="Times New Roman"/>
          <w:szCs w:val="20"/>
          <w:lang w:eastAsia="hr-HR"/>
        </w:rPr>
      </w:pPr>
    </w:p>
    <w:p w:rsidRDefault="00B21497" w:rsidP="00B21497" w:rsidR="00B21497" w:rsidRPr="00B21497">
      <w:pPr>
        <w:overflowPunct w:val="false"/>
        <w:autoSpaceDE w:val="false"/>
        <w:autoSpaceDN w:val="false"/>
        <w:adjustRightInd w:val="false"/>
        <w:spacing w:after="0"/>
        <w:ind w:firstLine="851"/>
        <w:jc w:val="both"/>
        <w:rPr>
          <w:rFonts w:cs="Times New Roman" w:eastAsia="Times New Roman"/>
          <w:szCs w:val="20"/>
          <w:lang w:eastAsia="hr-HR"/>
        </w:rPr>
      </w:pPr>
      <w:r w:rsidRPr="00B21497">
        <w:rPr>
          <w:rFonts w:cs="Times New Roman" w:eastAsia="Times New Roman"/>
          <w:szCs w:val="20"/>
          <w:lang w:eastAsia="hr-HR"/>
        </w:rPr>
        <w:t>Privremeni stečajni upravitelj je podnio 7. svibnja 2018. sudu pisano izvješće (list 13-20), iz kojeg proizlazi da su ispunjeni razlozi za otvaranje stečajnog postupka zbog nesposobnosti za plaćanje. Nadalje proizlazi da dužnik ima u vlasništvu jedino motorno vozilo starosti 17 godina čija je vrijednost oko 7.500,00 kn. S obzirom da bi, prema  procjeni upravitelja, troškovi stečajnog postupka iznosili oko 27.500,00 kn (za vođenje poslovnih knjiga, otvaranje i zatvaranje računa, izradu žiga te troškove putovanja i nagrade stečajnog upravitelja) imovina stečajnog dužnika ne bi bila dovoljna za njihovo namirenje.</w:t>
      </w:r>
    </w:p>
    <w:p w:rsidRDefault="00B21497" w:rsidP="00B21497" w:rsidR="00B21497" w:rsidRPr="00B21497">
      <w:pPr>
        <w:overflowPunct w:val="false"/>
        <w:autoSpaceDE w:val="false"/>
        <w:autoSpaceDN w:val="false"/>
        <w:adjustRightInd w:val="false"/>
        <w:spacing w:after="0"/>
        <w:ind w:firstLine="851"/>
        <w:jc w:val="both"/>
        <w:rPr>
          <w:rFonts w:cs="Times New Roman" w:eastAsia="Times New Roman"/>
          <w:szCs w:val="20"/>
          <w:lang w:eastAsia="hr-HR"/>
        </w:rPr>
      </w:pPr>
    </w:p>
    <w:p w:rsidRDefault="00B21497" w:rsidP="00B21497" w:rsidR="00B21497" w:rsidRPr="00B21497">
      <w:pPr>
        <w:overflowPunct w:val="false"/>
        <w:autoSpaceDE w:val="false"/>
        <w:autoSpaceDN w:val="false"/>
        <w:adjustRightInd w:val="false"/>
        <w:spacing w:after="0"/>
        <w:ind w:firstLine="851"/>
        <w:jc w:val="both"/>
        <w:rPr>
          <w:rFonts w:cs="Times New Roman" w:eastAsia="Times New Roman"/>
          <w:szCs w:val="20"/>
          <w:lang w:eastAsia="hr-HR"/>
        </w:rPr>
      </w:pPr>
      <w:r w:rsidRPr="00B21497">
        <w:rPr>
          <w:rFonts w:cs="Times New Roman" w:eastAsia="Times New Roman"/>
          <w:szCs w:val="20"/>
          <w:lang w:eastAsia="hr-HR"/>
        </w:rPr>
        <w:t>Temeljem izvješća privremenog stečajnog upravitelja sud je utvrdio da je dužnik nesposoban za plaćanje i da ne raspolaže imovinom koja bi bila dovoljna za namirenje troškova prethodnog i stečajnog postupka te su ispunjeni uvjeti za otvaranje i zaključenje stečajnog postupka. Stoga je, sukladno odredbi čl.132. st.1. SZ-a, rješenjem od 5. svibnja 2018. pozvao osobe koje imaju interes za provedbom stečajnog postupka da u roku od 15 dana uplate predujam za namirenje troškova stečajnog postupka u iznosu od 22.500,00 kn (s obzirom da je FINA temeljem čl.112. st.1. SZ-a već dužniku zaplijenila iznos od 5.000,00 kn, za namirenje troškova stečajnog postupka), uz upozorenje da će, ukoliko predujam ne bude plaćen u roku, donijeti rješenje o otvaranju i zaključenju stečajnog postupka nad dužnikom.</w:t>
      </w:r>
    </w:p>
    <w:p w:rsidRDefault="00B21497" w:rsidP="00B21497" w:rsidR="00B21497" w:rsidRPr="00B21497">
      <w:pPr>
        <w:overflowPunct w:val="false"/>
        <w:autoSpaceDE w:val="false"/>
        <w:autoSpaceDN w:val="false"/>
        <w:adjustRightInd w:val="false"/>
        <w:spacing w:after="0"/>
        <w:ind w:firstLine="851"/>
        <w:jc w:val="both"/>
        <w:rPr>
          <w:rFonts w:cs="Times New Roman" w:eastAsia="Times New Roman"/>
          <w:szCs w:val="20"/>
          <w:lang w:eastAsia="hr-HR"/>
        </w:rPr>
      </w:pPr>
    </w:p>
    <w:p w:rsidRDefault="00B21497" w:rsidP="00B21497" w:rsidR="00B21497" w:rsidRPr="00B21497">
      <w:pPr>
        <w:overflowPunct w:val="false"/>
        <w:autoSpaceDE w:val="false"/>
        <w:autoSpaceDN w:val="false"/>
        <w:adjustRightInd w:val="false"/>
        <w:spacing w:after="0"/>
        <w:ind w:firstLine="851"/>
        <w:jc w:val="both"/>
        <w:rPr>
          <w:rFonts w:cs="Times New Roman" w:eastAsia="Times New Roman"/>
          <w:szCs w:val="20"/>
          <w:lang w:eastAsia="hr-HR"/>
        </w:rPr>
      </w:pPr>
      <w:r w:rsidRPr="00B21497">
        <w:rPr>
          <w:rFonts w:cs="Times New Roman" w:eastAsia="Times New Roman"/>
          <w:szCs w:val="20"/>
          <w:lang w:eastAsia="hr-HR"/>
        </w:rPr>
        <w:t>U roku od 15 dana nitko od osoba koje imaju pravni interes za vođenje stečajnog postupka nije uplatio predujam za namirenje troškova stečajnog postupka.</w:t>
      </w:r>
    </w:p>
    <w:p w:rsidRDefault="00B21497" w:rsidP="00B21497" w:rsidR="00B21497" w:rsidRPr="00B21497">
      <w:pPr>
        <w:overflowPunct w:val="false"/>
        <w:autoSpaceDE w:val="false"/>
        <w:autoSpaceDN w:val="false"/>
        <w:adjustRightInd w:val="false"/>
        <w:spacing w:after="0"/>
        <w:ind w:firstLine="851"/>
        <w:jc w:val="both"/>
        <w:rPr>
          <w:rFonts w:cs="Times New Roman" w:eastAsia="Times New Roman"/>
          <w:szCs w:val="20"/>
          <w:lang w:eastAsia="hr-HR"/>
        </w:rPr>
      </w:pPr>
    </w:p>
    <w:p w:rsidRDefault="00B21497" w:rsidP="00B21497" w:rsidR="00B21497" w:rsidRPr="00B21497">
      <w:pPr>
        <w:overflowPunct w:val="false"/>
        <w:autoSpaceDE w:val="false"/>
        <w:autoSpaceDN w:val="false"/>
        <w:adjustRightInd w:val="false"/>
        <w:spacing w:after="0"/>
        <w:ind w:firstLine="851"/>
        <w:jc w:val="both"/>
        <w:rPr>
          <w:rFonts w:cs="Times New Roman" w:eastAsia="Times New Roman"/>
          <w:szCs w:val="20"/>
          <w:lang w:eastAsia="hr-HR"/>
        </w:rPr>
      </w:pPr>
      <w:r w:rsidRPr="00B21497">
        <w:rPr>
          <w:rFonts w:cs="Times New Roman" w:eastAsia="Times New Roman"/>
          <w:szCs w:val="20"/>
          <w:lang w:eastAsia="hr-HR"/>
        </w:rPr>
        <w:t xml:space="preserve">Imajući u vidu izvješće privremenog stečajnog upravitelja sud utvrđuje da je ispunjen stečajni razlog nesposobnosti za plaćanje iz čl.6. SZ-a. </w:t>
      </w:r>
    </w:p>
    <w:p w:rsidRDefault="00B21497" w:rsidP="00B21497" w:rsidR="00B21497" w:rsidRPr="00B21497">
      <w:pPr>
        <w:overflowPunct w:val="false"/>
        <w:autoSpaceDE w:val="false"/>
        <w:autoSpaceDN w:val="false"/>
        <w:adjustRightInd w:val="false"/>
        <w:spacing w:after="0"/>
        <w:ind w:firstLine="851"/>
        <w:jc w:val="both"/>
        <w:rPr>
          <w:rFonts w:cs="Times New Roman" w:eastAsia="Times New Roman"/>
          <w:szCs w:val="20"/>
          <w:lang w:eastAsia="hr-HR"/>
        </w:rPr>
      </w:pPr>
    </w:p>
    <w:p w:rsidRDefault="00B21497" w:rsidP="00B21497" w:rsidR="00B21497" w:rsidRPr="00B21497">
      <w:pPr>
        <w:overflowPunct w:val="false"/>
        <w:autoSpaceDE w:val="false"/>
        <w:autoSpaceDN w:val="false"/>
        <w:adjustRightInd w:val="false"/>
        <w:spacing w:after="0"/>
        <w:ind w:firstLine="851"/>
        <w:jc w:val="both"/>
        <w:rPr>
          <w:rFonts w:cs="Times New Roman" w:eastAsia="Times New Roman"/>
          <w:szCs w:val="20"/>
          <w:lang w:eastAsia="hr-HR"/>
        </w:rPr>
      </w:pPr>
      <w:r w:rsidRPr="00B21497">
        <w:rPr>
          <w:rFonts w:cs="Times New Roman" w:eastAsia="Times New Roman"/>
          <w:szCs w:val="20"/>
          <w:lang w:eastAsia="hr-HR"/>
        </w:rPr>
        <w:t>Budući da dužnik ne raspolaže imovinom kojom bi se mogli namiriti troškovi stečajnog postupka, ispunjeni su uvjeti za otvaranje i zaključenje stečajnog postupka jer stečajna masa nije dovoljna za namirenje troškova toga postupka i sud je, temeljem odredbe čl.132. st.1. i 2. SZ-a, riješio kao u izreci.</w:t>
      </w:r>
    </w:p>
    <w:p w:rsidRDefault="00B21497" w:rsidP="00B21497" w:rsidR="00B21497" w:rsidRPr="00B21497">
      <w:pPr>
        <w:overflowPunct w:val="false"/>
        <w:autoSpaceDE w:val="false"/>
        <w:autoSpaceDN w:val="false"/>
        <w:adjustRightInd w:val="false"/>
        <w:spacing w:after="0"/>
        <w:ind w:firstLine="851"/>
        <w:jc w:val="both"/>
        <w:rPr>
          <w:rFonts w:cs="Times New Roman" w:eastAsia="Times New Roman"/>
          <w:szCs w:val="20"/>
          <w:lang w:eastAsia="hr-HR"/>
        </w:rPr>
      </w:pPr>
    </w:p>
    <w:p w:rsidRDefault="00B21497" w:rsidP="00B21497" w:rsidR="00B21497" w:rsidRPr="00B21497">
      <w:pPr>
        <w:overflowPunct w:val="false"/>
        <w:autoSpaceDE w:val="false"/>
        <w:autoSpaceDN w:val="false"/>
        <w:adjustRightInd w:val="false"/>
        <w:spacing w:after="0"/>
        <w:ind w:firstLine="851"/>
        <w:jc w:val="both"/>
        <w:rPr>
          <w:rFonts w:cs="Times New Roman" w:eastAsia="Times New Roman"/>
          <w:szCs w:val="20"/>
          <w:lang w:eastAsia="hr-HR"/>
        </w:rPr>
      </w:pPr>
      <w:r w:rsidRPr="00B21497">
        <w:rPr>
          <w:rFonts w:cs="Times New Roman" w:eastAsia="Times New Roman"/>
          <w:szCs w:val="20"/>
          <w:lang w:eastAsia="hr-HR"/>
        </w:rPr>
        <w:t>Objava rješenja na e-oglasnoj ploči suda određena je sukladno čl.132. st.3.  SZ-a.</w:t>
      </w:r>
    </w:p>
    <w:p w:rsidRDefault="00B21497" w:rsidP="00B21497" w:rsidR="00B21497" w:rsidRPr="00B21497">
      <w:pPr>
        <w:overflowPunct w:val="false"/>
        <w:autoSpaceDE w:val="false"/>
        <w:autoSpaceDN w:val="false"/>
        <w:adjustRightInd w:val="false"/>
        <w:spacing w:after="0"/>
        <w:ind w:firstLine="851"/>
        <w:jc w:val="both"/>
        <w:rPr>
          <w:rFonts w:cs="Times New Roman" w:eastAsia="Times New Roman"/>
          <w:szCs w:val="20"/>
          <w:lang w:eastAsia="hr-HR"/>
        </w:rPr>
      </w:pPr>
    </w:p>
    <w:p w:rsidRDefault="00B21497" w:rsidP="00B21497" w:rsidR="00B21497" w:rsidRPr="00B21497">
      <w:pPr>
        <w:overflowPunct w:val="false"/>
        <w:autoSpaceDE w:val="false"/>
        <w:autoSpaceDN w:val="false"/>
        <w:adjustRightInd w:val="false"/>
        <w:spacing w:after="0"/>
        <w:ind w:firstLine="851"/>
        <w:jc w:val="both"/>
        <w:rPr>
          <w:rFonts w:cs="Times New Roman" w:eastAsia="Times New Roman"/>
          <w:szCs w:val="20"/>
          <w:lang w:eastAsia="hr-HR"/>
        </w:rPr>
      </w:pPr>
      <w:r w:rsidRPr="00B21497">
        <w:rPr>
          <w:rFonts w:cs="Times New Roman" w:eastAsia="Times New Roman"/>
          <w:szCs w:val="20"/>
          <w:lang w:eastAsia="hr-HR"/>
        </w:rPr>
        <w:t xml:space="preserve">Temeljem čl.85. st.2. SZ-a sud je privremenog stečajnog upravitelja Duška </w:t>
      </w:r>
      <w:proofErr w:type="spellStart"/>
      <w:r w:rsidRPr="00B21497">
        <w:rPr>
          <w:rFonts w:cs="Times New Roman" w:eastAsia="Times New Roman"/>
          <w:szCs w:val="20"/>
          <w:lang w:eastAsia="hr-HR"/>
        </w:rPr>
        <w:t>Korugu</w:t>
      </w:r>
      <w:proofErr w:type="spellEnd"/>
      <w:r w:rsidRPr="00B21497">
        <w:rPr>
          <w:rFonts w:cs="Times New Roman" w:eastAsia="Times New Roman"/>
          <w:szCs w:val="20"/>
          <w:lang w:eastAsia="hr-HR"/>
        </w:rPr>
        <w:t xml:space="preserve"> iz Zagreba, koji je imenovan rješenjem od 7. veljače 2018., imenovao stečajnim upraviteljem.</w:t>
      </w:r>
    </w:p>
    <w:p w:rsidRDefault="00B21497" w:rsidP="00B21497" w:rsidR="00B21497" w:rsidRPr="00B21497">
      <w:pPr>
        <w:overflowPunct w:val="false"/>
        <w:autoSpaceDE w:val="false"/>
        <w:autoSpaceDN w:val="false"/>
        <w:adjustRightInd w:val="false"/>
        <w:spacing w:after="0"/>
        <w:ind w:firstLine="851"/>
        <w:rPr>
          <w:rFonts w:cs="Times New Roman" w:eastAsia="Times New Roman"/>
          <w:szCs w:val="20"/>
          <w:lang w:eastAsia="hr-HR"/>
        </w:rPr>
      </w:pPr>
    </w:p>
    <w:p w:rsidRDefault="00B21497" w:rsidP="00B21497" w:rsidR="00B21497" w:rsidRPr="00B21497">
      <w:pPr>
        <w:overflowPunct w:val="false"/>
        <w:autoSpaceDE w:val="false"/>
        <w:autoSpaceDN w:val="false"/>
        <w:adjustRightInd w:val="false"/>
        <w:spacing w:after="0"/>
        <w:ind w:firstLine="709"/>
        <w:jc w:val="both"/>
        <w:rPr>
          <w:rFonts w:cs="Times New Roman" w:eastAsia="Times New Roman"/>
          <w:szCs w:val="20"/>
          <w:lang w:eastAsia="hr-HR"/>
        </w:rPr>
      </w:pPr>
      <w:r w:rsidRPr="00B21497">
        <w:rPr>
          <w:rFonts w:cs="Times New Roman" w:eastAsia="Times New Roman"/>
          <w:szCs w:val="20"/>
          <w:lang w:eastAsia="hr-HR"/>
        </w:rPr>
        <w:t>Stečajni upravitelj će, sukladno odredbi čl.133. st.1. SZ-a, imovinu dužnika (motorno vozilo) unovčiti u ime i za račun stečajne mase te će prikupljenim sredstvima podmiriti nastale troškove stečajnog postupka, dok će neiskorišteni ostatak uplatiti u Fond za namirenje troškova stečajnog postupka.</w:t>
      </w:r>
    </w:p>
    <w:p w:rsidRDefault="00B21497" w:rsidP="00B21497" w:rsidR="00B21497" w:rsidRPr="00B21497">
      <w:pPr>
        <w:overflowPunct w:val="false"/>
        <w:autoSpaceDE w:val="false"/>
        <w:autoSpaceDN w:val="false"/>
        <w:adjustRightInd w:val="false"/>
        <w:spacing w:after="0"/>
        <w:ind w:firstLine="851"/>
        <w:jc w:val="both"/>
        <w:rPr>
          <w:rFonts w:cs="Times New Roman" w:eastAsia="Times New Roman"/>
          <w:szCs w:val="20"/>
          <w:lang w:eastAsia="hr-HR"/>
        </w:rPr>
      </w:pPr>
    </w:p>
    <w:p w:rsidRDefault="00B21497" w:rsidP="00B21497" w:rsidR="00B21497" w:rsidRPr="00B21497">
      <w:pPr>
        <w:overflowPunct w:val="false"/>
        <w:autoSpaceDE w:val="false"/>
        <w:autoSpaceDN w:val="false"/>
        <w:adjustRightInd w:val="false"/>
        <w:spacing w:after="0"/>
        <w:ind w:firstLine="709"/>
        <w:jc w:val="both"/>
        <w:rPr>
          <w:rFonts w:cs="Times New Roman" w:eastAsia="Times New Roman"/>
          <w:szCs w:val="20"/>
          <w:lang w:eastAsia="hr-HR"/>
        </w:rPr>
      </w:pPr>
      <w:r w:rsidRPr="00B21497">
        <w:rPr>
          <w:rFonts w:cs="Times New Roman" w:eastAsia="Times New Roman"/>
          <w:szCs w:val="20"/>
          <w:lang w:eastAsia="hr-HR"/>
        </w:rPr>
        <w:t>O brisanju dužnika iz sudskog registra odlučeno je sukladno čl.286. st.3. SZ-a.</w:t>
      </w:r>
    </w:p>
    <w:p w:rsidRDefault="00B21497" w:rsidP="00B21497" w:rsidR="00B21497" w:rsidRPr="00B21497">
      <w:pPr>
        <w:overflowPunct w:val="false"/>
        <w:autoSpaceDE w:val="false"/>
        <w:autoSpaceDN w:val="false"/>
        <w:adjustRightInd w:val="false"/>
        <w:spacing w:after="0"/>
        <w:jc w:val="both"/>
        <w:rPr>
          <w:rFonts w:cs="Times New Roman" w:eastAsia="Times New Roman"/>
          <w:szCs w:val="20"/>
          <w:lang w:eastAsia="hr-HR"/>
        </w:rPr>
      </w:pPr>
    </w:p>
    <w:p w:rsidRDefault="00B21497" w:rsidP="00B21497" w:rsidR="00B21497" w:rsidRPr="00B21497">
      <w:pPr>
        <w:overflowPunct w:val="false"/>
        <w:autoSpaceDE w:val="false"/>
        <w:autoSpaceDN w:val="false"/>
        <w:adjustRightInd w:val="false"/>
        <w:spacing w:after="0"/>
        <w:jc w:val="center"/>
        <w:rPr>
          <w:rFonts w:cs="Times New Roman" w:eastAsia="Times New Roman"/>
          <w:szCs w:val="20"/>
          <w:lang w:eastAsia="hr-HR"/>
        </w:rPr>
      </w:pPr>
      <w:r w:rsidRPr="00B21497">
        <w:rPr>
          <w:rFonts w:cs="Times New Roman" w:eastAsia="Times New Roman"/>
          <w:szCs w:val="20"/>
          <w:lang w:eastAsia="hr-HR"/>
        </w:rPr>
        <w:t>U Bjelovaru 29. lipnja 2018.</w:t>
      </w:r>
    </w:p>
    <w:p w:rsidRDefault="00B21497" w:rsidP="00B21497" w:rsidR="00B21497" w:rsidRPr="00B21497">
      <w:pPr>
        <w:overflowPunct w:val="false"/>
        <w:autoSpaceDE w:val="false"/>
        <w:autoSpaceDN w:val="false"/>
        <w:adjustRightInd w:val="false"/>
        <w:spacing w:after="0"/>
        <w:jc w:val="both"/>
        <w:rPr>
          <w:rFonts w:cs="Times New Roman" w:eastAsia="Times New Roman"/>
          <w:szCs w:val="20"/>
          <w:lang w:eastAsia="hr-HR"/>
        </w:rPr>
      </w:pPr>
    </w:p>
    <w:p w:rsidRDefault="00B21497" w:rsidP="00B21497" w:rsidR="00B21497" w:rsidRPr="00B21497">
      <w:pPr>
        <w:overflowPunct w:val="false"/>
        <w:autoSpaceDE w:val="false"/>
        <w:autoSpaceDN w:val="false"/>
        <w:adjustRightInd w:val="false"/>
        <w:spacing w:after="0"/>
        <w:jc w:val="both"/>
        <w:rPr>
          <w:rFonts w:cs="Times New Roman" w:eastAsia="Times New Roman"/>
          <w:szCs w:val="20"/>
          <w:lang w:eastAsia="hr-HR"/>
        </w:rPr>
      </w:pPr>
      <w:r w:rsidRPr="00B21497">
        <w:rPr>
          <w:rFonts w:cs="Times New Roman" w:eastAsia="Times New Roman"/>
          <w:szCs w:val="20"/>
          <w:lang w:eastAsia="hr-HR"/>
        </w:rPr>
        <w:t xml:space="preserve">                                                                                  Stečajna sutkinja</w:t>
      </w:r>
    </w:p>
    <w:p w:rsidRDefault="00B21497" w:rsidP="00B21497" w:rsidR="00B21497" w:rsidRPr="00B21497">
      <w:pPr>
        <w:overflowPunct w:val="false"/>
        <w:autoSpaceDE w:val="false"/>
        <w:autoSpaceDN w:val="false"/>
        <w:adjustRightInd w:val="false"/>
        <w:spacing w:after="0"/>
        <w:jc w:val="both"/>
        <w:rPr>
          <w:rFonts w:cs="Times New Roman" w:eastAsia="Times New Roman"/>
          <w:szCs w:val="20"/>
          <w:lang w:eastAsia="hr-HR"/>
        </w:rPr>
      </w:pPr>
      <w:r w:rsidRPr="00B21497">
        <w:rPr>
          <w:rFonts w:cs="Times New Roman" w:eastAsia="Times New Roman"/>
          <w:szCs w:val="20"/>
          <w:lang w:eastAsia="hr-HR"/>
        </w:rPr>
        <w:t xml:space="preserve">                                                                           Marija Petrina Kubica v.r.</w:t>
      </w:r>
    </w:p>
    <w:p w:rsidRDefault="00B21497" w:rsidP="00B21497" w:rsidR="00B21497" w:rsidRPr="00B21497">
      <w:pPr>
        <w:overflowPunct w:val="false"/>
        <w:autoSpaceDE w:val="false"/>
        <w:autoSpaceDN w:val="false"/>
        <w:adjustRightInd w:val="false"/>
        <w:spacing w:after="0"/>
        <w:jc w:val="both"/>
        <w:rPr>
          <w:rFonts w:cs="Times New Roman" w:eastAsia="Times New Roman"/>
          <w:szCs w:val="20"/>
          <w:lang w:eastAsia="hr-HR"/>
        </w:rPr>
      </w:pPr>
    </w:p>
    <w:p w:rsidRDefault="00B21497" w:rsidP="00B21497" w:rsidR="00B21497" w:rsidRPr="00B21497">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B21497">
        <w:rPr>
          <w:rFonts w:cs="Times New Roman" w:eastAsia="Times New Roman"/>
          <w:noProof/>
          <w:szCs w:val="20"/>
          <w:lang w:eastAsia="hr-HR"/>
        </w:rPr>
        <w:t>Za točnost otpravka - ovlašteni službenik</w:t>
      </w:r>
    </w:p>
    <w:p w:rsidRDefault="00B21497" w:rsidP="00B21497" w:rsidR="00B21497" w:rsidRPr="00B21497">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B21497">
        <w:rPr>
          <w:rFonts w:cs="Times New Roman" w:eastAsia="Times New Roman"/>
          <w:noProof/>
          <w:szCs w:val="20"/>
          <w:lang w:eastAsia="hr-HR"/>
        </w:rPr>
        <w:t xml:space="preserve">                  Željka Vitez</w:t>
      </w:r>
    </w:p>
    <w:p w:rsidRDefault="00B21497" w:rsidP="00B21497" w:rsidR="00B21497" w:rsidRPr="00B21497">
      <w:pPr>
        <w:overflowPunct w:val="false"/>
        <w:autoSpaceDE w:val="false"/>
        <w:autoSpaceDN w:val="false"/>
        <w:adjustRightInd w:val="false"/>
        <w:spacing w:after="0"/>
        <w:jc w:val="both"/>
        <w:rPr>
          <w:rFonts w:cs="Times New Roman" w:eastAsia="Times New Roman"/>
          <w:szCs w:val="20"/>
          <w:lang w:eastAsia="hr-HR"/>
        </w:rPr>
      </w:pPr>
    </w:p>
    <w:p w:rsidRDefault="00B21497" w:rsidP="00B21497" w:rsidR="00B21497" w:rsidRPr="00B21497">
      <w:pPr>
        <w:overflowPunct w:val="false"/>
        <w:autoSpaceDE w:val="false"/>
        <w:autoSpaceDN w:val="false"/>
        <w:adjustRightInd w:val="false"/>
        <w:spacing w:after="0"/>
        <w:jc w:val="both"/>
        <w:rPr>
          <w:rFonts w:cs="Times New Roman" w:eastAsia="Times New Roman"/>
          <w:szCs w:val="20"/>
          <w:lang w:eastAsia="hr-HR"/>
        </w:rPr>
      </w:pPr>
    </w:p>
    <w:p w:rsidRDefault="00B21497" w:rsidP="00B21497" w:rsidR="00B21497" w:rsidRPr="00B21497">
      <w:pPr>
        <w:overflowPunct w:val="false"/>
        <w:autoSpaceDE w:val="false"/>
        <w:autoSpaceDN w:val="false"/>
        <w:adjustRightInd w:val="false"/>
        <w:spacing w:after="0"/>
        <w:jc w:val="both"/>
        <w:rPr>
          <w:rFonts w:cs="Times New Roman" w:eastAsia="Times New Roman"/>
          <w:szCs w:val="20"/>
          <w:lang w:eastAsia="hr-HR"/>
        </w:rPr>
      </w:pPr>
    </w:p>
    <w:p w:rsidRDefault="00B21497" w:rsidP="00B21497" w:rsidR="00B21497" w:rsidRPr="00B21497">
      <w:pPr>
        <w:overflowPunct w:val="false"/>
        <w:autoSpaceDE w:val="false"/>
        <w:autoSpaceDN w:val="false"/>
        <w:adjustRightInd w:val="false"/>
        <w:spacing w:after="0"/>
        <w:jc w:val="both"/>
        <w:rPr>
          <w:rFonts w:cs="Times New Roman" w:eastAsia="Times New Roman"/>
          <w:szCs w:val="20"/>
          <w:lang w:eastAsia="hr-HR"/>
        </w:rPr>
      </w:pPr>
      <w:r w:rsidRPr="00B21497">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AE649C" w:rsidP="004F27AE" w:rsidR="00AE649C" w:rsidRPr="00B76F3C">
      <w:pPr>
        <w:pStyle w:val="NormaleSPIS"/>
      </w:pPr>
    </w:p>
    <w:sectPr w:rsidSect="00B2149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8258557"/>
      <w:docPartObj>
        <w:docPartGallery w:val="Page Numbers (Top of Page)"/>
        <w:docPartUnique/>
      </w:docPartObj>
    </w:sdtPr>
    <w:sdtContent>
      <w:p w:rsidRDefault="00B21497" w:rsidP="00B21497" w:rsidR="00B21497">
        <w:pPr>
          <w:pStyle w:val="Zaglavlje"/>
          <w:spacing w:after="0"/>
          <w:jc w:val="center"/>
        </w:pPr>
        <w:r>
          <w:fldChar w:fldCharType="begin"/>
        </w:r>
        <w:r>
          <w:instrText>PAGE   \* MERGEFORMAT</w:instrText>
        </w:r>
        <w:r>
          <w:fldChar w:fldCharType="separate"/>
        </w:r>
        <w:r>
          <w:t>3</w:t>
        </w:r>
        <w:r>
          <w:fldChar w:fldCharType="end"/>
        </w:r>
      </w:p>
    </w:sdtContent>
  </w:sdt>
  <w:p w:rsidRDefault="00B21497" w:rsidP="00B21497" w:rsidR="008333A9">
    <w:pPr>
      <w:overflowPunct w:val="false"/>
      <w:autoSpaceDE w:val="false"/>
      <w:autoSpaceDN w:val="false"/>
      <w:adjustRightInd w:val="false"/>
      <w:spacing w:after="0"/>
      <w:jc w:val="right"/>
      <w:rPr>
        <w:rFonts w:cs="Times New Roman" w:eastAsia="Times New Roman"/>
        <w:noProof/>
        <w:szCs w:val="20"/>
        <w:lang w:eastAsia="hr-HR"/>
      </w:rPr>
    </w:pPr>
    <w:r w:rsidRPr="00B21497">
      <w:rPr>
        <w:rFonts w:cs="Times New Roman" w:eastAsia="Times New Roman"/>
        <w:noProof/>
        <w:szCs w:val="20"/>
        <w:lang w:eastAsia="hr-HR"/>
      </w:rPr>
      <w:t>Poslovni broj: 5. St-82/2018-10</w:t>
    </w:r>
  </w:p>
  <w:p w:rsidRDefault="00B21497" w:rsidP="00B21497" w:rsidR="00B21497" w:rsidRPr="00B21497">
    <w:pPr>
      <w:overflowPunct w:val="false"/>
      <w:autoSpaceDE w:val="false"/>
      <w:autoSpaceDN w:val="false"/>
      <w:adjustRightInd w:val="false"/>
      <w:spacing w:after="0"/>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1497"/>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23388625">
      <w:bodyDiv w:val="true"/>
      <w:marLeft w:val="0"/>
      <w:marRight w:val="0"/>
      <w:marTop w:val="0"/>
      <w:marBottom w:val="0"/>
      <w:divBdr>
        <w:top w:space="0" w:sz="0" w:color="auto" w:val="none"/>
        <w:left w:space="0" w:sz="0" w:color="auto" w:val="none"/>
        <w:bottom w:space="0" w:sz="0" w:color="auto" w:val="none"/>
        <w:right w:space="0" w:sz="0" w:color="auto" w:val="none"/>
      </w:divBdr>
    </w:div>
    <w:div w:id="188274147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2018.</izvorni_sadrzaj>
    <derivirana_varijabla naziv="DomainObject.DatumDonosenjaOdluke_1">29.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St-82/2018-10</izvorni_sadrzaj>
    <derivirana_varijabla naziv="DomainObject.Oznaka_1">St-82/2018-10</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izvorni_sadrzaj>
    <derivirana_varijabla naziv="DomainObject.Predmet.Broj_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St-82/2018</izvorni_sadrzaj>
    <derivirana_varijabla naziv="DomainObject.Predmet.OznakaBroj_1">St-82/2018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LUCKY DRAGON d.o.o. za trgovinu i usluge</izvorni_sadrzaj>
    <derivirana_varijabla naziv="DomainObject.Predmet.ProtustrankaFormated_1">  LUCKY DRAGON d.o.o. za trgovinu i usluge</derivirana_varijabla>
  </DomainObject.Predmet.ProtustrankaFormated>
  <DomainObject.Predmet.ProtustrankaFormatedOIB>
    <izvorni_sadrzaj>  LUCKY DRAGON d.o.o. za trgovinu i usluge, OIB 52120456148</izvorni_sadrzaj>
    <derivirana_varijabla naziv="DomainObject.Predmet.ProtustrankaFormatedOIB_1">  LUCKY DRAGON d.o.o. za trgovinu i usluge, OIB 52120456148</derivirana_varijabla>
  </DomainObject.Predmet.ProtustrankaFormatedOIB>
  <DomainObject.Predmet.ProtustrankaFormatedWithAdress>
    <izvorni_sadrzaj> LUCKY DRAGON d.o.o. za trgovinu i usluge, Štamparska 6, 40000 Nedelišće</izvorni_sadrzaj>
    <derivirana_varijabla naziv="DomainObject.Predmet.ProtustrankaFormatedWithAdress_1"> LUCKY DRAGON d.o.o. za trgovinu i usluge, Štamparska 6, 40000 Nedelišće</derivirana_varijabla>
  </DomainObject.Predmet.ProtustrankaFormatedWithAdress>
  <DomainObject.Predmet.ProtustrankaFormatedWithAdressOIB>
    <izvorni_sadrzaj> LUCKY DRAGON d.o.o. za trgovinu i usluge, OIB 52120456148, Štamparska 6, 40000 Nedelišće</izvorni_sadrzaj>
    <derivirana_varijabla naziv="DomainObject.Predmet.ProtustrankaFormatedWithAdressOIB_1"> LUCKY DRAGON d.o.o. za trgovinu i usluge, OIB 52120456148, Štamparska 6, 40000 Nedelišće</derivirana_varijabla>
  </DomainObject.Predmet.ProtustrankaFormatedWithAdressOIB>
  <DomainObject.Predmet.ProtustrankaWithAdress>
    <izvorni_sadrzaj>LUCKY DRAGON d.o.o. za trgovinu i usluge Štamparska 6, 40000 Nedelišće</izvorni_sadrzaj>
    <derivirana_varijabla naziv="DomainObject.Predmet.ProtustrankaWithAdress_1">LUCKY DRAGON d.o.o. za trgovinu i usluge Štamparska 6, 40000 Nedelišće</derivirana_varijabla>
  </DomainObject.Predmet.ProtustrankaWithAdress>
  <DomainObject.Predmet.ProtustrankaWithAdressOIB>
    <izvorni_sadrzaj>LUCKY DRAGON d.o.o. za trgovinu i usluge, OIB 52120456148, Štamparska 6, 40000 Nedelišće</izvorni_sadrzaj>
    <derivirana_varijabla naziv="DomainObject.Predmet.ProtustrankaWithAdressOIB_1">LUCKY DRAGON d.o.o. za trgovinu i usluge, OIB 52120456148, Štamparska 6, 40000 Nedelišće</derivirana_varijabla>
  </DomainObject.Predmet.ProtustrankaWithAdressOIB>
  <DomainObject.Predmet.ProtustrankaNazivFormated>
    <izvorni_sadrzaj>LUCKY DRAGON d.o.o. za trgovinu i usluge</izvorni_sadrzaj>
    <derivirana_varijabla naziv="DomainObject.Predmet.ProtustrankaNazivFormated_1">LUCKY DRAGON d.o.o. za trgovinu i usluge</derivirana_varijabla>
  </DomainObject.Predmet.ProtustrankaNazivFormated>
  <DomainObject.Predmet.ProtustrankaNazivFormatedOIB>
    <izvorni_sadrzaj>LUCKY DRAGON d.o.o. za trgovinu i usluge, OIB 52120456148</izvorni_sadrzaj>
    <derivirana_varijabla naziv="DomainObject.Predmet.ProtustrankaNazivFormatedOIB_1">LUCKY DRAGON d.o.o. za trgovinu i usluge, OIB 52120456148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LUCKY DRAGON d.o.o. za trgovinu i usluge</item>
    </izvorni_sadrzaj>
    <derivirana_varijabla naziv="DomainObject.Predmet.ProtuStrankaListFormated_1">
      <item>LUCKY DRAGON d.o.o. za trgovinu i usluge</item>
    </derivirana_varijabla>
  </DomainObject.Predmet.ProtuStrankaListFormated>
  <DomainObject.Predmet.ProtuStrankaListFormatedOIB>
    <izvorni_sadrzaj>
      <item>LUCKY DRAGON d.o.o. za trgovinu i usluge, OIB 52120456148</item>
    </izvorni_sadrzaj>
    <derivirana_varijabla naziv="DomainObject.Predmet.ProtuStrankaListFormatedOIB_1">
      <item>LUCKY DRAGON d.o.o. za trgovinu i usluge, OIB 52120456148</item>
    </derivirana_varijabla>
  </DomainObject.Predmet.ProtuStrankaListFormatedOIB>
  <DomainObject.Predmet.ProtuStrankaListFormatedWithAdress>
    <izvorni_sadrzaj>
      <item>LUCKY DRAGON d.o.o. za trgovinu i usluge, Štamparska 6, 40000 Nedelišće</item>
    </izvorni_sadrzaj>
    <derivirana_varijabla naziv="DomainObject.Predmet.ProtuStrankaListFormatedWithAdress_1">
      <item>LUCKY DRAGON d.o.o. za trgovinu i usluge, Štamparska 6, 40000 Nedelišće</item>
    </derivirana_varijabla>
  </DomainObject.Predmet.ProtuStrankaListFormatedWithAdress>
  <DomainObject.Predmet.ProtuStrankaListFormatedWithAdressOIB>
    <izvorni_sadrzaj>
      <item>LUCKY DRAGON d.o.o. za trgovinu i usluge, OIB 52120456148, Štamparska 6, 40000 Nedelišće</item>
    </izvorni_sadrzaj>
    <derivirana_varijabla naziv="DomainObject.Predmet.ProtuStrankaListFormatedWithAdressOIB_1">
      <item>LUCKY DRAGON d.o.o. za trgovinu i usluge, OIB 52120456148, Štamparska 6, 40000 Nedelišće</item>
    </derivirana_varijabla>
  </DomainObject.Predmet.ProtuStrankaListFormatedWithAdressOIB>
  <DomainObject.Predmet.ProtuStrankaListNazivFormated>
    <izvorni_sadrzaj>
      <item>LUCKY DRAGON d.o.o. za trgovinu i usluge</item>
    </izvorni_sadrzaj>
    <derivirana_varijabla naziv="DomainObject.Predmet.ProtuStrankaListNazivFormated_1">
      <item>LUCKY DRAGON d.o.o. za trgovinu i usluge</item>
    </derivirana_varijabla>
  </DomainObject.Predmet.ProtuStrankaListNazivFormated>
  <DomainObject.Predmet.ProtuStrankaListNazivFormatedOIB>
    <izvorni_sadrzaj>
      <item>LUCKY DRAGON d.o.o. za trgovinu i usluge, OIB 52120456148</item>
    </izvorni_sadrzaj>
    <derivirana_varijabla naziv="DomainObject.Predmet.ProtuStrankaListNazivFormatedOIB_1">
      <item>LUCKY DRAGON d.o.o. za trgovinu i usluge, OIB 52120456148</item>
    </derivirana_varijabla>
  </DomainObject.Predmet.ProtuStrankaListNazivFormatedOIB>
  <DomainObject.Predmet.OstaliListFormated>
    <izvorni_sadrzaj>
      <item>Youhua Lin</item>
      <item>Sudski registar</item>
      <item>Duško Koruga</item>
    </izvorni_sadrzaj>
    <derivirana_varijabla naziv="DomainObject.Predmet.OstaliListFormated_1">
      <item>Youhua Lin</item>
      <item>Sudski registar</item>
      <item>Duško Koruga</item>
    </derivirana_varijabla>
  </DomainObject.Predmet.OstaliListFormated>
  <DomainObject.Predmet.OstaliListFormatedOIB>
    <izvorni_sadrzaj>
      <item>Youhua Lin, OIB 38300984494</item>
      <item>Sudski registar</item>
      <item>Duško Koruga, OIB 40565203589</item>
    </izvorni_sadrzaj>
    <derivirana_varijabla naziv="DomainObject.Predmet.OstaliListFormatedOIB_1">
      <item>Youhua Lin, OIB 38300984494</item>
      <item>Sudski registar</item>
      <item>Duško Koruga, OIB 40565203589</item>
    </derivirana_varijabla>
  </DomainObject.Predmet.OstaliListFormatedOIB>
  <DomainObject.Predmet.OstaliListFormatedWithAdress>
    <izvorni_sadrzaj>
      <item>Youhua Lin, Štamparska 6, 40000 Nedelišće</item>
      <item>Sudski registar</item>
      <item>Duško Koruga, Ilica 129, 10000 Zagreb</item>
    </izvorni_sadrzaj>
    <derivirana_varijabla naziv="DomainObject.Predmet.OstaliListFormatedWithAdress_1">
      <item>Youhua Lin, Štamparska 6, 40000 Nedelišće</item>
      <item>Sudski registar</item>
      <item>Duško Koruga, Ilica 129, 10000 Zagreb</item>
    </derivirana_varijabla>
  </DomainObject.Predmet.OstaliListFormatedWithAdress>
  <DomainObject.Predmet.OstaliListFormatedWithAdressOIB>
    <izvorni_sadrzaj>
      <item>Youhua Lin, OIB 38300984494, Štamparska 6, 40000 Nedelišće</item>
      <item>Sudski registar</item>
      <item>Duško Koruga, OIB 40565203589, Ilica 129, 10000 Zagreb</item>
    </izvorni_sadrzaj>
    <derivirana_varijabla naziv="DomainObject.Predmet.OstaliListFormatedWithAdressOIB_1">
      <item>Youhua Lin, OIB 38300984494, Štamparska 6, 40000 Nedelišće</item>
      <item>Sudski registar</item>
      <item>Duško Koruga, OIB 40565203589, Ilica 129, 10000 Zagreb</item>
    </derivirana_varijabla>
  </DomainObject.Predmet.OstaliListFormatedWithAdressOIB>
  <DomainObject.Predmet.OstaliListNazivFormated>
    <izvorni_sadrzaj>
      <item>Youhua Lin</item>
      <item>Sudski registar</item>
      <item>Duško Koruga</item>
    </izvorni_sadrzaj>
    <derivirana_varijabla naziv="DomainObject.Predmet.OstaliListNazivFormated_1">
      <item>Youhua Lin</item>
      <item>Sudski registar</item>
      <item>Duško Koruga</item>
    </derivirana_varijabla>
  </DomainObject.Predmet.OstaliListNazivFormated>
  <DomainObject.Predmet.OstaliListNazivFormatedOIB>
    <izvorni_sadrzaj>
      <item>Youhua Lin, OIB 38300984494</item>
      <item>Sudski registar</item>
      <item>Duško Koruga, OIB 40565203589</item>
    </izvorni_sadrzaj>
    <derivirana_varijabla naziv="DomainObject.Predmet.OstaliListNazivFormatedOIB_1">
      <item>Youhua Lin, OIB 38300984494</item>
      <item>Sudski registar</item>
      <item>Duško Koruga, OIB 40565203589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2018.</izvorni_sadrzaj>
    <derivirana_varijabla naziv="DomainObject.Datum_1">29. lipnja 2018.</derivirana_varijabla>
  </DomainObject.Datum>
  <DomainObject.PoslovniBrojDokumenta>
    <izvorni_sadrzaj>St-82/2018-10</izvorni_sadrzaj>
    <derivirana_varijabla naziv="DomainObject.PoslovniBrojDokumenta_1">St-82/2018-10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LUCKY DRAGON d.o.o. za trgovinu i usluge</izvorni_sadrzaj>
    <derivirana_varijabla naziv="DomainObject.Predmet.ProtustrankaIDrugi_1">LUCKY DRAGON d.o.o.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LUCKY DRAGON d.o.o. za trgovinu i usluge, OIB 52120456148, Štamparska 6, 40000 Nedelišće</izvorni_sadrzaj>
    <derivirana_varijabla naziv="DomainObject.Predmet.ProtustrankaIDrugiAdressOIB_1">LUCKY DRAGON d.o.o. za trgovinu i usluge, OIB 52120456148, Štamparska 6, 40000 Nedelišće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LUCKY DRAGON d.o.o. za trgovinu i usluge</item>
      <item>Youhua Lin</item>
      <item>Sudski registar</item>
      <item>Duško Koruga</item>
    </izvorni_sadrzaj>
    <derivirana_varijabla naziv="DomainObject.Predmet.SudioniciListNaziv_1">
      <item>Financijska agencija</item>
      <item>LUCKY DRAGON d.o.o. za trgovinu i usluge</item>
      <item>Youhua Lin</item>
      <item>Sudski registar</item>
      <item>Duško Koruga</item>
    </derivirana_varijabla>
  </DomainObject.Predmet.SudioniciListNaziv>
  <DomainObject.Predmet.SudioniciListAdressOIB>
    <izvorni_sadrzaj>
      <item>Financijska agencija, OIB 85821130368, Ulica grada Vukovara 70,10000 Zagreb</item>
      <item>LUCKY DRAGON d.o.o. za trgovinu i usluge, OIB 52120456148, Štamparska 6,40000 Nedelišće</item>
      <item>Youhua Lin, OIB 38300984494, Štamparska 6,40000 Nedelišće</item>
      <item>Sudski registar</item>
      <item>Duško Koruga, OIB 40565203589, Ilica 129,10000 Zagreb</item>
    </izvorni_sadrzaj>
    <derivirana_varijabla naziv="DomainObject.Predmet.SudioniciListAdressOIB_1">
      <item>Financijska agencija, OIB 85821130368, Ulica grada Vukovara 70,10000 Zagreb</item>
      <item>LUCKY DRAGON d.o.o. za trgovinu i usluge, OIB 52120456148, Štamparska 6,40000 Nedelišće</item>
      <item>Youhua Lin, OIB 38300984494, Štamparska 6,40000 Nedelišće</item>
      <item>Sudski registar</item>
      <item>Duško Koruga, OIB 40565203589, Ilica 129,10000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0A2A72-19D7-4AF6-869F-6F9645D308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944</properties:Words>
  <properties:Characters>5340</properties:Characters>
  <properties:Lines>121</properties:Lines>
  <properties:Paragraphs>33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2018-06-29T10:59:00Z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St-82/2018-10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