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3dd0" w14:paraId="d103dd0" w:rsidRDefault="00AE649C" w:rsidP="00E04F57" w:rsidR="00AE649C" w:rsidRPr="00B76F3C">
      <w:pPr>
        <w:pStyle w:val="Naslov3"/>
        <w:spacing w:after="0"/>
        <w15:collapsed w:val="false"/>
      </w:pPr>
      <w:bookmarkStart w:name="_GoBack" w:id="0"/>
      <w:bookmarkEnd w:id="0"/>
    </w:p>
    <w:p w:rsidRDefault="00E04F57" w:rsidP="00E04F57" w:rsidR="00AE649C" w:rsidRPr="00B76F3C">
      <w:pPr>
        <w:pStyle w:val="SudNaziv"/>
        <w:ind w:firstLine="708" w:left="4956"/>
      </w:pPr>
      <w:r>
        <w:rPr>
          <w:lang w:eastAsia="hr-HR"/>
        </w:rPr>
        <w:t>Poslovni broj: 4 St-485/16-19</w:t>
      </w:r>
    </w:p>
    <w:p w:rsidRDefault="00EA1C6D" w:rsidP="00E04F57" w:rsidR="00AE649C" w:rsidRPr="00B76F3C">
      <w:pPr>
        <w:pStyle w:val="SudSjedite"/>
      </w:pPr>
      <w:r>
        <w:tab/>
      </w:r>
    </w:p>
    <w:p w:rsidRDefault="00E04F57" w:rsidP="00E04F57" w:rsidR="00E04F57">
      <w:pPr>
        <w:tabs>
          <w:tab w:pos="516" w:val="left"/>
        </w:tabs>
        <w:spacing w:after="0"/>
        <w:rPr>
          <w:rFonts w:cs="Times New Roman"/>
          <w:bCs/>
        </w:rPr>
      </w:pPr>
      <w:r>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rFonts w:cs="Times New Roman"/>
          <w:bCs/>
        </w:rPr>
        <w:tab/>
      </w:r>
    </w:p>
    <w:p w:rsidRDefault="00E04F57" w:rsidP="00E04F57" w:rsidR="00E04F57">
      <w:pPr>
        <w:spacing w:after="0"/>
        <w:rPr>
          <w:rFonts w:cs="Times New Roman"/>
        </w:rPr>
      </w:pPr>
    </w:p>
    <w:p w:rsidRDefault="00E04F57" w:rsidP="00E04F57" w:rsidR="00E04F57">
      <w:pPr>
        <w:spacing w:after="0"/>
        <w:ind w:firstLine="720"/>
        <w:rPr>
          <w:rFonts w:cs="Times New Roman"/>
          <w:b/>
        </w:rPr>
      </w:pPr>
    </w:p>
    <w:p w:rsidRDefault="00E04F57" w:rsidP="00E04F57" w:rsidR="00E04F57">
      <w:pPr>
        <w:spacing w:after="0"/>
        <w:ind w:firstLine="720"/>
        <w:rPr>
          <w:rFonts w:cs="Times New Roman"/>
          <w:b/>
        </w:rPr>
      </w:pPr>
    </w:p>
    <w:p w:rsidRDefault="00E04F57" w:rsidP="00E04F57" w:rsidR="00E04F57">
      <w:pPr>
        <w:spacing w:after="0"/>
        <w:rPr>
          <w:rFonts w:cs="Times New Roman"/>
          <w:b/>
        </w:rPr>
      </w:pPr>
      <w:r>
        <w:rPr>
          <w:rFonts w:cs="Times New Roman"/>
          <w:b/>
        </w:rPr>
        <w:t xml:space="preserve">       REPUBLIKA HRVATSKA</w:t>
      </w:r>
    </w:p>
    <w:p w:rsidRDefault="00E04F57" w:rsidP="00E04F57" w:rsidR="00E04F57">
      <w:pPr>
        <w:spacing w:after="0"/>
        <w:rPr>
          <w:rFonts w:cs="Times New Roman"/>
          <w:b/>
        </w:rPr>
      </w:pPr>
      <w:r>
        <w:rPr>
          <w:rFonts w:cs="Times New Roman"/>
        </w:rPr>
        <w:t>TRGOVAČKI SUD U VARAŽDINU</w:t>
      </w:r>
    </w:p>
    <w:p w:rsidRDefault="00E04F57" w:rsidP="00E04F57" w:rsidR="00E04F57">
      <w:pPr>
        <w:spacing w:after="0"/>
        <w:rPr>
          <w:rFonts w:cs="Times New Roman"/>
        </w:rPr>
      </w:pPr>
      <w:r>
        <w:rPr>
          <w:rFonts w:cs="Times New Roman"/>
        </w:rPr>
        <w:t xml:space="preserve">                 Braće Radića 2</w:t>
      </w:r>
    </w:p>
    <w:p w:rsidRDefault="00E04F57" w:rsidP="00E04F57" w:rsidR="00E04F57">
      <w:pPr>
        <w:spacing w:after="0"/>
        <w:jc w:val="both"/>
        <w:rPr>
          <w:rFonts w:cs="Times New Roman"/>
        </w:rPr>
      </w:pPr>
    </w:p>
    <w:p w:rsidRDefault="00E04F57" w:rsidP="00E04F57" w:rsidR="00E04F57">
      <w:pPr>
        <w:spacing w:after="0"/>
        <w:jc w:val="both"/>
        <w:rPr>
          <w:rFonts w:cs="Times New Roman"/>
        </w:rPr>
      </w:pPr>
    </w:p>
    <w:p w:rsidRDefault="00E04F57" w:rsidP="00E04F57" w:rsidR="00E04F57">
      <w:pPr>
        <w:spacing w:after="0"/>
        <w:jc w:val="both"/>
        <w:rPr>
          <w:rFonts w:cs="Times New Roman"/>
        </w:rPr>
      </w:pPr>
    </w:p>
    <w:p w:rsidRDefault="00E04F57" w:rsidP="00E04F57" w:rsidR="00E04F57">
      <w:pPr>
        <w:spacing w:after="0"/>
        <w:jc w:val="center"/>
        <w:rPr>
          <w:rFonts w:cs="Times New Roman"/>
        </w:rPr>
      </w:pPr>
      <w:r>
        <w:rPr>
          <w:rFonts w:cs="Times New Roman"/>
        </w:rPr>
        <w:t>R E P U B L I K A    H R V A T S K A</w:t>
      </w:r>
    </w:p>
    <w:p w:rsidRDefault="00E04F57" w:rsidP="00E04F57" w:rsidR="00E04F57">
      <w:pPr>
        <w:spacing w:after="0"/>
        <w:jc w:val="center"/>
        <w:rPr>
          <w:rFonts w:cs="Times New Roman"/>
        </w:rPr>
      </w:pPr>
    </w:p>
    <w:p w:rsidRDefault="00E04F57" w:rsidP="00E04F57" w:rsidR="00E04F57">
      <w:pPr>
        <w:spacing w:after="0"/>
        <w:jc w:val="both"/>
        <w:rPr>
          <w:rFonts w:cs="Times New Roman"/>
        </w:rPr>
      </w:pPr>
    </w:p>
    <w:p w:rsidRDefault="00E04F57" w:rsidP="00E04F57" w:rsidR="00E04F57">
      <w:pPr>
        <w:pStyle w:val="Naslov2"/>
        <w:spacing w:after="0"/>
        <w:rPr>
          <w:rFonts w:cs="Times New Roman"/>
          <w:b w:val="false"/>
          <w:szCs w:val="24"/>
        </w:rPr>
      </w:pPr>
      <w:r>
        <w:rPr>
          <w:b w:val="false"/>
          <w:szCs w:val="24"/>
        </w:rPr>
        <w:t>R J E Š E NJ E</w:t>
      </w:r>
    </w:p>
    <w:p w:rsidRDefault="00E04F57" w:rsidP="00E04F57" w:rsidR="00E04F57">
      <w:pPr>
        <w:spacing w:after="0"/>
        <w:rPr>
          <w:szCs w:val="20"/>
          <w:lang w:eastAsia="hr-HR"/>
        </w:rPr>
      </w:pPr>
    </w:p>
    <w:p w:rsidRDefault="00E04F57" w:rsidP="00E04F57" w:rsidR="00E04F57">
      <w:pPr>
        <w:spacing w:after="0"/>
        <w:jc w:val="both"/>
        <w:rPr>
          <w:rFonts w:cs="Times New Roman"/>
        </w:rPr>
      </w:pPr>
    </w:p>
    <w:p w:rsidRDefault="00E04F57" w:rsidP="00E04F57" w:rsidR="00E04F57">
      <w:pPr>
        <w:spacing w:after="0"/>
        <w:ind w:firstLine="708"/>
        <w:jc w:val="both"/>
        <w:rPr>
          <w:rFonts w:cs="Times New Roman"/>
        </w:rPr>
      </w:pPr>
      <w:r>
        <w:rPr>
          <w:rFonts w:cs="Times New Roman"/>
        </w:rPr>
        <w:t>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TONA d.o.o. u stečaju, Mali Poganac 10, Mali Poganac, Sokolovac, OIB: 13799315379, 29. studenoga 2016.</w:t>
      </w:r>
    </w:p>
    <w:p w:rsidRDefault="00E04F57" w:rsidP="00E04F57" w:rsidR="00E04F57">
      <w:pPr>
        <w:spacing w:after="0"/>
        <w:ind w:firstLine="708"/>
        <w:jc w:val="both"/>
        <w:rPr>
          <w:rFonts w:cs="Times New Roman"/>
        </w:rPr>
      </w:pPr>
    </w:p>
    <w:p w:rsidRDefault="00E04F57" w:rsidP="00E04F57" w:rsidR="00E04F57">
      <w:pPr>
        <w:spacing w:after="0"/>
        <w:ind w:right="567"/>
        <w:jc w:val="both"/>
        <w:rPr>
          <w:rFonts w:cs="Times New Roman"/>
        </w:rPr>
      </w:pPr>
    </w:p>
    <w:p w:rsidRDefault="00E04F57" w:rsidP="00E04F57" w:rsidR="00E04F57">
      <w:pPr>
        <w:spacing w:after="0"/>
        <w:ind w:right="567" w:left="737"/>
        <w:jc w:val="center"/>
        <w:rPr>
          <w:rFonts w:cs="Times New Roman"/>
        </w:rPr>
      </w:pPr>
      <w:r>
        <w:rPr>
          <w:rFonts w:cs="Times New Roman"/>
        </w:rPr>
        <w:t>r i j e š i o    j e</w:t>
      </w:r>
    </w:p>
    <w:p w:rsidRDefault="00E04F57" w:rsidP="00E04F57" w:rsidR="00E04F57">
      <w:pPr>
        <w:spacing w:after="0"/>
        <w:ind w:right="1252"/>
        <w:jc w:val="both"/>
        <w:rPr>
          <w:rFonts w:cs="Times New Roman"/>
        </w:rPr>
      </w:pPr>
    </w:p>
    <w:p w:rsidRDefault="00E04F57" w:rsidP="00E04F57" w:rsidR="00E04F57">
      <w:pPr>
        <w:spacing w:after="0"/>
        <w:ind w:right="1252"/>
        <w:jc w:val="both"/>
        <w:rPr>
          <w:rFonts w:cs="Times New Roman"/>
        </w:rPr>
      </w:pPr>
    </w:p>
    <w:p w:rsidRDefault="00E04F57" w:rsidP="00E04F57" w:rsidR="00E04F57">
      <w:pPr>
        <w:spacing w:after="0"/>
        <w:ind w:right="567"/>
        <w:jc w:val="both"/>
        <w:rPr>
          <w:rFonts w:cs="Times New Roman"/>
          <w:b/>
        </w:rPr>
      </w:pPr>
      <w:r>
        <w:rPr>
          <w:rFonts w:cs="Times New Roman"/>
          <w:b/>
        </w:rPr>
        <w:t>Utvrđene tražbine viših isplatnih redova u kunama:</w:t>
      </w:r>
    </w:p>
    <w:p w:rsidRDefault="00E04F57" w:rsidP="00E04F57" w:rsidR="00E04F57">
      <w:pPr>
        <w:spacing w:after="0"/>
        <w:ind w:right="567"/>
        <w:jc w:val="both"/>
        <w:rPr>
          <w:rFonts w:cs="Times New Roman"/>
          <w:b/>
        </w:rPr>
      </w:pPr>
    </w:p>
    <w:p w:rsidRDefault="00E04F57" w:rsidP="00E04F57" w:rsidR="00E04F57">
      <w:pPr>
        <w:spacing w:after="0"/>
        <w:ind w:right="567" w:left="705"/>
        <w:jc w:val="both"/>
        <w:rPr>
          <w:rFonts w:cs="Times New Roman"/>
        </w:rPr>
      </w:pPr>
    </w:p>
    <w:p w:rsidRDefault="00E04F57" w:rsidP="00E04F57" w:rsidR="00E04F57">
      <w:pPr>
        <w:pStyle w:val="Odlomakpopisa"/>
        <w:numPr>
          <w:ilvl w:val="0"/>
          <w:numId w:val="47"/>
        </w:numPr>
        <w:tabs>
          <w:tab w:pos="851" w:val="clear"/>
        </w:tabs>
        <w:spacing w:after="0"/>
        <w:ind w:right="567"/>
        <w:contextualSpacing/>
        <w:rPr>
          <w:rFonts w:cs="Times New Roman"/>
          <w:u w:val="single"/>
        </w:rPr>
      </w:pPr>
      <w:r>
        <w:rPr>
          <w:rFonts w:cs="Times New Roman"/>
          <w:u w:val="single"/>
        </w:rPr>
        <w:t>viši isplatni red</w:t>
      </w:r>
    </w:p>
    <w:p w:rsidRDefault="00E04F57" w:rsidP="00E04F57" w:rsidR="00E04F57">
      <w:pPr>
        <w:pStyle w:val="Odlomakpopisa"/>
        <w:spacing w:after="0"/>
        <w:ind w:right="567" w:left="1425"/>
        <w:rPr>
          <w:rFonts w:cs="Times New Roman"/>
          <w:u w:val="single"/>
        </w:rPr>
      </w:pPr>
    </w:p>
    <w:p w:rsidRDefault="00E04F57" w:rsidP="00E04F57" w:rsidR="00E04F57">
      <w:pPr>
        <w:spacing w:after="0"/>
        <w:ind w:right="567" w:left="705"/>
        <w:jc w:val="both"/>
        <w:rPr>
          <w:rFonts w:cs="Times New Roman"/>
          <w:b/>
          <w:u w:val="single"/>
        </w:rPr>
      </w:pPr>
    </w:p>
    <w:tbl>
      <w:tblPr>
        <w:tblW w:type="dxa" w:w="9420"/>
        <w:tblInd w:type="dxa" w:w="108"/>
        <w:tblLayout w:type="fixed"/>
        <w:tblLook w:val="04A0" w:noVBand="1" w:noHBand="0" w:lastColumn="0" w:firstColumn="1" w:lastRow="0" w:firstRow="1"/>
      </w:tblPr>
      <w:tblGrid>
        <w:gridCol w:w="1419"/>
        <w:gridCol w:w="1982"/>
        <w:gridCol w:w="1700"/>
        <w:gridCol w:w="1559"/>
        <w:gridCol w:w="920"/>
        <w:gridCol w:w="920"/>
        <w:gridCol w:w="920"/>
      </w:tblGrid>
      <w:tr w:rsidTr="00E04F57" w:rsidR="00E04F57">
        <w:trPr>
          <w:gridAfter w:val="1"/>
          <w:wAfter w:type="dxa" w:w="921"/>
          <w:trHeight w:val="1620"/>
        </w:trPr>
        <w:tc>
          <w:tcPr>
            <w:tcW w:type="dxa" w:w="1419"/>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 xml:space="preserve">Redni broj </w:t>
            </w:r>
          </w:p>
        </w:tc>
        <w:tc>
          <w:tcPr>
            <w:tcW w:type="dxa" w:w="1983"/>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Ime i prezime/ Vjerovnik</w:t>
            </w:r>
          </w:p>
        </w:tc>
        <w:tc>
          <w:tcPr>
            <w:tcW w:type="dxa" w:w="1701"/>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 xml:space="preserve">OIB </w:t>
            </w:r>
          </w:p>
        </w:tc>
        <w:tc>
          <w:tcPr>
            <w:tcW w:type="dxa" w:w="1560"/>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Adresa</w:t>
            </w:r>
          </w:p>
        </w:tc>
        <w:tc>
          <w:tcPr>
            <w:tcW w:type="dxa" w:w="1842"/>
            <w:gridSpan w:val="2"/>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ind w:firstLine="44" w:left="-44"/>
              <w:jc w:val="center"/>
              <w:rPr>
                <w:rFonts w:cs="Times New Roman" w:eastAsia="Times New Roman"/>
                <w:b/>
                <w:bCs/>
                <w:color w:val="000000"/>
                <w:sz w:val="14"/>
                <w:szCs w:val="14"/>
              </w:rPr>
            </w:pPr>
            <w:r>
              <w:rPr>
                <w:rFonts w:cs="Times New Roman"/>
                <w:b/>
                <w:bCs/>
                <w:color w:val="000000"/>
                <w:sz w:val="14"/>
                <w:szCs w:val="14"/>
              </w:rPr>
              <w:t xml:space="preserve">Iznos prijavljene tražbine </w:t>
            </w:r>
          </w:p>
        </w:tc>
      </w:tr>
      <w:tr w:rsidTr="00E04F57" w:rsidR="00E04F57">
        <w:trPr>
          <w:gridAfter w:val="1"/>
          <w:wAfter w:type="dxa" w:w="921"/>
          <w:trHeight w:val="407"/>
        </w:trPr>
        <w:tc>
          <w:tcPr>
            <w:tcW w:type="dxa" w:w="1419"/>
            <w:tcBorders>
              <w:top w:space="0" w:sz="4" w:color="auto" w:val="single"/>
              <w:left w:space="0" w:sz="4" w:color="auto" w:val="single"/>
              <w:bottom w:space="0" w:sz="4" w:color="auto" w:val="single"/>
              <w:right w:space="0" w:sz="4" w:color="auto" w:val="single"/>
            </w:tcBorders>
            <w:shd w:fill="D9D9D9" w:color="auto" w:val="clear"/>
            <w:vAlign w:val="center"/>
          </w:tcPr>
          <w:p w:rsidRDefault="00E04F57" w:rsidP="00E04F57" w:rsidR="00E04F57">
            <w:pPr>
              <w:spacing w:after="0"/>
              <w:jc w:val="center"/>
              <w:rPr>
                <w:rFonts w:cs="Times New Roman" w:eastAsia="Times New Roman"/>
                <w:b/>
                <w:bCs/>
                <w:color w:val="000000"/>
                <w:sz w:val="14"/>
                <w:szCs w:val="14"/>
              </w:rPr>
            </w:pPr>
          </w:p>
        </w:tc>
        <w:tc>
          <w:tcPr>
            <w:tcW w:type="dxa" w:w="1983"/>
            <w:tcBorders>
              <w:top w:space="0" w:sz="4" w:color="auto" w:val="single"/>
              <w:left w:val="nil"/>
              <w:bottom w:space="0" w:sz="4" w:color="auto" w:val="single"/>
              <w:right w:space="0" w:sz="4" w:color="auto" w:val="single"/>
            </w:tcBorders>
            <w:shd w:fill="D9D9D9" w:color="auto" w:val="clear"/>
            <w:vAlign w:val="center"/>
          </w:tcPr>
          <w:p w:rsidRDefault="00E04F57" w:rsidP="00E04F57" w:rsidR="00E04F57">
            <w:pPr>
              <w:spacing w:after="0"/>
              <w:jc w:val="center"/>
              <w:rPr>
                <w:rFonts w:cs="Times New Roman" w:eastAsia="Times New Roman"/>
                <w:b/>
                <w:bCs/>
                <w:color w:val="000000"/>
                <w:sz w:val="14"/>
                <w:szCs w:val="14"/>
              </w:rPr>
            </w:pPr>
          </w:p>
        </w:tc>
        <w:tc>
          <w:tcPr>
            <w:tcW w:type="dxa" w:w="1701"/>
            <w:tcBorders>
              <w:top w:space="0" w:sz="4" w:color="auto" w:val="single"/>
              <w:left w:val="nil"/>
              <w:bottom w:space="0" w:sz="4" w:color="auto" w:val="single"/>
              <w:right w:space="0" w:sz="4" w:color="auto" w:val="single"/>
            </w:tcBorders>
            <w:shd w:fill="D9D9D9" w:color="auto" w:val="clear"/>
            <w:vAlign w:val="center"/>
          </w:tcPr>
          <w:p w:rsidRDefault="00E04F57" w:rsidP="00E04F57" w:rsidR="00E04F57">
            <w:pPr>
              <w:spacing w:after="0"/>
              <w:jc w:val="center"/>
              <w:rPr>
                <w:rFonts w:cs="Times New Roman" w:eastAsia="Times New Roman"/>
                <w:b/>
                <w:bCs/>
                <w:color w:val="000000"/>
                <w:sz w:val="14"/>
                <w:szCs w:val="14"/>
              </w:rPr>
            </w:pPr>
          </w:p>
        </w:tc>
        <w:tc>
          <w:tcPr>
            <w:tcW w:type="dxa" w:w="1560"/>
            <w:tcBorders>
              <w:top w:space="0" w:sz="4" w:color="auto" w:val="single"/>
              <w:left w:val="nil"/>
              <w:bottom w:space="0" w:sz="4" w:color="auto" w:val="single"/>
              <w:right w:space="0" w:sz="4" w:color="auto" w:val="single"/>
            </w:tcBorders>
            <w:shd w:fill="D9D9D9" w:color="auto" w:val="clear"/>
            <w:vAlign w:val="center"/>
          </w:tcPr>
          <w:p w:rsidRDefault="00E04F57" w:rsidP="00E04F57" w:rsidR="00E04F57">
            <w:pPr>
              <w:spacing w:after="0"/>
              <w:jc w:val="center"/>
              <w:rPr>
                <w:rFonts w:cs="Times New Roman" w:eastAsia="Times New Roman"/>
                <w:b/>
                <w:bCs/>
                <w:color w:val="000000"/>
                <w:sz w:val="14"/>
                <w:szCs w:val="14"/>
              </w:rPr>
            </w:pPr>
          </w:p>
        </w:tc>
        <w:tc>
          <w:tcPr>
            <w:tcW w:type="dxa" w:w="921"/>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ind w:firstLine="44" w:left="-44"/>
              <w:jc w:val="center"/>
              <w:rPr>
                <w:rFonts w:cs="Times New Roman" w:eastAsia="Times New Roman"/>
                <w:b/>
                <w:bCs/>
                <w:color w:val="000000"/>
                <w:sz w:val="14"/>
                <w:szCs w:val="14"/>
              </w:rPr>
            </w:pPr>
            <w:r>
              <w:rPr>
                <w:rFonts w:cs="Times New Roman"/>
                <w:b/>
                <w:bCs/>
                <w:color w:val="000000"/>
                <w:sz w:val="14"/>
                <w:szCs w:val="14"/>
              </w:rPr>
              <w:t>Bruto</w:t>
            </w:r>
          </w:p>
        </w:tc>
        <w:tc>
          <w:tcPr>
            <w:tcW w:type="dxa" w:w="921"/>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ind w:firstLine="44" w:left="-44"/>
              <w:jc w:val="center"/>
              <w:rPr>
                <w:rFonts w:cs="Times New Roman" w:eastAsia="Times New Roman"/>
                <w:b/>
                <w:bCs/>
                <w:color w:val="000000"/>
                <w:sz w:val="14"/>
                <w:szCs w:val="14"/>
              </w:rPr>
            </w:pPr>
            <w:r>
              <w:rPr>
                <w:rFonts w:cs="Times New Roman"/>
                <w:b/>
                <w:bCs/>
                <w:color w:val="000000"/>
                <w:sz w:val="14"/>
                <w:szCs w:val="14"/>
              </w:rPr>
              <w:t>Neto</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1.</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REPUBLIKA HRVATSKA</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52634238587</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Graberje 1, Varaždin</w:t>
            </w:r>
          </w:p>
        </w:tc>
        <w:tc>
          <w:tcPr>
            <w:tcW w:type="dxa" w:w="921"/>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6.922,11</w:t>
            </w:r>
          </w:p>
        </w:tc>
        <w:tc>
          <w:tcPr>
            <w:tcW w:type="dxa" w:w="921"/>
            <w:tcBorders>
              <w:top w:val="nil"/>
              <w:left w:val="nil"/>
              <w:bottom w:space="0" w:sz="4" w:color="auto" w:val="single"/>
              <w:right w:space="0" w:sz="4" w:color="auto" w:val="single"/>
            </w:tcBorders>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6.922,11</w:t>
            </w:r>
          </w:p>
        </w:tc>
      </w:tr>
      <w:tr w:rsidTr="00E04F57" w:rsidR="00E04F57">
        <w:trPr>
          <w:trHeight w:val="300"/>
        </w:trPr>
        <w:tc>
          <w:tcPr>
            <w:tcW w:type="dxa" w:w="1419"/>
            <w:tcBorders>
              <w:top w:val="nil"/>
              <w:left w:space="0" w:sz="4" w:color="auto" w:val="single"/>
              <w:bottom w:space="0" w:sz="4" w:color="auto" w:val="single"/>
              <w:right w:space="0" w:sz="4" w:color="auto" w:val="single"/>
            </w:tcBorders>
            <w:shd w:fill="D9D9D9" w:color="auto" w:val="clear"/>
            <w:noWrap/>
            <w:vAlign w:val="bottom"/>
          </w:tcPr>
          <w:p w:rsidRDefault="00E04F57" w:rsidP="00E04F57" w:rsidR="00E04F57">
            <w:pPr>
              <w:spacing w:after="0"/>
              <w:rPr>
                <w:rFonts w:cs="Times New Roman" w:eastAsia="Times New Roman"/>
                <w:b/>
                <w:bCs/>
                <w:color w:val="000000"/>
                <w:sz w:val="12"/>
                <w:szCs w:val="12"/>
              </w:rPr>
            </w:pPr>
          </w:p>
        </w:tc>
        <w:tc>
          <w:tcPr>
            <w:tcW w:type="dxa" w:w="1983"/>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rPr>
                <w:rFonts w:cs="Times New Roman" w:eastAsia="Times New Roman"/>
                <w:b/>
                <w:bCs/>
                <w:color w:val="000000"/>
                <w:sz w:val="14"/>
                <w:szCs w:val="14"/>
              </w:rPr>
            </w:pPr>
            <w:r>
              <w:rPr>
                <w:rFonts w:cs="Times New Roman"/>
                <w:b/>
                <w:bCs/>
                <w:color w:val="000000"/>
                <w:sz w:val="14"/>
                <w:szCs w:val="14"/>
              </w:rPr>
              <w:t> UKUPNO</w:t>
            </w:r>
          </w:p>
        </w:tc>
        <w:tc>
          <w:tcPr>
            <w:tcW w:type="dxa" w:w="1701"/>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rPr>
                <w:rFonts w:cs="Times New Roman" w:eastAsia="Times New Roman"/>
                <w:b/>
                <w:bCs/>
                <w:color w:val="000000"/>
                <w:sz w:val="14"/>
                <w:szCs w:val="14"/>
              </w:rPr>
            </w:pPr>
            <w:r>
              <w:rPr>
                <w:rFonts w:cs="Times New Roman"/>
                <w:b/>
                <w:bCs/>
                <w:color w:val="000000"/>
                <w:sz w:val="14"/>
                <w:szCs w:val="14"/>
              </w:rPr>
              <w:t> </w:t>
            </w:r>
          </w:p>
        </w:tc>
        <w:tc>
          <w:tcPr>
            <w:tcW w:type="dxa" w:w="1560"/>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w:t>
            </w:r>
          </w:p>
        </w:tc>
        <w:tc>
          <w:tcPr>
            <w:tcW w:type="dxa" w:w="921"/>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6.922,11</w:t>
            </w:r>
          </w:p>
        </w:tc>
        <w:tc>
          <w:tcPr>
            <w:tcW w:type="dxa" w:w="921"/>
            <w:tcBorders>
              <w:top w:val="nil"/>
              <w:left w:val="nil"/>
              <w:bottom w:space="0" w:sz="4" w:color="auto" w:val="single"/>
              <w:right w:space="0" w:sz="4" w:color="auto" w:val="single"/>
            </w:tcBorders>
            <w:shd w:fill="D9D9D9" w:color="auto" w:val="clear"/>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6.922,11</w:t>
            </w:r>
          </w:p>
        </w:tc>
        <w:tc>
          <w:tcPr>
            <w:tcW w:type="dxa" w:w="921"/>
            <w:vAlign w:val="bottom"/>
          </w:tcPr>
          <w:p w:rsidRDefault="00E04F57" w:rsidP="00E04F57" w:rsidR="00E04F57">
            <w:pPr>
              <w:spacing w:after="0"/>
              <w:jc w:val="right"/>
              <w:rPr>
                <w:rFonts w:cs="Times New Roman" w:eastAsia="Times New Roman"/>
                <w:color w:val="000000"/>
                <w:sz w:val="14"/>
                <w:szCs w:val="14"/>
              </w:rPr>
            </w:pPr>
          </w:p>
        </w:tc>
      </w:tr>
    </w:tbl>
    <w:p w:rsidRDefault="00E04F57" w:rsidP="00E04F57" w:rsidR="00E04F57">
      <w:pPr>
        <w:spacing w:after="0"/>
        <w:ind w:right="567" w:left="705"/>
        <w:jc w:val="both"/>
        <w:rPr>
          <w:rFonts w:cs="Times New Roman" w:eastAsia="Times New Roman"/>
          <w:b/>
          <w:u w:val="single"/>
        </w:rPr>
      </w:pPr>
    </w:p>
    <w:p w:rsidRDefault="00E04F57" w:rsidP="00E04F57" w:rsidR="00E04F57">
      <w:pPr>
        <w:spacing w:after="0"/>
        <w:ind w:right="567"/>
        <w:rPr>
          <w:rFonts w:cs="Times New Roman"/>
          <w:u w:val="single"/>
        </w:rPr>
      </w:pPr>
    </w:p>
    <w:p w:rsidRDefault="00E04F57" w:rsidP="00E04F57" w:rsidR="00E04F57">
      <w:pPr>
        <w:spacing w:after="0"/>
        <w:ind w:right="567"/>
        <w:rPr>
          <w:rFonts w:cs="Times New Roman"/>
          <w:u w:val="single"/>
        </w:rPr>
      </w:pPr>
    </w:p>
    <w:p w:rsidRDefault="00E04F57" w:rsidP="00E04F57" w:rsidR="00E04F57">
      <w:pPr>
        <w:spacing w:after="0"/>
        <w:ind w:right="567"/>
        <w:rPr>
          <w:rFonts w:cs="Times New Roman"/>
          <w:u w:val="single"/>
        </w:rPr>
      </w:pPr>
    </w:p>
    <w:p w:rsidRDefault="00E04F57" w:rsidP="00E04F57" w:rsidR="00E04F57">
      <w:pPr>
        <w:spacing w:after="0"/>
        <w:ind w:right="567"/>
        <w:rPr>
          <w:rFonts w:cs="Times New Roman"/>
          <w:u w:val="single"/>
        </w:rPr>
      </w:pPr>
    </w:p>
    <w:p w:rsidRDefault="00E04F57" w:rsidP="00E04F57" w:rsidR="00E04F57">
      <w:pPr>
        <w:spacing w:after="0"/>
        <w:ind w:right="567" w:left="705"/>
        <w:rPr>
          <w:rFonts w:cs="Times New Roman"/>
        </w:rPr>
      </w:pPr>
      <w:r>
        <w:rPr>
          <w:rFonts w:cs="Times New Roman"/>
          <w:u w:val="single"/>
        </w:rPr>
        <w:t>II. viši isplatni red</w:t>
      </w:r>
    </w:p>
    <w:p w:rsidRDefault="00E04F57" w:rsidP="00E04F57" w:rsidR="00E04F57">
      <w:pPr>
        <w:spacing w:after="0"/>
        <w:ind w:left="705"/>
        <w:jc w:val="both"/>
        <w:rPr>
          <w:rFonts w:cs="Times New Roman"/>
          <w:lang w:eastAsia="hr-HR"/>
        </w:rPr>
      </w:pPr>
      <w:r>
        <w:rPr>
          <w:rFonts w:cs="Times New Roman"/>
          <w:lang w:eastAsia="hr-HR"/>
        </w:rPr>
        <w:tab/>
      </w:r>
    </w:p>
    <w:p w:rsidRDefault="00E04F57" w:rsidP="00E04F57" w:rsidR="00E04F57">
      <w:pPr>
        <w:spacing w:after="0"/>
        <w:jc w:val="both"/>
        <w:rPr>
          <w:rFonts w:cs="Times New Roman"/>
          <w:sz w:val="20"/>
          <w:szCs w:val="20"/>
          <w:lang w:eastAsia="hr-HR"/>
        </w:rPr>
      </w:pPr>
      <w:r>
        <w:rPr>
          <w:rFonts w:cs="Times New Roman"/>
          <w:sz w:val="20"/>
          <w:lang w:eastAsia="hr-HR"/>
        </w:rPr>
        <w:tab/>
      </w:r>
    </w:p>
    <w:tbl>
      <w:tblPr>
        <w:tblW w:type="dxa" w:w="9420"/>
        <w:tblInd w:type="dxa" w:w="108"/>
        <w:tblLayout w:type="fixed"/>
        <w:tblLook w:val="04A0" w:noVBand="1" w:noHBand="0" w:lastColumn="0" w:firstColumn="1" w:lastRow="0" w:firstRow="1"/>
      </w:tblPr>
      <w:tblGrid>
        <w:gridCol w:w="1418"/>
        <w:gridCol w:w="1982"/>
        <w:gridCol w:w="1700"/>
        <w:gridCol w:w="1559"/>
        <w:gridCol w:w="1841"/>
        <w:gridCol w:w="920"/>
      </w:tblGrid>
      <w:tr w:rsidTr="00E04F57" w:rsidR="00E04F57">
        <w:trPr>
          <w:gridAfter w:val="1"/>
          <w:wAfter w:type="dxa" w:w="921"/>
          <w:trHeight w:val="1620"/>
        </w:trPr>
        <w:tc>
          <w:tcPr>
            <w:tcW w:type="dxa" w:w="1419"/>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 xml:space="preserve">Redni broj </w:t>
            </w:r>
          </w:p>
        </w:tc>
        <w:tc>
          <w:tcPr>
            <w:tcW w:type="dxa" w:w="1983"/>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Ime i prezime/ Vjerovnik</w:t>
            </w:r>
          </w:p>
        </w:tc>
        <w:tc>
          <w:tcPr>
            <w:tcW w:type="dxa" w:w="1701"/>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 xml:space="preserve">OIB </w:t>
            </w:r>
          </w:p>
        </w:tc>
        <w:tc>
          <w:tcPr>
            <w:tcW w:type="dxa" w:w="1560"/>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jc w:val="center"/>
              <w:rPr>
                <w:rFonts w:cs="Times New Roman" w:eastAsia="Times New Roman"/>
                <w:b/>
                <w:bCs/>
                <w:color w:val="000000"/>
                <w:sz w:val="14"/>
                <w:szCs w:val="14"/>
              </w:rPr>
            </w:pPr>
            <w:r>
              <w:rPr>
                <w:rFonts w:cs="Times New Roman"/>
                <w:b/>
                <w:bCs/>
                <w:color w:val="000000"/>
                <w:sz w:val="14"/>
                <w:szCs w:val="14"/>
              </w:rPr>
              <w:t>Adresa</w:t>
            </w:r>
          </w:p>
        </w:tc>
        <w:tc>
          <w:tcPr>
            <w:tcW w:type="dxa" w:w="1842"/>
            <w:tcBorders>
              <w:top w:space="0" w:sz="4" w:color="auto" w:val="single"/>
              <w:left w:val="nil"/>
              <w:bottom w:space="0" w:sz="4" w:color="auto" w:val="single"/>
              <w:right w:space="0" w:sz="4" w:color="auto" w:val="single"/>
            </w:tcBorders>
            <w:shd w:fill="D9D9D9" w:color="auto" w:val="clear"/>
            <w:vAlign w:val="center"/>
            <w:hideMark/>
          </w:tcPr>
          <w:p w:rsidRDefault="00E04F57" w:rsidP="00E04F57" w:rsidR="00E04F57">
            <w:pPr>
              <w:spacing w:after="0"/>
              <w:ind w:firstLine="44" w:left="-44"/>
              <w:jc w:val="center"/>
              <w:rPr>
                <w:rFonts w:cs="Times New Roman" w:eastAsia="Times New Roman"/>
                <w:b/>
                <w:bCs/>
                <w:color w:val="000000"/>
                <w:sz w:val="14"/>
                <w:szCs w:val="14"/>
              </w:rPr>
            </w:pPr>
            <w:r>
              <w:rPr>
                <w:rFonts w:cs="Times New Roman"/>
                <w:b/>
                <w:bCs/>
                <w:color w:val="000000"/>
                <w:sz w:val="14"/>
                <w:szCs w:val="14"/>
              </w:rPr>
              <w:t xml:space="preserve">Iznos prijavljene tražbine </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1.</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xml:space="preserve">ADDIKO BANK D.D. </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14036333877</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Slavonska 6,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33.306,38</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2.</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REPUBLIKA HRVATSKA, Ministarstvo pravosuđa</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52634238587</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Graberje 1, Varaždin</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1.200,00</w:t>
            </w:r>
          </w:p>
        </w:tc>
      </w:tr>
      <w:tr w:rsidTr="00E04F57" w:rsidR="00E04F57">
        <w:trPr>
          <w:gridAfter w:val="1"/>
          <w:wAfter w:type="dxa" w:w="921"/>
          <w:trHeight w:val="1277"/>
        </w:trPr>
        <w:tc>
          <w:tcPr>
            <w:tcW w:type="dxa" w:w="1419"/>
            <w:tcBorders>
              <w:top w:space="0" w:sz="4" w:color="auto" w:val="single"/>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3.</w:t>
            </w:r>
          </w:p>
        </w:tc>
        <w:tc>
          <w:tcPr>
            <w:tcW w:type="dxa" w:w="1983"/>
            <w:tcBorders>
              <w:top w:space="0" w:sz="4" w:color="auto" w:val="single"/>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REPUBLIKA HRVATSKA</w:t>
            </w:r>
          </w:p>
          <w:p w:rsidRDefault="00E04F57" w:rsidP="00E04F57" w:rsidR="00E04F57">
            <w:pPr>
              <w:spacing w:after="0"/>
              <w:rPr>
                <w:rFonts w:cs="Times New Roman" w:eastAsia="Times New Roman"/>
                <w:color w:val="000000"/>
                <w:sz w:val="14"/>
                <w:szCs w:val="14"/>
              </w:rPr>
            </w:pPr>
            <w:r>
              <w:rPr>
                <w:rFonts w:cs="Times New Roman"/>
                <w:color w:val="000000"/>
                <w:sz w:val="14"/>
                <w:szCs w:val="14"/>
              </w:rPr>
              <w:t>Ministarstvo financija</w:t>
            </w:r>
          </w:p>
        </w:tc>
        <w:tc>
          <w:tcPr>
            <w:tcW w:type="dxa" w:w="1701"/>
            <w:tcBorders>
              <w:top w:space="0" w:sz="4" w:color="auto" w:val="single"/>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52634238587</w:t>
            </w:r>
          </w:p>
        </w:tc>
        <w:tc>
          <w:tcPr>
            <w:tcW w:type="dxa" w:w="1560"/>
            <w:tcBorders>
              <w:top w:space="0" w:sz="4" w:color="auto" w:val="single"/>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Graberje 1, Varaždin</w:t>
            </w:r>
          </w:p>
        </w:tc>
        <w:tc>
          <w:tcPr>
            <w:tcW w:type="dxa" w:w="1842"/>
            <w:tcBorders>
              <w:top w:space="0" w:sz="4" w:color="auto" w:val="single"/>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3.048,61</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4.</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xml:space="preserve">HRVATSKE ŠUME d.o.o. </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69693144506</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Lj. F. Vukotinovića 2,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51.627,72</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5.</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HRVATSKI TELEKOM</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81793146560</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Roberta Frangeša Mihanovića 9,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5.598,48</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5.</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xml:space="preserve">HEP OPSKRBA d.o.o. </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63073332379</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Ulica grada vukovara 37,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3.394,84</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t>6.</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JADRANSKO OSIGURANJE d.d.</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94472454976</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Listopadska 2,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15.989,75</w:t>
            </w:r>
          </w:p>
        </w:tc>
      </w:tr>
      <w:tr w:rsidTr="00E04F57" w:rsidR="00E04F57">
        <w:trPr>
          <w:gridAfter w:val="1"/>
          <w:wAfter w:type="dxa" w:w="921"/>
          <w:trHeight w:val="1277"/>
        </w:trPr>
        <w:tc>
          <w:tcPr>
            <w:tcW w:type="dxa" w:w="1419"/>
            <w:tcBorders>
              <w:top w:val="nil"/>
              <w:left w:space="0" w:sz="4" w:color="auto" w:val="single"/>
              <w:bottom w:space="0" w:sz="4" w:color="auto" w:val="single"/>
              <w:right w:space="0" w:sz="4" w:color="auto" w:val="single"/>
            </w:tcBorders>
            <w:noWrap/>
            <w:vAlign w:val="center"/>
            <w:hideMark/>
          </w:tcPr>
          <w:p w:rsidRDefault="00E04F57" w:rsidP="00E04F57" w:rsidR="00E04F57">
            <w:pPr>
              <w:spacing w:after="0"/>
              <w:jc w:val="center"/>
              <w:rPr>
                <w:rFonts w:cs="Times New Roman" w:eastAsia="Times New Roman"/>
                <w:color w:val="000000"/>
                <w:sz w:val="14"/>
                <w:szCs w:val="14"/>
              </w:rPr>
            </w:pPr>
            <w:r>
              <w:rPr>
                <w:rFonts w:cs="Times New Roman"/>
                <w:color w:val="000000"/>
                <w:sz w:val="14"/>
                <w:szCs w:val="14"/>
              </w:rPr>
              <w:lastRenderedPageBreak/>
              <w:t>7.</w:t>
            </w:r>
          </w:p>
        </w:tc>
        <w:tc>
          <w:tcPr>
            <w:tcW w:type="dxa" w:w="1983"/>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xml:space="preserve">HRVATSKA BANKA ZA OBNOVU I RAZVOJ </w:t>
            </w:r>
          </w:p>
        </w:tc>
        <w:tc>
          <w:tcPr>
            <w:tcW w:type="dxa" w:w="1701"/>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26702280390</w:t>
            </w:r>
          </w:p>
        </w:tc>
        <w:tc>
          <w:tcPr>
            <w:tcW w:type="dxa" w:w="1560"/>
            <w:tcBorders>
              <w:top w:val="nil"/>
              <w:left w:val="nil"/>
              <w:bottom w:space="0" w:sz="4" w:color="auto" w:val="single"/>
              <w:right w:space="0" w:sz="4" w:color="auto" w:val="single"/>
            </w:tcBorders>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Strossmayerov trg 9, Zagreb</w:t>
            </w:r>
          </w:p>
        </w:tc>
        <w:tc>
          <w:tcPr>
            <w:tcW w:type="dxa" w:w="1842"/>
            <w:tcBorders>
              <w:top w:val="nil"/>
              <w:left w:val="nil"/>
              <w:bottom w:space="0" w:sz="4" w:color="auto" w:val="single"/>
              <w:right w:space="0" w:sz="4" w:color="auto" w:val="single"/>
            </w:tcBorders>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513.583,07</w:t>
            </w:r>
          </w:p>
        </w:tc>
      </w:tr>
      <w:tr w:rsidTr="00E04F57" w:rsidR="00E04F57">
        <w:trPr>
          <w:trHeight w:val="300"/>
        </w:trPr>
        <w:tc>
          <w:tcPr>
            <w:tcW w:type="dxa" w:w="1419"/>
            <w:tcBorders>
              <w:top w:val="nil"/>
              <w:left w:space="0" w:sz="4" w:color="auto" w:val="single"/>
              <w:bottom w:space="0" w:sz="4" w:color="auto" w:val="single"/>
              <w:right w:space="0" w:sz="4" w:color="auto" w:val="single"/>
            </w:tcBorders>
            <w:shd w:fill="D9D9D9" w:color="auto" w:val="clear"/>
            <w:noWrap/>
            <w:vAlign w:val="bottom"/>
          </w:tcPr>
          <w:p w:rsidRDefault="00E04F57" w:rsidP="00E04F57" w:rsidR="00E04F57">
            <w:pPr>
              <w:spacing w:after="0"/>
              <w:rPr>
                <w:rFonts w:cs="Times New Roman" w:eastAsia="Times New Roman"/>
                <w:b/>
                <w:bCs/>
                <w:color w:val="000000"/>
                <w:sz w:val="12"/>
                <w:szCs w:val="12"/>
              </w:rPr>
            </w:pPr>
          </w:p>
        </w:tc>
        <w:tc>
          <w:tcPr>
            <w:tcW w:type="dxa" w:w="3684"/>
            <w:gridSpan w:val="2"/>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rPr>
                <w:rFonts w:cs="Times New Roman" w:eastAsia="Times New Roman"/>
                <w:b/>
                <w:bCs/>
                <w:color w:val="000000"/>
                <w:sz w:val="14"/>
                <w:szCs w:val="14"/>
              </w:rPr>
            </w:pPr>
            <w:r>
              <w:rPr>
                <w:rFonts w:cs="Times New Roman"/>
                <w:b/>
                <w:bCs/>
                <w:color w:val="000000"/>
                <w:sz w:val="14"/>
                <w:szCs w:val="14"/>
              </w:rPr>
              <w:t> UKUPNO drugi viši isplati red</w:t>
            </w:r>
          </w:p>
          <w:p w:rsidRDefault="00E04F57" w:rsidP="00E04F57" w:rsidR="00E04F57">
            <w:pPr>
              <w:spacing w:after="0"/>
              <w:rPr>
                <w:rFonts w:cs="Times New Roman" w:eastAsia="Times New Roman"/>
                <w:b/>
                <w:bCs/>
                <w:color w:val="000000"/>
                <w:sz w:val="14"/>
                <w:szCs w:val="14"/>
              </w:rPr>
            </w:pPr>
            <w:r>
              <w:rPr>
                <w:rFonts w:cs="Times New Roman"/>
                <w:b/>
                <w:bCs/>
                <w:color w:val="000000"/>
                <w:sz w:val="14"/>
                <w:szCs w:val="14"/>
              </w:rPr>
              <w:t> </w:t>
            </w:r>
          </w:p>
        </w:tc>
        <w:tc>
          <w:tcPr>
            <w:tcW w:type="dxa" w:w="1560"/>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rPr>
                <w:rFonts w:cs="Times New Roman" w:eastAsia="Times New Roman"/>
                <w:color w:val="000000"/>
                <w:sz w:val="14"/>
                <w:szCs w:val="14"/>
              </w:rPr>
            </w:pPr>
            <w:r>
              <w:rPr>
                <w:rFonts w:cs="Times New Roman"/>
                <w:color w:val="000000"/>
                <w:sz w:val="14"/>
                <w:szCs w:val="14"/>
              </w:rPr>
              <w:t> </w:t>
            </w:r>
          </w:p>
        </w:tc>
        <w:tc>
          <w:tcPr>
            <w:tcW w:type="dxa" w:w="1842"/>
            <w:tcBorders>
              <w:top w:val="nil"/>
              <w:left w:val="nil"/>
              <w:bottom w:space="0" w:sz="4" w:color="auto" w:val="single"/>
              <w:right w:space="0" w:sz="4" w:color="auto" w:val="single"/>
            </w:tcBorders>
            <w:shd w:fill="D9D9D9" w:color="auto" w:val="clear"/>
            <w:noWrap/>
            <w:vAlign w:val="bottom"/>
            <w:hideMark/>
          </w:tcPr>
          <w:p w:rsidRDefault="00E04F57" w:rsidP="00E04F57" w:rsidR="00E04F57">
            <w:pPr>
              <w:spacing w:after="0"/>
              <w:jc w:val="right"/>
              <w:rPr>
                <w:rFonts w:cs="Times New Roman" w:eastAsia="Times New Roman"/>
                <w:color w:val="000000"/>
                <w:sz w:val="14"/>
                <w:szCs w:val="14"/>
              </w:rPr>
            </w:pPr>
            <w:r>
              <w:rPr>
                <w:rFonts w:cs="Times New Roman"/>
                <w:color w:val="000000"/>
                <w:sz w:val="14"/>
                <w:szCs w:val="14"/>
              </w:rPr>
              <w:t>627.748,85</w:t>
            </w:r>
          </w:p>
        </w:tc>
        <w:tc>
          <w:tcPr>
            <w:tcW w:type="dxa" w:w="921"/>
            <w:vAlign w:val="bottom"/>
          </w:tcPr>
          <w:p w:rsidRDefault="00E04F57" w:rsidP="00E04F57" w:rsidR="00E04F57">
            <w:pPr>
              <w:spacing w:after="0"/>
              <w:jc w:val="right"/>
              <w:rPr>
                <w:rFonts w:cs="Times New Roman" w:eastAsia="Times New Roman"/>
                <w:color w:val="000000"/>
                <w:sz w:val="14"/>
                <w:szCs w:val="14"/>
              </w:rPr>
            </w:pPr>
          </w:p>
        </w:tc>
      </w:tr>
    </w:tbl>
    <w:p w:rsidRDefault="00E04F57" w:rsidP="00E04F57" w:rsidR="00E04F57">
      <w:pPr>
        <w:spacing w:after="0"/>
        <w:jc w:val="both"/>
        <w:rPr>
          <w:rFonts w:cs="Times New Roman" w:eastAsia="Times New Roman"/>
          <w:sz w:val="20"/>
          <w:szCs w:val="20"/>
          <w:lang w:eastAsia="hr-HR"/>
        </w:rPr>
      </w:pPr>
    </w:p>
    <w:p w:rsidRDefault="00E04F57" w:rsidP="00E04F57" w:rsidR="00E04F57">
      <w:pPr>
        <w:spacing w:after="0"/>
        <w:jc w:val="both"/>
        <w:rPr>
          <w:rFonts w:cs="Times New Roman"/>
          <w:b/>
        </w:rPr>
      </w:pPr>
    </w:p>
    <w:p w:rsidRDefault="00E04F57" w:rsidP="00E04F57" w:rsidR="00E04F57">
      <w:pPr>
        <w:spacing w:after="0"/>
        <w:jc w:val="center"/>
        <w:rPr>
          <w:rFonts w:cs="Times New Roman"/>
        </w:rPr>
      </w:pPr>
    </w:p>
    <w:p w:rsidRDefault="00E04F57" w:rsidP="00E04F57" w:rsidR="00E04F57">
      <w:pPr>
        <w:spacing w:after="0"/>
        <w:jc w:val="center"/>
        <w:rPr>
          <w:rFonts w:cs="Times New Roman"/>
        </w:rPr>
      </w:pPr>
    </w:p>
    <w:p w:rsidRDefault="00E04F57" w:rsidP="00E04F57" w:rsidR="00E04F57">
      <w:pPr>
        <w:spacing w:after="0"/>
        <w:jc w:val="center"/>
        <w:rPr>
          <w:rFonts w:cs="Times New Roman"/>
        </w:rPr>
      </w:pPr>
      <w:r>
        <w:rPr>
          <w:rFonts w:cs="Times New Roman"/>
        </w:rPr>
        <w:t>Obrazloženje:</w:t>
      </w:r>
    </w:p>
    <w:p w:rsidRDefault="00E04F57" w:rsidP="00E04F57" w:rsidR="00E04F57">
      <w:pPr>
        <w:spacing w:after="0"/>
        <w:jc w:val="center"/>
        <w:rPr>
          <w:rFonts w:cs="Times New Roman"/>
        </w:rPr>
      </w:pPr>
    </w:p>
    <w:p w:rsidRDefault="00E04F57" w:rsidP="00E04F57" w:rsidR="00E04F57">
      <w:pPr>
        <w:spacing w:after="0"/>
        <w:jc w:val="both"/>
        <w:rPr>
          <w:rFonts w:cs="Times New Roman"/>
        </w:rPr>
      </w:pPr>
    </w:p>
    <w:p w:rsidRDefault="00E04F57" w:rsidP="00E04F57" w:rsidR="00E04F57">
      <w:pPr>
        <w:spacing w:after="0"/>
        <w:jc w:val="both"/>
        <w:rPr>
          <w:rFonts w:cs="Times New Roman"/>
          <w:color w:val="000000"/>
        </w:rPr>
      </w:pPr>
      <w:r>
        <w:rPr>
          <w:rFonts w:cs="Times New Roman"/>
        </w:rPr>
        <w:tab/>
        <w:t>Rješenjem ovoga suda poslovni broj St-485/16-11 od 8. rujna 2016. otvoren je stečajni postupak nad stečajnim dužnikom.</w:t>
      </w:r>
    </w:p>
    <w:p w:rsidRDefault="00E04F57" w:rsidP="00E04F57" w:rsidR="00E04F57">
      <w:pPr>
        <w:spacing w:after="0"/>
        <w:ind w:left="708"/>
        <w:jc w:val="both"/>
        <w:rPr>
          <w:rFonts w:cs="Times New Roman"/>
        </w:rPr>
      </w:pPr>
    </w:p>
    <w:p w:rsidRDefault="00E04F57" w:rsidP="00E04F57" w:rsidR="00E04F57">
      <w:pPr>
        <w:spacing w:after="0"/>
        <w:jc w:val="both"/>
        <w:rPr>
          <w:rFonts w:cs="Times New Roman"/>
        </w:rPr>
      </w:pPr>
      <w:r>
        <w:rPr>
          <w:rFonts w:cs="Times New Roman"/>
        </w:rPr>
        <w:tab/>
        <w:t xml:space="preserve">Na ispitnom ročištu održanom 29. studenoga 2016.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E04F57" w:rsidP="00E04F57" w:rsidR="00E04F57">
      <w:pPr>
        <w:spacing w:after="0"/>
        <w:jc w:val="both"/>
        <w:rPr>
          <w:rFonts w:cs="Times New Roman"/>
        </w:rPr>
      </w:pPr>
    </w:p>
    <w:p w:rsidRDefault="00E04F57" w:rsidP="00E04F57" w:rsidR="00E04F57">
      <w:pPr>
        <w:spacing w:after="0"/>
        <w:jc w:val="both"/>
        <w:rPr>
          <w:rFonts w:cs="Times New Roman"/>
        </w:rPr>
      </w:pPr>
      <w:r>
        <w:rPr>
          <w:rFonts w:cs="Times New Roman"/>
          <w:color w:val="7030A0"/>
        </w:rPr>
        <w:tab/>
      </w:r>
      <w:r>
        <w:rPr>
          <w:rFonts w:cs="Times New Roman"/>
        </w:rPr>
        <w:t xml:space="preserve">Prijavljene su tražbine I. višeg isplatnog reda u iznosu od </w:t>
      </w:r>
      <w:r>
        <w:rPr>
          <w:rFonts w:cs="Times New Roman"/>
          <w:bCs/>
        </w:rPr>
        <w:t>6.922,112</w:t>
      </w:r>
      <w:r>
        <w:rPr>
          <w:rFonts w:cs="Times New Roman"/>
          <w:b/>
          <w:bCs/>
        </w:rPr>
        <w:t xml:space="preserve"> </w:t>
      </w:r>
      <w:r>
        <w:rPr>
          <w:rFonts w:cs="Times New Roman"/>
        </w:rPr>
        <w:t xml:space="preserve">kn, koje su u cijelosti priznate. </w:t>
      </w:r>
    </w:p>
    <w:p w:rsidRDefault="00E04F57" w:rsidP="00E04F57" w:rsidR="00E04F57">
      <w:pPr>
        <w:spacing w:after="0"/>
        <w:ind w:firstLine="708"/>
        <w:jc w:val="both"/>
        <w:rPr>
          <w:rFonts w:cs="Times New Roman"/>
        </w:rPr>
      </w:pPr>
      <w:r>
        <w:rPr>
          <w:rFonts w:cs="Times New Roman"/>
        </w:rPr>
        <w:t xml:space="preserve">Prijavljene su tražbine II. višeg isplatnog reda u iznosu od </w:t>
      </w:r>
      <w:r>
        <w:rPr>
          <w:rFonts w:cs="Times New Roman"/>
          <w:bCs/>
        </w:rPr>
        <w:t>627.748,85</w:t>
      </w:r>
      <w:r>
        <w:rPr>
          <w:rFonts w:cs="Times New Roman"/>
          <w:b/>
          <w:bCs/>
        </w:rPr>
        <w:t xml:space="preserve"> </w:t>
      </w:r>
      <w:r>
        <w:rPr>
          <w:rFonts w:cs="Times New Roman"/>
        </w:rPr>
        <w:t>kn, koje su u cijelosti priznate.</w:t>
      </w:r>
    </w:p>
    <w:p w:rsidRDefault="00E04F57" w:rsidP="00E04F57" w:rsidR="00E04F57">
      <w:pPr>
        <w:spacing w:after="0"/>
        <w:jc w:val="both"/>
        <w:rPr>
          <w:rFonts w:cs="Times New Roman"/>
        </w:rPr>
      </w:pPr>
    </w:p>
    <w:p w:rsidRDefault="00E04F57" w:rsidP="00E04F57" w:rsidR="00E04F57">
      <w:pPr>
        <w:spacing w:after="0"/>
        <w:jc w:val="both"/>
        <w:rPr>
          <w:rFonts w:cs="Times New Roman"/>
        </w:rPr>
      </w:pPr>
      <w:r>
        <w:rPr>
          <w:rFonts w:cs="Times New Roman"/>
          <w:color w:val="7030A0"/>
        </w:rPr>
        <w:tab/>
      </w:r>
      <w:r>
        <w:rPr>
          <w:rFonts w:cs="Times New Roman"/>
        </w:rPr>
        <w:t>Stoga je na temelju odredbe čl. 265. SZ doneseno rješenje o utvrđenim i osporenim tražbinama i odlučeno kao u izreci toga rješenja.</w:t>
      </w:r>
    </w:p>
    <w:p w:rsidRDefault="00E04F57" w:rsidP="00E04F57" w:rsidR="00E04F57">
      <w:pPr>
        <w:spacing w:after="0"/>
        <w:jc w:val="both"/>
        <w:rPr>
          <w:rFonts w:cs="Times New Roman"/>
        </w:rPr>
      </w:pPr>
    </w:p>
    <w:p w:rsidRDefault="00E04F57" w:rsidP="00E04F57" w:rsidR="00E04F57">
      <w:pPr>
        <w:spacing w:after="0"/>
        <w:jc w:val="both"/>
        <w:rPr>
          <w:rFonts w:cs="Times New Roman"/>
        </w:rPr>
      </w:pPr>
    </w:p>
    <w:p w:rsidRDefault="00E04F57" w:rsidP="00E04F57" w:rsidR="00E04F57">
      <w:pPr>
        <w:spacing w:after="0"/>
        <w:jc w:val="center"/>
        <w:rPr>
          <w:rFonts w:cs="Times New Roman"/>
        </w:rPr>
      </w:pPr>
      <w:r>
        <w:rPr>
          <w:rFonts w:cs="Times New Roman"/>
        </w:rPr>
        <w:t>U Varaždinu, 29. studenoga 2016.</w:t>
      </w:r>
    </w:p>
    <w:p w:rsidRDefault="00E04F57" w:rsidP="00E04F57" w:rsidR="00E04F5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E04F57" w:rsidP="00E04F57" w:rsidR="00E04F57">
      <w:pPr>
        <w:spacing w:after="0"/>
        <w:jc w:val="both"/>
        <w:rPr>
          <w:rFonts w:cs="Times New Roman"/>
        </w:rPr>
      </w:pPr>
      <w:r>
        <w:rPr>
          <w:rFonts w:cs="Times New Roman"/>
        </w:rPr>
        <w:tab/>
      </w:r>
      <w:r>
        <w:rPr>
          <w:rFonts w:cs="Times New Roman"/>
        </w:rPr>
        <w:tab/>
      </w:r>
    </w:p>
    <w:p w:rsidRDefault="00E04F57" w:rsidP="00E04F57" w:rsidR="00E04F5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 </w:t>
      </w:r>
    </w:p>
    <w:p w:rsidRDefault="00E04F57" w:rsidP="00E04F57" w:rsidR="00E04F57">
      <w:pPr>
        <w:spacing w:after="0"/>
        <w:jc w:val="both"/>
        <w:rPr>
          <w:rFonts w:cs="Times New Roman"/>
        </w:rPr>
      </w:pPr>
    </w:p>
    <w:p w:rsidRDefault="00E04F57" w:rsidP="00E04F57" w:rsidR="00E04F5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Iris Hatvalić Nemec, v.r.</w:t>
      </w:r>
    </w:p>
    <w:p w:rsidRDefault="00E04F57" w:rsidP="00E04F57" w:rsidR="00E04F57">
      <w:pPr>
        <w:spacing w:after="0"/>
        <w:jc w:val="both"/>
        <w:rPr>
          <w:rFonts w:cs="Times New Roman"/>
        </w:rPr>
      </w:pPr>
    </w:p>
    <w:p w:rsidRDefault="00E04F57" w:rsidP="00E04F57" w:rsidR="00E04F57">
      <w:pPr>
        <w:spacing w:after="0"/>
        <w:ind w:firstLine="708" w:left="4248"/>
        <w:jc w:val="both"/>
        <w:rPr>
          <w:rFonts w:cs="Times New Roman"/>
        </w:rPr>
      </w:pPr>
      <w:r>
        <w:rPr>
          <w:rFonts w:cs="Times New Roman"/>
        </w:rPr>
        <w:t xml:space="preserve">        Za točnost otpravka-ovlašteni službenik:</w:t>
      </w:r>
    </w:p>
    <w:p w:rsidRDefault="00E04F57" w:rsidP="00E04F57" w:rsidR="00E04F57">
      <w:pPr>
        <w:spacing w:after="0"/>
        <w:jc w:val="both"/>
        <w:rPr>
          <w:rFonts w:cs="Times New Roman"/>
        </w:rPr>
      </w:pPr>
    </w:p>
    <w:p w:rsidRDefault="00E04F57" w:rsidP="00E04F57" w:rsidR="00E04F57">
      <w:pPr>
        <w:spacing w:after="0"/>
        <w:jc w:val="both"/>
        <w:rPr>
          <w:rFonts w:cs="Times New Roman"/>
        </w:rPr>
      </w:pPr>
    </w:p>
    <w:p w:rsidRDefault="00E04F57" w:rsidP="00E04F57" w:rsidR="00E04F57">
      <w:pPr>
        <w:spacing w:after="0"/>
        <w:jc w:val="both"/>
        <w:rPr>
          <w:rFonts w:cs="Times New Roman"/>
        </w:rPr>
      </w:pPr>
    </w:p>
    <w:p w:rsidRDefault="00E04F57" w:rsidP="00E04F57" w:rsidR="00E04F57">
      <w:pPr>
        <w:spacing w:after="0"/>
        <w:ind w:firstLine="708" w:left="708"/>
        <w:jc w:val="both"/>
        <w:rPr>
          <w:rFonts w:cs="Times New Roman"/>
        </w:rPr>
      </w:pPr>
      <w:r>
        <w:rPr>
          <w:rFonts w:cs="Times New Roman"/>
        </w:rPr>
        <w:t>Pouka o pravnom lijeku:</w:t>
      </w:r>
    </w:p>
    <w:p w:rsidRDefault="00E04F57" w:rsidP="00E04F57" w:rsidR="00E04F57">
      <w:pPr>
        <w:spacing w:after="0"/>
        <w:ind w:firstLine="708" w:left="708"/>
        <w:jc w:val="both"/>
        <w:rPr>
          <w:rFonts w:cs="Times New Roman"/>
        </w:rPr>
      </w:pPr>
      <w:r>
        <w:rPr>
          <w:rFonts w:cs="Times New Roman"/>
        </w:rPr>
        <w:t>Protiv ovog rješenja pravo na žalbu ima svaki vjerovnik u dijelu koji se tiče njegove prijavljene tražbine odnosno tražbine koju je osporio stečajni uprvitelj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E04F57" w:rsidP="00E04F57" w:rsidR="00E04F57">
      <w:pPr>
        <w:spacing w:after="0"/>
        <w:ind w:firstLine="708" w:left="708"/>
        <w:jc w:val="both"/>
        <w:rPr>
          <w:rFonts w:cs="Times New Roman"/>
        </w:rPr>
      </w:pPr>
      <w:r>
        <w:rPr>
          <w:rFonts w:cs="Times New Roman"/>
        </w:rPr>
        <w:lastRenderedPageBreak/>
        <w:t xml:space="preserve"> Žalba se podnosi preporučeno poštom, ili se predaje neposredno ovome sudu u četiri (4) primjerka, a o žalbu odlučuje Visoki trgovački sud RH Zagreb.</w:t>
      </w:r>
    </w:p>
    <w:p w:rsidRDefault="00E04F57" w:rsidP="00E04F57" w:rsidR="00E04F57">
      <w:pPr>
        <w:tabs>
          <w:tab w:pos="840" w:val="left"/>
        </w:tabs>
        <w:spacing w:after="0"/>
        <w:ind w:left="708"/>
        <w:jc w:val="both"/>
        <w:rPr>
          <w:rFonts w:cs="Times New Roman"/>
        </w:rPr>
      </w:pPr>
      <w:r>
        <w:rPr>
          <w:rFonts w:cs="Times New Roman"/>
        </w:rPr>
        <w:tab/>
      </w:r>
      <w:r>
        <w:rPr>
          <w:rFonts w:cs="Times New Roman"/>
        </w:rPr>
        <w:tab/>
      </w:r>
    </w:p>
    <w:p w:rsidRDefault="00E04F57" w:rsidP="00E04F57" w:rsidR="00E04F57">
      <w:pPr>
        <w:spacing w:after="0"/>
        <w:jc w:val="both"/>
        <w:rPr>
          <w:rFonts w:cs="Times New Roman"/>
        </w:rPr>
      </w:pPr>
    </w:p>
    <w:p w:rsidRDefault="00E04F57" w:rsidP="00E04F57" w:rsidR="00E04F57">
      <w:pPr>
        <w:spacing w:after="0"/>
        <w:ind w:left="708"/>
        <w:jc w:val="both"/>
        <w:rPr>
          <w:rFonts w:cs="Times New Roman"/>
        </w:rPr>
      </w:pPr>
      <w:r>
        <w:rPr>
          <w:rFonts w:cs="Times New Roman"/>
        </w:rPr>
        <w:t xml:space="preserve">DNA: </w:t>
      </w:r>
    </w:p>
    <w:p w:rsidRDefault="00E04F57" w:rsidP="00E04F57" w:rsidR="00E04F57">
      <w:pPr>
        <w:numPr>
          <w:ilvl w:val="0"/>
          <w:numId w:val="48"/>
        </w:numPr>
        <w:tabs>
          <w:tab w:pos="360" w:val="clear"/>
          <w:tab w:pos="1134" w:val="num"/>
        </w:tabs>
        <w:spacing w:after="0"/>
        <w:ind w:left="1068"/>
        <w:jc w:val="both"/>
        <w:rPr>
          <w:rFonts w:cs="Times New Roman"/>
        </w:rPr>
      </w:pPr>
      <w:r>
        <w:rPr>
          <w:rFonts w:cs="Times New Roman"/>
        </w:rPr>
        <w:t>Stečajni upravitelj Nikola Kruljac, Martin, Bana Jelačića 48, 31500 Našice</w:t>
      </w:r>
    </w:p>
    <w:p w:rsidRDefault="00E04F57" w:rsidP="00E04F57" w:rsidR="00E04F57">
      <w:pPr>
        <w:numPr>
          <w:ilvl w:val="0"/>
          <w:numId w:val="48"/>
        </w:numPr>
        <w:tabs>
          <w:tab w:pos="360" w:val="clear"/>
          <w:tab w:pos="1134" w:val="num"/>
        </w:tabs>
        <w:spacing w:after="0"/>
        <w:ind w:left="1068"/>
        <w:jc w:val="both"/>
        <w:rPr>
          <w:rFonts w:cs="Times New Roman"/>
        </w:rPr>
      </w:pPr>
      <w:r>
        <w:rPr>
          <w:rFonts w:cs="Times New Roman"/>
        </w:rPr>
        <w:t>Stečajna oglasna ploča suda</w:t>
      </w:r>
    </w:p>
    <w:p w:rsidRDefault="00E04F57" w:rsidP="00E04F57" w:rsidR="00E04F57">
      <w:pPr>
        <w:spacing w:after="0"/>
        <w:ind w:left="1068"/>
        <w:jc w:val="both"/>
        <w:rPr>
          <w:rFonts w:cs="Times New Roman"/>
        </w:rPr>
      </w:pPr>
    </w:p>
    <w:p w:rsidRDefault="00E04F57" w:rsidP="00E04F57" w:rsidR="00E04F57">
      <w:pPr>
        <w:spacing w:after="0"/>
        <w:ind w:left="1068"/>
        <w:jc w:val="both"/>
        <w:rPr>
          <w:rFonts w:cs="Times New Roman"/>
        </w:rPr>
      </w:pPr>
    </w:p>
    <w:p w:rsidRDefault="00E04F57" w:rsidP="00E04F57" w:rsidR="00E04F57">
      <w:pPr>
        <w:spacing w:after="0"/>
        <w:rPr>
          <w:rFonts w:cs="Times New Roman"/>
          <w:szCs w:val="20"/>
        </w:rPr>
      </w:pPr>
    </w:p>
    <w:p w:rsidRDefault="00CB0EA4" w:rsidP="00E04F57" w:rsidR="00CB0EA4">
      <w:pPr>
        <w:pStyle w:val="Naslovdokumenta"/>
        <w:spacing w:after="0"/>
      </w:pPr>
    </w:p>
    <w:p w:rsidRDefault="0071688E" w:rsidP="00E04F57" w:rsidR="0071688E">
      <w:pPr>
        <w:pStyle w:val="Poetniodjeljak"/>
        <w:spacing w:after="0"/>
      </w:pPr>
    </w:p>
    <w:p w:rsidRDefault="00A21F0D" w:rsidP="00E04F57" w:rsidR="00A21F0D">
      <w:pPr>
        <w:pStyle w:val="NormaleSPIS"/>
        <w:spacing w:after="0"/>
        <w:rPr>
          <w:noProof/>
        </w:rPr>
      </w:pPr>
    </w:p>
    <w:p w:rsidRDefault="00DA0242" w:rsidP="00E04F57"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1D59E5"/>
    <w:multiLevelType w:val="hybridMultilevel"/>
    <w:tmpl w:val="165C3748"/>
    <w:lvl w:tplc="B074E5E4"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5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5587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St-485/2016-19</izvorni_sadrzaj>
    <derivirana_varijabla naziv="DomainObject.Oznaka_1">St-485/2016-19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St-485/2016</izvorni_sadrzaj>
    <derivirana_varijabla naziv="DomainObject.Predmet.OznakaBroj_1">St-485/2016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TONA, društvo s ograničenom odgovornošću za proizvodnju, transport, trgovinu i usluge u stečaju</izvorni_sadrzaj>
    <derivirana_varijabla naziv="DomainObject.Predmet.ProtustrankaFormated_1">  TONA, društvo s ograničenom odgovornošću za proizvodnju, transport, trgovinu i usluge u stečaju</derivirana_varijabla>
  </DomainObject.Predmet.ProtustrankaFormated>
  <DomainObject.Predmet.ProtustrankaFormatedOIB>
    <izvorni_sadrzaj>  TONA, društvo s ograničenom odgovornošću za proizvodnju, transport, trgovinu i usluge u stečaju, OIB 13799315379</izvorni_sadrzaj>
    <derivirana_varijabla naziv="DomainObject.Predmet.ProtustrankaFormatedOIB_1">  TONA, društvo s ograničenom odgovornošću za proizvodnju, transport, trgovinu i usluge u stečaju, OIB 13799315379</derivirana_varijabla>
  </DomainObject.Predmet.ProtustrankaFormatedOIB>
  <DomainObject.Predmet.ProtustrankaFormatedWithAdress>
    <izvorni_sadrzaj> TONA, društvo s ograničenom odgovornošću za proizvodnju, transport, trgovinu i usluge u stečaju, Mali Poganac 10, 48306 Mali Poganac</izvorni_sadrzaj>
    <derivirana_varijabla naziv="DomainObject.Predmet.ProtustrankaFormatedWithAdress_1"> TONA, društvo s ograničenom odgovornošću za proizvodnju, transport, trgovinu i usluge u stečaju, Mali Poganac 10, 48306 Mali Poganac</derivirana_varijabla>
  </DomainObject.Predmet.ProtustrankaFormatedWithAdress>
  <DomainObject.Predmet.ProtustrankaFormatedWithAdressOIB>
    <izvorni_sadrzaj> TONA, društvo s ograničenom odgovornošću za proizvodnju, transport, trgovinu i usluge u stečaju, OIB 13799315379, Mali Poganac 10, 48306 Mali Poganac</izvorni_sadrzaj>
    <derivirana_varijabla naziv="DomainObject.Predmet.ProtustrankaFormatedWithAdressOIB_1"> TONA, društvo s ograničenom odgovornošću za proizvodnju, transport, trgovinu i usluge u stečaju, OIB 13799315379, Mali Poganac 10, 48306 Mali Poganac</derivirana_varijabla>
  </DomainObject.Predmet.ProtustrankaFormatedWithAdressOIB>
  <DomainObject.Predmet.ProtustrankaWithAdress>
    <izvorni_sadrzaj>TONA, društvo s ograničenom odgovornošću za proizvodnju, transport, trgovinu i usluge u stečaju Mali Poganac 10, 48306 Mali Poganac</izvorni_sadrzaj>
    <derivirana_varijabla naziv="DomainObject.Predmet.ProtustrankaWithAdress_1">TONA, društvo s ograničenom odgovornošću za proizvodnju, transport, trgovinu i usluge u stečaju Mali Poganac 10, 48306 Mali Poganac</derivirana_varijabla>
  </DomainObject.Predmet.ProtustrankaWithAdress>
  <DomainObject.Predmet.ProtustrankaWithAdressOIB>
    <izvorni_sadrzaj>TONA, društvo s ograničenom odgovornošću za proizvodnju, transport, trgovinu i usluge u stečaju, OIB 13799315379, Mali Poganac 10, 48306 Mali Poganac</izvorni_sadrzaj>
    <derivirana_varijabla naziv="DomainObject.Predmet.ProtustrankaWithAdressOIB_1">TONA, društvo s ograničenom odgovornošću za proizvodnju, transport, trgovinu i usluge u stečaju, OIB 13799315379, Mali Poganac 10, 48306 Mali Poganac</derivirana_varijabla>
  </DomainObject.Predmet.ProtustrankaWithAdressOIB>
  <DomainObject.Predmet.ProtustrankaNazivFormated>
    <izvorni_sadrzaj>TONA, društvo s ograničenom odgovornošću za proizvodnju, transport, trgovinu i usluge u stečaju</izvorni_sadrzaj>
    <derivirana_varijabla naziv="DomainObject.Predmet.ProtustrankaNazivFormated_1">TONA, društvo s ograničenom odgovornošću za proizvodnju, transport, trgovinu i usluge u stečaju</derivirana_varijabla>
  </DomainObject.Predmet.ProtustrankaNazivFormated>
  <DomainObject.Predmet.ProtustrankaNazivFormatedOIB>
    <izvorni_sadrzaj>TONA, društvo s ograničenom odgovornošću za proizvodnju, transport, trgovinu i usluge u stečaju, OIB 13799315379</izvorni_sadrzaj>
    <derivirana_varijabla naziv="DomainObject.Predmet.ProtustrankaNazivFormatedOIB_1">TONA, društvo s ograničenom odgovornošću za proizvodnju, transport, trgovinu i usluge u stečaju, OIB 13799315379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izvorni_sadrzaj>
    <derivirana_varijabla naziv="DomainObject.Predmet.StrankaFormated_1">  RH MINISTARSTVO FINANCIJA - POREZNA UPRAVA, Područni ured sjeverna Hrvatska zastupanog po punomoćniku Županijsko državno odvjetništvo</derivirana_varijabla>
  </DomainObject.Predmet.StrankaFormated>
  <DomainObject.Predmet.StrankaFormatedOIB>
    <izvorni_sadrzaj>  RH MINISTARSTVO FINANCIJA - POREZNA UPRAVA, Područni ured sjeverna Hrvatska, OIB 18683136487 zastupanog po punomoćniku Županijsko državno odvjetništvo</izvorni_sadrzaj>
    <derivirana_varijabla naziv="DomainObject.Predmet.StrankaFormatedOIB_1">  RH MINISTARSTVO FINANCIJA - POREZNA UPRAVA, Područni ured sjeverna Hrvatska, OIB 18683136487 zastupanog po punomoćniku Županijsko državno odvjetništvo</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izvorni_sadrzaj>
    <derivirana_varijabla naziv="DomainObject.Predmet.StrankaFormatedWithAdress_1"> RH MINISTARSTVO FINANCIJA - POREZNA UPRAVA, Područni ured sjeverna Hrvatska, Graberje 1, 42000 Varaždin zastupanog po punomoćniku Županijsko državno odvjetništvo</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izvorni_sadrzaj>
    <derivirana_varijabla naziv="DomainObject.Predmet.StrankaFormatedWithAdressOIB_1"> RH MINISTARSTVO FINANCIJA - POREZNA UPRAVA, Područni ured sjeverna Hrvatska, OIB 18683136487, Graberje 1, 42000 Varaždin zastupanog po punomoćniku Županijsko državno odvjetništvo</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1247.42</izvorni_sadrzaj>
    <derivirana_varijabla naziv="DomainObject.Predmet.TrenutnaVrijednost_1">1247.42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item>
    </izvorni_sadrzaj>
    <derivirana_varijabla naziv="DomainObject.Predmet.StrankaListFormated_1">
      <item>RH MINISTARSTVO FINANCIJA - POREZNA UPRAVA, Područni ured sjeverna Hrvatska zastupanog po punomoćniku Županijsko državno odvjetništvo</item>
    </derivirana_varijabla>
  </DomainObject.Predmet.StrankaListFormated>
  <DomainObject.Predmet.StrankaListFormatedOIB>
    <izvorni_sadrzaj>
      <item>RH MINISTARSTVO FINANCIJA - POREZNA UPRAVA, Područni ured sjeverna Hrvatska, OIB 18683136487 zastupanog po punomoćniku Županijsko državno odvjetništvo</item>
    </izvorni_sadrzaj>
    <derivirana_varijabla naziv="DomainObject.Predmet.StrankaListFormatedOIB_1">
      <item>RH MINISTARSTVO FINANCIJA - POREZNA UPRAVA, Područni ured sjeverna Hrvatska, OIB 18683136487 zastupanog po punomoćniku Županijsko državno odvjetništvo</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item>
    </izvorni_sadrzaj>
    <derivirana_varijabla naziv="DomainObject.Predmet.StrankaListFormatedWithAdress_1">
      <item>RH MINISTARSTVO FINANCIJA - POREZNA UPRAVA, Područni ured sjeverna Hrvatska, Graberje 1, 42000 Varaždin zastupanog po punomoćniku Županijsko državno odvjetništvo</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TONA, društvo s ograničenom odgovornošću za proizvodnju, transport, trgovinu i usluge u stečaju</item>
    </izvorni_sadrzaj>
    <derivirana_varijabla naziv="DomainObject.Predmet.ProtuStrankaListFormated_1">
      <item>TONA, društvo s ograničenom odgovornošću za proizvodnju, transport, trgovinu i usluge u stečaju</item>
    </derivirana_varijabla>
  </DomainObject.Predmet.ProtuStrankaListFormated>
  <DomainObject.Predmet.ProtuStrankaListFormatedOIB>
    <izvorni_sadrzaj>
      <item>TONA, društvo s ograničenom odgovornošću za proizvodnju, transport, trgovinu i usluge u stečaju, OIB 13799315379</item>
    </izvorni_sadrzaj>
    <derivirana_varijabla naziv="DomainObject.Predmet.ProtuStrankaListFormatedOIB_1">
      <item>TONA, društvo s ograničenom odgovornošću za proizvodnju, transport, trgovinu i usluge u stečaju, OIB 13799315379</item>
    </derivirana_varijabla>
  </DomainObject.Predmet.ProtuStrankaListFormatedOIB>
  <DomainObject.Predmet.ProtuStrankaListFormatedWithAdress>
    <izvorni_sadrzaj>
      <item>TONA, društvo s ograničenom odgovornošću za proizvodnju, transport, trgovinu i usluge u stečaju, Mali Poganac 10, 48306 Mali Poganac</item>
    </izvorni_sadrzaj>
    <derivirana_varijabla naziv="DomainObject.Predmet.ProtuStrankaListFormatedWithAdress_1">
      <item>TONA, društvo s ograničenom odgovornošću za proizvodnju, transport, trgovinu i usluge u stečaju, Mali Poganac 10, 48306 Mali Poganac</item>
    </derivirana_varijabla>
  </DomainObject.Predmet.ProtuStrankaListFormatedWithAdress>
  <DomainObject.Predmet.ProtuStrankaListFormatedWithAdressOIB>
    <izvorni_sadrzaj>
      <item>TONA, društvo s ograničenom odgovornošću za proizvodnju, transport, trgovinu i usluge u stečaju, OIB 13799315379, Mali Poganac 10, 48306 Mali Poganac</item>
    </izvorni_sadrzaj>
    <derivirana_varijabla naziv="DomainObject.Predmet.ProtuStrankaListFormatedWithAdressOIB_1">
      <item>TONA, društvo s ograničenom odgovornošću za proizvodnju, transport, trgovinu i usluge u stečaju, OIB 13799315379, Mali Poganac 10, 48306 Mali Poganac</item>
    </derivirana_varijabla>
  </DomainObject.Predmet.ProtuStrankaListFormatedWithAdressOIB>
  <DomainObject.Predmet.ProtuStrankaListNazivFormated>
    <izvorni_sadrzaj>
      <item>TONA, društvo s ograničenom odgovornošću za proizvodnju, transport, trgovinu i usluge u stečaju</item>
    </izvorni_sadrzaj>
    <derivirana_varijabla naziv="DomainObject.Predmet.ProtuStrankaListNazivFormated_1">
      <item>TONA, društvo s ograničenom odgovornošću za proizvodnju, transport, trgovinu i usluge u stečaju</item>
    </derivirana_varijabla>
  </DomainObject.Predmet.ProtuStrankaListNazivFormated>
  <DomainObject.Predmet.ProtuStrankaListNazivFormatedOIB>
    <izvorni_sadrzaj>
      <item>TONA, društvo s ograničenom odgovornošću za proizvodnju, transport, trgovinu i usluge u stečaju, OIB 13799315379</item>
    </izvorni_sadrzaj>
    <derivirana_varijabla naziv="DomainObject.Predmet.ProtuStrankaListNazivFormatedOIB_1">
      <item>TONA, društvo s ograničenom odgovornošću za proizvodnju, transport, trgovinu i usluge u stečaju, OIB 13799315379</item>
    </derivirana_varijabla>
  </DomainObject.Predmet.ProtuStrankaListNazivFormatedOIB>
  <DomainObject.Predmet.OstaliListFormated>
    <izvorni_sadrzaj>
      <item>Antonija Gojković, direktor</item>
      <item>Županijsko državno odvjetništvo punomoćnik sudionika u postupku RH MINISTARSTVO FINANCIJA - POREZNA UPRAVA, Područni ured sjeverna Hrvatska</item>
      <item>Nikola Kruljac</item>
      <item>SUDSKI REGISTAR TS Varaždin</item>
    </izvorni_sadrzaj>
    <derivirana_varijabla naziv="DomainObject.Predmet.OstaliListFormated_1">
      <item>Antonija Gojković, direktor</item>
      <item>Županijsko državno odvjetništvo punomoćnik sudionika u postupku RH MINISTARSTVO FINANCIJA - POREZNA UPRAVA, Područni ured sjeverna Hrvatska</item>
      <item>Nikola Kruljac</item>
      <item>SUDSKI REGISTAR TS Varaždin</item>
    </derivirana_varijabla>
  </DomainObject.Predmet.OstaliListFormated>
  <DomainObject.Predmet.OstaliListFormatedOIB>
    <izvorni_sadrzaj>
      <item>Antonija Gojković, direktor, OIB 16664135129</item>
      <item>Županijsko državno odvjetništvo punomoćnik sudionika u postupku RH MINISTARSTVO FINANCIJA - POREZNA UPRAVA, Područni ured sjeverna Hrvatska</item>
      <item>Nikola Kruljac, OIB 49223643131</item>
      <item>SUDSKI REGISTAR TS Varaždin</item>
    </izvorni_sadrzaj>
    <derivirana_varijabla naziv="DomainObject.Predmet.OstaliListFormatedOIB_1">
      <item>Antonija Gojković, direktor, OIB 16664135129</item>
      <item>Županijsko državno odvjetništvo punomoćnik sudionika u postupku RH MINISTARSTVO FINANCIJA - POREZNA UPRAVA, Područni ured sjeverna Hrvatska</item>
      <item>Nikola Kruljac, OIB 49223643131</item>
      <item>SUDSKI REGISTAR TS Varaždin</item>
    </derivirana_varijabla>
  </DomainObject.Predmet.OstaliListFormatedOIB>
  <DomainObject.Predmet.OstaliListFormatedWithAdress>
    <izvorni_sadrzaj>
      <item>Antonija Gojković, direktor, Mali Poganac 10, 48306 Mali Poganac</item>
      <item>Županijsko državno odvjetništvo punomoćnik sudionika u postupku RH MINISTARSTVO FINANCIJA - POREZNA UPRAVA, Područni ured sjeverna Hrvatska</item>
      <item>Nikola Kruljac, Bana Josipa Jelačića 48, 31500 Martin</item>
      <item>SUDSKI REGISTAR TS Varaždin</item>
    </izvorni_sadrzaj>
    <derivirana_varijabla naziv="DomainObject.Predmet.OstaliListFormatedWithAdress_1">
      <item>Antonija Gojković, direktor, Mali Poganac 10, 48306 Mali Poganac</item>
      <item>Županijsko državno odvjetništvo punomoćnik sudionika u postupku RH MINISTARSTVO FINANCIJA - POREZNA UPRAVA, Područni ured sjeverna Hrvatska</item>
      <item>Nikola Kruljac, Bana Josipa Jelačića 48, 31500 Martin</item>
      <item>SUDSKI REGISTAR TS Varaždin</item>
    </derivirana_varijabla>
  </DomainObject.Predmet.OstaliListFormatedWithAdress>
  <DomainObject.Predmet.OstaliListFormatedWithAdressOIB>
    <izvorni_sadrzaj>
      <item>Antonija Gojković, direktor, OIB 16664135129, Mali Poganac 10, 48306 Mali Poganac</item>
      <item>Županijsko državno odvjetništvo punomoćnik sudionika u postupku RH MINISTARSTVO FINANCIJA - POREZNA UPRAVA, Područni ured sjeverna Hrvatska</item>
      <item>Nikola Kruljac, OIB 49223643131, Bana Josipa Jelačića 48, 31500 Martin</item>
      <item>SUDSKI REGISTAR TS Varaždin</item>
    </izvorni_sadrzaj>
    <derivirana_varijabla naziv="DomainObject.Predmet.OstaliListFormatedWithAdressOIB_1">
      <item>Antonija Gojković, direktor, OIB 16664135129, Mali Poganac 10, 48306 Mali Poganac</item>
      <item>Županijsko državno odvjetništvo punomoćnik sudionika u postupku RH MINISTARSTVO FINANCIJA - POREZNA UPRAVA, Područni ured sjeverna Hrvatska</item>
      <item>Nikola Kruljac, OIB 49223643131, Bana Josipa Jelačića 48, 31500 Martin</item>
      <item>SUDSKI REGISTAR TS Varaždin</item>
    </derivirana_varijabla>
  </DomainObject.Predmet.OstaliListFormatedWithAdressOIB>
  <DomainObject.Predmet.OstaliListNazivFormated>
    <izvorni_sadrzaj>
      <item>Antonija Gojković, direktor</item>
      <item>Županijsko državno odvjetništvo</item>
      <item>Nikola Kruljac</item>
      <item>SUDSKI REGISTAR TS Varaždin</item>
    </izvorni_sadrzaj>
    <derivirana_varijabla naziv="DomainObject.Predmet.OstaliListNazivFormated_1">
      <item>Antonija Gojković, direktor</item>
      <item>Županijsko državno odvjetništvo</item>
      <item>Nikola Kruljac</item>
      <item>SUDSKI REGISTAR TS Varaždin</item>
    </derivirana_varijabla>
  </DomainObject.Predmet.OstaliListNazivFormated>
  <DomainObject.Predmet.OstaliListNazivFormatedOIB>
    <izvorni_sadrzaj>
      <item>Antonija Gojković, direktor, OIB 16664135129</item>
      <item>Županijsko državno odvjetništvo</item>
      <item>Nikola Kruljac, OIB 49223643131</item>
      <item>SUDSKI REGISTAR TS Varaždin</item>
    </izvorni_sadrzaj>
    <derivirana_varijabla naziv="DomainObject.Predmet.OstaliListNazivFormatedOIB_1">
      <item>Antonija Gojković, direktor, OIB 16664135129</item>
      <item>Županijsko državno odvjetništvo</item>
      <item>Nikola Kruljac, OIB 49223643131</item>
      <item>SUDSKI REGISTAR TS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St-485/2016-19</izvorni_sadrzaj>
    <derivirana_varijabla naziv="DomainObject.PoslovniBrojDokumenta_1">St-485/2016-19</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TONA, društvo s ograničenom odgovornošću za proizvodnju, transport, trgovinu i usluge u stečaju</izvorni_sadrzaj>
    <derivirana_varijabla naziv="DomainObject.Predmet.ProtustrankaIDrugi_1">TONA, društvo s ograničenom odgovornošću za proizvodnju, transport, trgovinu i usluge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TONA, društvo s ograničenom odgovornošću za proizvodnju, transport, trgovinu i usluge u stečaju, OIB 13799315379, Mali Poganac 10, 48306 Mali Poganac</izvorni_sadrzaj>
    <derivirana_varijabla naziv="DomainObject.Predmet.ProtustrankaIDrugiAdressOIB_1">TONA, društvo s ograničenom odgovornošću za proizvodnju, transport, trgovinu i usluge u stečaju, OIB 13799315379, Mali Poganac 10, 48306 Mali Poganac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TONA, društvo s ograničenom odgovornošću za proizvodnju, transport, trgovinu i usluge u stečaju</item>
      <item>Antonija Gojković, direktor</item>
      <item>Županijsko državno odvjetništvo</item>
      <item>RH MINISTARSTVO FINANCIJA - POREZNA UPRAVA, Područni ured sjeverna Hrvatska</item>
      <item>Nikola Kruljac</item>
      <item>SUDSKI REGISTAR TS Varaždin</item>
    </izvorni_sadrzaj>
    <derivirana_varijabla naziv="DomainObject.Predmet.SudioniciListNaziv_1">
      <item>TONA, društvo s ograničenom odgovornošću za proizvodnju, transport, trgovinu i usluge u stečaju</item>
      <item>Antonija Gojković, direktor</item>
      <item>Županijsko državno odvjetništvo</item>
      <item>RH MINISTARSTVO FINANCIJA - POREZNA UPRAVA, Područni ured sjeverna Hrvatska</item>
      <item>Nikola Kruljac</item>
      <item>SUDSKI REGISTAR TS Varaždin</item>
    </derivirana_varijabla>
  </DomainObject.Predmet.SudioniciListNaziv>
  <DomainObject.Predmet.SudioniciListAdressOIB>
    <izvorni_sadrzaj>
      <item>TONA, društvo s ograničenom odgovornošću za proizvodnju, transport, trgovinu i usluge u stečaju, OIB 13799315379, Mali Poganac 10,48306 Mali Poganac</item>
      <item>Antonija Gojković, direktor, OIB 16664135129, Mali Poganac 10,48306 Mali Poganac</item>
      <item>Županijsko državno odvjetništvo</item>
      <item>RH MINISTARSTVO FINANCIJA - POREZNA UPRAVA, Područni ured sjeverna Hrvatska, OIB 18683136487, Graberje 1,42000 Varaždin</item>
      <item>Nikola Kruljac, OIB 49223643131, Bana Josipa Jelačića 48,31500 Martin</item>
      <item>SUDSKI REGISTAR TS Varaždin</item>
    </izvorni_sadrzaj>
    <derivirana_varijabla naziv="DomainObject.Predmet.SudioniciListAdressOIB_1">
      <item>TONA, društvo s ograničenom odgovornošću za proizvodnju, transport, trgovinu i usluge u stečaju, OIB 13799315379, Mali Poganac 10,48306 Mali Poganac</item>
      <item>Antonija Gojković, direktor, OIB 16664135129, Mali Poganac 10,48306 Mali Poganac</item>
      <item>Županijsko državno odvjetništvo</item>
      <item>RH MINISTARSTVO FINANCIJA - POREZNA UPRAVA, Područni ured sjeverna Hrvatska, OIB 18683136487, Graberje 1,42000 Varaždin</item>
      <item>Nikola Kruljac, OIB 49223643131, Bana Josipa Jelačića 48,31500 Martin</item>
      <item>SUDSKI REGISTAR TS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F2CAF8-772D-44AE-9138-3C473B4D8D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501</properties:Words>
  <properties:Characters>2783</properties:Characters>
  <properties:Lines>182</properties:Lines>
  <properties:Paragraphs>91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2016-11-30T13:13:00Z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St-485/2016-19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