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5001" w14:paraId="85c5001" w:rsidRDefault="000222A7"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222A7" w:rsidP="000222A7" w:rsidR="000222A7">
      <w:pPr>
        <w:pStyle w:val="Bezproreda"/>
      </w:pPr>
      <w:r>
        <w:t xml:space="preserve">  </w:t>
      </w:r>
    </w:p>
    <w:p w:rsidRDefault="000222A7" w:rsidP="000222A7" w:rsidR="000222A7">
      <w:pPr>
        <w:pStyle w:val="Bezproreda"/>
      </w:pPr>
    </w:p>
    <w:p w:rsidRDefault="000222A7" w:rsidP="000222A7" w:rsidR="00AE649C">
      <w:pPr>
        <w:pStyle w:val="Bezproreda"/>
      </w:pPr>
      <w:r>
        <w:t xml:space="preserve">      Republika Hrvatska</w:t>
      </w:r>
    </w:p>
    <w:p w:rsidRDefault="000222A7" w:rsidP="000222A7" w:rsidR="000222A7">
      <w:pPr>
        <w:pStyle w:val="Bezproreda"/>
      </w:pPr>
      <w:r>
        <w:t>Trgovački sud u Bjelovaru</w:t>
      </w:r>
    </w:p>
    <w:p w:rsidRDefault="000222A7" w:rsidP="000222A7" w:rsidR="000222A7">
      <w:pPr>
        <w:pStyle w:val="Bezproreda"/>
      </w:pPr>
      <w:r>
        <w:t>Bjelovar, Dr. I. Lebovića 42.</w:t>
      </w:r>
    </w:p>
    <w:p w:rsidRDefault="000222A7" w:rsidP="000222A7" w:rsidR="000222A7">
      <w:pPr>
        <w:pStyle w:val="Bezproreda"/>
      </w:pPr>
    </w:p>
    <w:p w:rsidRDefault="000222A7" w:rsidP="000222A7" w:rsidR="000222A7">
      <w:pPr>
        <w:overflowPunct w:val="false"/>
        <w:autoSpaceDE w:val="false"/>
        <w:autoSpaceDN w:val="false"/>
        <w:adjustRightInd w:val="false"/>
        <w:spacing w:after="0"/>
        <w:ind w:firstLine="708" w:left="4248"/>
        <w:rPr>
          <w:rFonts w:cs="Times New Roman" w:eastAsia="Times New Roman"/>
          <w:noProof/>
          <w:szCs w:val="20"/>
          <w:lang w:eastAsia="hr-HR"/>
        </w:rPr>
      </w:pPr>
      <w:r>
        <w:rPr>
          <w:rFonts w:cs="Times New Roman" w:eastAsia="Times New Roman"/>
          <w:noProof/>
          <w:szCs w:val="20"/>
          <w:lang w:eastAsia="hr-HR"/>
        </w:rPr>
        <w:t>Poslovni broj: 1 St-833/2017-5</w:t>
      </w:r>
    </w:p>
    <w:p w:rsidRDefault="000222A7" w:rsidP="000222A7" w:rsidR="000222A7">
      <w:pPr>
        <w:overflowPunct w:val="false"/>
        <w:autoSpaceDE w:val="false"/>
        <w:autoSpaceDN w:val="false"/>
        <w:adjustRightInd w:val="false"/>
        <w:spacing w:after="0"/>
        <w:rPr>
          <w:rFonts w:cs="Times New Roman" w:eastAsia="Times New Roman"/>
          <w:noProof/>
          <w:szCs w:val="20"/>
          <w:lang w:eastAsia="hr-HR"/>
        </w:rPr>
      </w:pPr>
    </w:p>
    <w:p w:rsidRDefault="000222A7" w:rsidP="000222A7" w:rsidR="000222A7">
      <w:pPr>
        <w:overflowPunct w:val="false"/>
        <w:autoSpaceDE w:val="false"/>
        <w:autoSpaceDN w:val="false"/>
        <w:adjustRightInd w:val="false"/>
        <w:spacing w:after="0"/>
        <w:jc w:val="right"/>
        <w:rPr>
          <w:rFonts w:cs="Times New Roman" w:eastAsia="Times New Roman"/>
          <w:noProof/>
          <w:szCs w:val="20"/>
          <w:lang w:eastAsia="hr-HR"/>
        </w:rPr>
      </w:pPr>
    </w:p>
    <w:p w:rsidRDefault="000222A7" w:rsidP="000222A7" w:rsidR="000222A7">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U  I M E  R E P U B L I K E  H R V A T S K E</w:t>
      </w:r>
    </w:p>
    <w:p w:rsidRDefault="000222A7" w:rsidP="000222A7" w:rsidR="000222A7">
      <w:pPr>
        <w:overflowPunct w:val="false"/>
        <w:autoSpaceDE w:val="false"/>
        <w:autoSpaceDN w:val="false"/>
        <w:adjustRightInd w:val="false"/>
        <w:spacing w:after="0"/>
        <w:jc w:val="right"/>
        <w:rPr>
          <w:rFonts w:cs="Times New Roman" w:eastAsia="Times New Roman"/>
          <w:b/>
          <w:noProof/>
          <w:szCs w:val="20"/>
          <w:lang w:eastAsia="hr-HR"/>
        </w:rPr>
      </w:pPr>
    </w:p>
    <w:p w:rsidRDefault="000222A7" w:rsidP="000222A7" w:rsidR="000222A7">
      <w:pPr>
        <w:overflowPunct w:val="false"/>
        <w:autoSpaceDE w:val="false"/>
        <w:autoSpaceDN w:val="false"/>
        <w:adjustRightInd w:val="false"/>
        <w:spacing w:after="0"/>
        <w:jc w:val="right"/>
        <w:rPr>
          <w:rFonts w:cs="Times New Roman" w:eastAsia="Times New Roman"/>
          <w:b/>
          <w:noProof/>
          <w:szCs w:val="20"/>
          <w:lang w:eastAsia="hr-HR"/>
        </w:rPr>
      </w:pPr>
    </w:p>
    <w:p w:rsidRDefault="000222A7" w:rsidP="000222A7" w:rsidR="000222A7">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0222A7" w:rsidP="000222A7" w:rsidR="000222A7">
      <w:pPr>
        <w:overflowPunct w:val="false"/>
        <w:autoSpaceDE w:val="false"/>
        <w:autoSpaceDN w:val="false"/>
        <w:adjustRightInd w:val="false"/>
        <w:spacing w:after="0"/>
        <w:rPr>
          <w:rFonts w:cs="Times New Roman" w:eastAsia="Times New Roman"/>
          <w:noProof/>
          <w:szCs w:val="20"/>
          <w:lang w:eastAsia="hr-HR"/>
        </w:rPr>
      </w:pPr>
    </w:p>
    <w:p w:rsidRDefault="000222A7" w:rsidP="000222A7" w:rsidR="000222A7">
      <w:pPr>
        <w:overflowPunct w:val="false"/>
        <w:autoSpaceDE w:val="false"/>
        <w:autoSpaceDN w:val="false"/>
        <w:adjustRightInd w:val="false"/>
        <w:spacing w:after="0"/>
        <w:rPr>
          <w:rFonts w:cs="Times New Roman" w:eastAsia="Times New Roman"/>
          <w:noProof/>
          <w:szCs w:val="20"/>
          <w:lang w:eastAsia="hr-HR"/>
        </w:rPr>
      </w:pPr>
    </w:p>
    <w:p w:rsidRDefault="000222A7" w:rsidP="000222A7" w:rsidR="000222A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noProof/>
          <w:szCs w:val="20"/>
          <w:lang w:eastAsia="hr-HR"/>
        </w:rPr>
        <w:t xml:space="preserve">Trgovački sud u Bjelovaru, po sucu Branki Pleskalt, u </w:t>
      </w:r>
      <w:r>
        <w:rPr>
          <w:rFonts w:cs="Times New Roman" w:eastAsia="Times New Roman"/>
          <w:szCs w:val="20"/>
          <w:lang w:eastAsia="hr-HR"/>
        </w:rPr>
        <w:t>predstečajnom postupku nad dužnikom BOXBOARD d.o.o. za proizvodnju i trgovinu Ribnica, Ribarova ulica 7, OIB: 19753895202</w:t>
      </w:r>
      <w:r>
        <w:rPr>
          <w:rFonts w:cs="Times New Roman" w:eastAsia="Times New Roman"/>
          <w:lang w:eastAsia="hr-HR" w:val="en-GB"/>
        </w:rPr>
        <w:t>,</w:t>
      </w:r>
      <w:r>
        <w:rPr>
          <w:rFonts w:cs="Times New Roman" w:eastAsia="Times New Roman"/>
          <w:szCs w:val="20"/>
          <w:lang w:eastAsia="hr-HR"/>
        </w:rPr>
        <w:t xml:space="preserve"> 23. svibnja 2018.</w:t>
      </w: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0222A7" w:rsidP="000222A7" w:rsidR="000222A7">
      <w:pPr>
        <w:overflowPunct w:val="false"/>
        <w:autoSpaceDE w:val="false"/>
        <w:autoSpaceDN w:val="false"/>
        <w:adjustRightInd w:val="false"/>
        <w:spacing w:after="0"/>
        <w:jc w:val="center"/>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center"/>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Predstečajni postupak se obustavlja.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Nakon pravomoćnosti ovog rješenja sud će po službenoj dužnosti nastaviti postupak kao da je podnesen prijedlog za otvaranje stečajnog postupka nad dužnikom.</w:t>
      </w: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Po prijedlogu dužnika sud je rješenjem od 21. kolovoza 2017. otvorio predstečajni postupak, imenovao povjerenika i odredio ročište radi ispitivanja tražbina.  </w:t>
      </w:r>
    </w:p>
    <w:p w:rsidRDefault="000222A7" w:rsidP="000222A7" w:rsidR="000222A7">
      <w:pPr>
        <w:overflowPunct w:val="false"/>
        <w:autoSpaceDE w:val="false"/>
        <w:autoSpaceDN w:val="false"/>
        <w:adjustRightInd w:val="false"/>
        <w:spacing w:after="0"/>
        <w:jc w:val="both"/>
        <w:rPr>
          <w:rFonts w:cs="Times New Roman" w:eastAsia="Times New Roman"/>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Podnescima od 26. veljače 2018. i 24. travnja 2018. godine vjerovnik Republika Hrvatska navodi da je predstečajni dužnik nakon otvaranja predstečajnog postupka izvršio zaduženje poreza i doprinosa i to temeljem JOPPD Obrasca za mirovinsko i zdravstveno osiguranje prema kojim obrascima je nastala obveza ostala nepodmirena a na koju okolnost dostavlja uz podnesak financijsku karticu predstečajnog dužnika od 14. veljače 2018. godine. </w:t>
      </w:r>
    </w:p>
    <w:p w:rsidRDefault="000222A7" w:rsidP="000222A7" w:rsidR="000222A7">
      <w:pPr>
        <w:overflowPunct w:val="false"/>
        <w:autoSpaceDE w:val="false"/>
        <w:autoSpaceDN w:val="false"/>
        <w:adjustRightInd w:val="false"/>
        <w:spacing w:after="0"/>
        <w:ind w:firstLine="851"/>
        <w:jc w:val="both"/>
        <w:rPr>
          <w:rFonts w:cs="Times New Roman" w:eastAsia="Times New Roman"/>
          <w:lang w:eastAsia="hr-HR"/>
        </w:rPr>
      </w:pPr>
    </w:p>
    <w:p w:rsidRDefault="000222A7" w:rsidP="000222A7" w:rsidR="000222A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lang w:eastAsia="hr-HR"/>
        </w:rPr>
        <w:t xml:space="preserve">Stoga je predložila obustavu predstečajnog postupka temeljem čl. 64. st. 1. toč. 6. Stečajnog zakona (NN 71/15), budući dužnik u tijeku predstečajnog postupka više od 30 dana kasni s isplatom plaće koja radniku pripada prema Ugovora o radu te u tom roku nije uplatio doprinose.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Očitujući se o prijedlogu gore navedenog vjerovnika u podnescima od 5. ožujka 2018. godine i 26. travnja 2018. godine, povjerenik  navodi da prema podacima dobivenim 22. veljače 2018. godine od Ministarstva financija, Porezne uprave, Područni ured Zagrebačka županija, Služba za naplatu i ovrhe, Odjel za stečajeve i likvidacije Karlovac proizlazi da dužnik nije od dana otvaranja predstečajnog postupka podmirio obveze za doprinos za mirovinsko osiguranje temeljem individualne kapitalizirane štednje u iznosu od 1.225,00 kuna, doprinos za mirovinsko osiguranje na temelju generacijske solidarnosti temeljem radnog odnosa u iznosu od 6.735,00 kuna i doprinos za zdravstveno osiguranje na temelju radnog odnosa te doprinos za zdravstveno osiguranje zaštite zdravlja na radu na temelju radnog odnosa u ukupnom iznosu od l.480,25 kuna, pa kako su se ovim neisplatama doprinosa od strane dužnika stekli uvjeti za obustavu predstečajnog postupka predlaže da sud postupak nad dužnikom Boxboard d.o.o. Ribnice obustavi.</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Odredbom čl. 64. st.1. toč. 6.  Stečajnog zakona predviđeno je da će sud rješenjem obustavi predstečajni postupak ako dužnik u tijeku predstečajnog postupka više od 30 dana kasni s isplatom plaće koja  radniku pripada prema Ugovoru o radu, Pravilniku o radu, Kolektivnom ugovoru ili Posebnom propisu odnosno prema drugom aktu kojim se uređuju obveze poslodavca prema radniku dospjelim nakon otvaranja predstečajnog postupka ili ako u tom roku ne uplati doprinose i poreze prema plaći, računajući od dana kada je radniku bio dužan isplatiti plaću.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Nadalje, odredbom čl. 67. Stečajnog zakona predviđeno je da od dana otvaranja predstečajnog postupka do njegovog završetka dužnik može obavljati samo plaćanja nužna za redovito poslovanje te da u tom razdoblju ne smije ispunjavati obveze nastale i dospjele prije otvaranja predstečajnog postupka osim obveza iz čl. 29. st. 2. ovog Zakona.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U odredbi čl. 29. st. 2. Stečajnog zakona  navedeno je da su za redovno poslovanje nužna plaćanja iz radnog odnosa u bruto iznosu za radnike i prijašnje dužnikove radnike čije su tražbine dospjele do dana otvaranja predstečajnog postupka, otpremnine do iznosa propisanog Zakonom i Kolektivnim ugovorom, tražbine po osnovi naknade štete pretrpljene zbog ozljede na radu ili profesionalne bolesti, odnosno plaće radnika uvećane za iznos doprinosa na osnovicu i druga materijalna prava radnika u skladu s Ugovorom o radu i Kolektivnim ugovorima dospjela nakon podnošenja prijedloga za otvaranja predstečajnog postupka, plaćanja za troškove predstečajnog postupka i druga plaćanja nužna za redovno poslovanje propisana posebnim zakonom.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Obzirom da iz dokumentacije priložene od strane predstečajnog vjerovnika Republike Hrvatske  uz podneske od 26. veljače 2018. godine i 24. travnja 2018. godine te dokumentacije priložene uz podnesak povjerenika od 5. ožujka 2018. godine, proizlazi da dužnik od otvaranja predstečajnog postupka nije postupao u skladu sa gore navedenim zakonskim odredbama, to sud smatra da su ispunjeni razlozi predviđeni odredbom čl. 64. st. 1. toč. 6.  Stečajnog zakona te je stoga u skladu s navedenom odredbom  Zakona obustavio predstečajni postupak i riješio kao pod toč. 1. izreke ovog rješenja. </w:t>
      </w: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Odredbom čl. 64. st. 2. Stečajnog zakona predviđeno je da će u slučajevima iz st. 1. ovog članka sud po službenoj dužnosti nastaviti postupak kao da je podnesen prijedlog za </w:t>
      </w:r>
      <w:r>
        <w:rPr>
          <w:rFonts w:cs="Times New Roman" w:eastAsia="Times New Roman"/>
          <w:szCs w:val="20"/>
          <w:lang w:eastAsia="hr-HR"/>
        </w:rPr>
        <w:lastRenderedPageBreak/>
        <w:t xml:space="preserve">otvaranje stečajnog postupka, osim ako utvrdi da je dužnik sposoban za plaćanje i da je ispunio sve obveze prema vjerovnicima, riješeno je kao pod toč. 2. izreke ovog rješenja. </w:t>
      </w: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w:t>
      </w:r>
    </w:p>
    <w:p w:rsidRDefault="000222A7" w:rsidP="000222A7" w:rsidR="000222A7">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 xml:space="preserve">U Bjelovaru 23. svibnja 2018. </w:t>
      </w:r>
    </w:p>
    <w:p w:rsidRDefault="000222A7" w:rsidP="000222A7" w:rsidR="000222A7">
      <w:pPr>
        <w:overflowPunct w:val="false"/>
        <w:autoSpaceDE w:val="false"/>
        <w:autoSpaceDN w:val="false"/>
        <w:adjustRightInd w:val="false"/>
        <w:spacing w:after="0"/>
        <w:jc w:val="both"/>
        <w:rPr>
          <w:rFonts w:cs="Times New Roman" w:eastAsia="Times New Roman"/>
          <w:szCs w:val="20"/>
          <w:lang w:eastAsia="hr-HR"/>
        </w:rPr>
      </w:pPr>
    </w:p>
    <w:p w:rsidRDefault="000222A7" w:rsidP="000222A7" w:rsidR="000222A7">
      <w:pPr>
        <w:overflowPunct w:val="false"/>
        <w:autoSpaceDE w:val="false"/>
        <w:autoSpaceDN w:val="false"/>
        <w:adjustRightInd w:val="false"/>
        <w:spacing w:after="0"/>
        <w:ind w:firstLine="708" w:left="4956"/>
        <w:jc w:val="both"/>
        <w:rPr>
          <w:rFonts w:cs="Times New Roman" w:eastAsia="Times New Roman"/>
          <w:szCs w:val="20"/>
          <w:lang w:eastAsia="hr-HR"/>
        </w:rPr>
      </w:pPr>
      <w:r>
        <w:rPr>
          <w:rFonts w:cs="Times New Roman" w:eastAsia="Times New Roman"/>
          <w:szCs w:val="20"/>
          <w:lang w:eastAsia="hr-HR"/>
        </w:rPr>
        <w:t>S u d a c</w:t>
      </w: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0222A7" w:rsidP="000222A7" w:rsidR="000222A7">
      <w:pPr>
        <w:pStyle w:val="Bezproreda"/>
      </w:pPr>
      <w:r>
        <w:tab/>
      </w:r>
      <w:r>
        <w:tab/>
      </w:r>
      <w:r>
        <w:tab/>
      </w:r>
      <w:r>
        <w:tab/>
      </w:r>
      <w:r>
        <w:tab/>
      </w:r>
      <w:r>
        <w:tab/>
      </w:r>
      <w:r>
        <w:tab/>
        <w:t xml:space="preserve">        Vesna Dragišić</w:t>
      </w:r>
    </w:p>
    <w:p w:rsidRDefault="000222A7" w:rsidP="000222A7" w:rsidR="000222A7">
      <w:pPr>
        <w:overflowPunct w:val="false"/>
        <w:autoSpaceDE w:val="false"/>
        <w:autoSpaceDN w:val="false"/>
        <w:adjustRightInd w:val="false"/>
        <w:spacing w:after="0"/>
        <w:rPr>
          <w:rFonts w:cs="Times New Roman" w:eastAsia="Times New Roman"/>
          <w:szCs w:val="20"/>
          <w:lang w:eastAsia="hr-HR"/>
        </w:rPr>
      </w:pPr>
    </w:p>
    <w:p w:rsidRDefault="000222A7" w:rsidP="000222A7" w:rsidR="000222A7">
      <w:pPr>
        <w:overflowPunct w:val="false"/>
        <w:autoSpaceDE w:val="false"/>
        <w:autoSpaceDN w:val="false"/>
        <w:adjustRightInd w:val="false"/>
        <w:spacing w:after="0"/>
        <w:jc w:val="both"/>
        <w:rPr>
          <w:rFonts w:cs="Times New Roman" w:eastAsia="Times New Roman" w:hAnsi="Tahoma" w:ascii="Tahoma"/>
          <w:b/>
          <w:color w:val="0000FF"/>
          <w:szCs w:val="20"/>
          <w:lang w:eastAsia="hr-HR"/>
        </w:rPr>
      </w:pPr>
    </w:p>
    <w:p w:rsidRDefault="000222A7" w:rsidP="000222A7" w:rsidR="000222A7">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0222A7" w:rsidP="000222A7" w:rsidR="000222A7" w:rsidRPr="00B76F3C">
      <w:pPr>
        <w:pStyle w:val="Bezproreda"/>
      </w:pPr>
    </w:p>
    <w:p w:rsidRDefault="00AE649C" w:rsidP="004F27AE" w:rsidR="00AE649C" w:rsidRPr="00B76F3C">
      <w:pPr>
        <w:pStyle w:val="NormaleSPIS"/>
      </w:pPr>
    </w:p>
    <w:sectPr w:rsidSect="000222A7"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823404"/>
      <w:docPartObj>
        <w:docPartGallery w:val="Page Numbers (Top of Page)"/>
        <w:docPartUnique/>
      </w:docPartObj>
    </w:sdtPr>
    <w:sdtEndPr/>
    <w:sdtContent>
      <w:p w:rsidRDefault="000222A7" w:rsidR="000222A7">
        <w:pPr>
          <w:pStyle w:val="Zaglavlje"/>
          <w:jc w:val="center"/>
        </w:pPr>
        <w:r>
          <w:fldChar w:fldCharType="begin"/>
        </w:r>
        <w:r>
          <w:instrText>PAGE   \* MERGEFORMAT</w:instrText>
        </w:r>
        <w:r>
          <w:fldChar w:fldCharType="separate"/>
        </w:r>
        <w:r w:rsidR="002034CE">
          <w:t>3</w:t>
        </w:r>
        <w:r>
          <w:fldChar w:fldCharType="end"/>
        </w:r>
      </w:p>
    </w:sdtContent>
  </w:sdt>
  <w:p w:rsidRDefault="000222A7" w:rsidR="008333A9">
    <w:pPr>
      <w:pStyle w:val="Zaglavlje"/>
    </w:pPr>
    <w:r>
      <w:t>Poslovni broj: 1 St-833/2017-5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22A7"/>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34CE"/>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8EA"/>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222A7"/>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222A7"/>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6385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St-833/2017-12</izvorni_sadrzaj>
    <derivirana_varijabla naziv="DomainObject.Oznaka_1">St-833/2017-12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St-833/2017</izvorni_sadrzaj>
    <derivirana_varijabla naziv="DomainObject.Predmet.OznakaBroj_1">St-833/2017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BOXBOARD d.o.o. za proizvodnju i trgovinu</izvorni_sadrzaj>
    <derivirana_varijabla naziv="DomainObject.Predmet.StrankaFormated_1">  BOXBOARD d.o.o. za proizvodnju i trgovinu</derivirana_varijabla>
  </DomainObject.Predmet.StrankaFormated>
  <DomainObject.Predmet.StrankaFormatedOIB>
    <izvorni_sadrzaj>  BOXBOARD d.o.o. za proizvodnju i trgovinu, OIB 19753895202</izvorni_sadrzaj>
    <derivirana_varijabla naziv="DomainObject.Predmet.StrankaFormatedOIB_1">  BOXBOARD d.o.o. za proizvodnju i trgovinu, OIB 19753895202</derivirana_varijabla>
  </DomainObject.Predmet.StrankaFormatedOIB>
  <DomainObject.Predmet.StrankaFormatedWithAdress>
    <izvorni_sadrzaj> BOXBOARD d.o.o. za proizvodnju i trgovinu, Ribarova ulica 7, 10410 Ribnica</izvorni_sadrzaj>
    <derivirana_varijabla naziv="DomainObject.Predmet.StrankaFormatedWithAdress_1"> BOXBOARD d.o.o. za proizvodnju i trgovinu, Ribarova ulica 7, 10410 Ribnica</derivirana_varijabla>
  </DomainObject.Predmet.StrankaFormatedWithAdress>
  <DomainObject.Predmet.StrankaFormatedWithAdressOIB>
    <izvorni_sadrzaj> BOXBOARD d.o.o. za proizvodnju i trgovinu, OIB 19753895202, Ribarova ulica 7, 10410 Ribnica</izvorni_sadrzaj>
    <derivirana_varijabla naziv="DomainObject.Predmet.StrankaFormatedWithAdressOIB_1"> BOXBOARD d.o.o. za proizvodnju i trgovinu, OIB 19753895202, Ribarova ulica 7, 10410 Ribnica</derivirana_varijabla>
  </DomainObject.Predmet.StrankaFormatedWithAdressOIB>
  <DomainObject.Predmet.StrankaWithAdress>
    <izvorni_sadrzaj>BOXBOARD d.o.o. za proizvodnju i trgovinu Ribarova ulica 7,10410 Ribnica</izvorni_sadrzaj>
    <derivirana_varijabla naziv="DomainObject.Predmet.StrankaWithAdress_1">BOXBOARD d.o.o. za proizvodnju i trgovinu Ribarova ulica 7,10410 Ribnica</derivirana_varijabla>
  </DomainObject.Predmet.StrankaWithAdress>
  <DomainObject.Predmet.StrankaWithAdressOIB>
    <izvorni_sadrzaj>BOXBOARD d.o.o. za proizvodnju i trgovinu, OIB 19753895202, Ribarova ulica 7,10410 Ribnica</izvorni_sadrzaj>
    <derivirana_varijabla naziv="DomainObject.Predmet.StrankaWithAdressOIB_1">BOXBOARD d.o.o. za proizvodnju i trgovinu, OIB 19753895202, Ribarova ulica 7,10410 Ribnica</derivirana_varijabla>
  </DomainObject.Predmet.StrankaWithAdressOIB>
  <DomainObject.Predmet.StrankaNazivFormated>
    <izvorni_sadrzaj>BOXBOARD d.o.o. za proizvodnju i trgovinu</izvorni_sadrzaj>
    <derivirana_varijabla naziv="DomainObject.Predmet.StrankaNazivFormated_1">BOXBOARD d.o.o. za proizvodnju i trgovinu</derivirana_varijabla>
  </DomainObject.Predmet.StrankaNazivFormated>
  <DomainObject.Predmet.StrankaNazivFormatedOIB>
    <izvorni_sadrzaj>BOXBOARD d.o.o. za proizvodnju i trgovinu, OIB 19753895202</izvorni_sadrzaj>
    <derivirana_varijabla naziv="DomainObject.Predmet.StrankaNazivFormatedOIB_1">BOXBOARD d.o.o. za proizvodnju i trgovinu, OIB 19753895202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BOXBOARD d.o.o. za proizvodnju i trgovinu</item>
    </izvorni_sadrzaj>
    <derivirana_varijabla naziv="DomainObject.Predmet.StrankaListFormated_1">
      <item>BOXBOARD d.o.o. za proizvodnju i trgovinu</item>
    </derivirana_varijabla>
  </DomainObject.Predmet.StrankaListFormated>
  <DomainObject.Predmet.StrankaListFormatedOIB>
    <izvorni_sadrzaj>
      <item>BOXBOARD d.o.o. za proizvodnju i trgovinu, OIB 19753895202</item>
    </izvorni_sadrzaj>
    <derivirana_varijabla naziv="DomainObject.Predmet.StrankaListFormatedOIB_1">
      <item>BOXBOARD d.o.o. za proizvodnju i trgovinu, OIB 19753895202</item>
    </derivirana_varijabla>
  </DomainObject.Predmet.StrankaListFormatedOIB>
  <DomainObject.Predmet.StrankaListFormatedWithAdress>
    <izvorni_sadrzaj>
      <item>BOXBOARD d.o.o. za proizvodnju i trgovinu, Ribarova ulica 7, 10410 Ribnica</item>
    </izvorni_sadrzaj>
    <derivirana_varijabla naziv="DomainObject.Predmet.StrankaListFormatedWithAdress_1">
      <item>BOXBOARD d.o.o. za proizvodnju i trgovinu, Ribarova ulica 7, 10410 Ribnica</item>
    </derivirana_varijabla>
  </DomainObject.Predmet.StrankaListFormatedWithAdress>
  <DomainObject.Predmet.StrankaListFormatedWithAdressOIB>
    <izvorni_sadrzaj>
      <item>BOXBOARD d.o.o. za proizvodnju i trgovinu, OIB 19753895202, Ribarova ulica 7, 10410 Ribnica</item>
    </izvorni_sadrzaj>
    <derivirana_varijabla naziv="DomainObject.Predmet.StrankaListFormatedWithAdressOIB_1">
      <item>BOXBOARD d.o.o. za proizvodnju i trgovinu, OIB 19753895202, Ribarova ulica 7, 10410 Ribnica</item>
    </derivirana_varijabla>
  </DomainObject.Predmet.StrankaListFormatedWithAdressOIB>
  <DomainObject.Predmet.StrankaListNazivFormated>
    <izvorni_sadrzaj>
      <item>BOXBOARD d.o.o. za proizvodnju i trgovinu</item>
    </izvorni_sadrzaj>
    <derivirana_varijabla naziv="DomainObject.Predmet.StrankaListNazivFormated_1">
      <item>BOXBOARD d.o.o. za proizvodnju i trgovinu</item>
    </derivirana_varijabla>
  </DomainObject.Predmet.StrankaListNazivFormated>
  <DomainObject.Predmet.StrankaListNazivFormatedOIB>
    <izvorni_sadrzaj>
      <item>BOXBOARD d.o.o. za proizvodnju i trgovinu, OIB 19753895202</item>
    </izvorni_sadrzaj>
    <derivirana_varijabla naziv="DomainObject.Predmet.StrankaListNazivFormatedOIB_1">
      <item>BOXBOARD d.o.o. za proizvodnju i trgovinu, OIB 19753895202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Bariša Pavičić</item>
    </izvorni_sadrzaj>
    <derivirana_varijabla naziv="DomainObject.Predmet.OstaliListFormated_1">
      <item>Bariša Pavičić</item>
    </derivirana_varijabla>
  </DomainObject.Predmet.OstaliListFormated>
  <DomainObject.Predmet.OstaliListFormatedOIB>
    <izvorni_sadrzaj>
      <item>Bariša Pavičić, OIB 54280025302</item>
    </izvorni_sadrzaj>
    <derivirana_varijabla naziv="DomainObject.Predmet.OstaliListFormatedOIB_1">
      <item>Bariša Pavičić, OIB 54280025302</item>
    </derivirana_varijabla>
  </DomainObject.Predmet.OstaliListFormatedOIB>
  <DomainObject.Predmet.OstaliListFormatedWithAdress>
    <izvorni_sadrzaj>
      <item>Bariša Pavičić, Ulica Petra I Tome Erdoedyja 15, 10000 Zagreb</item>
    </izvorni_sadrzaj>
    <derivirana_varijabla naziv="DomainObject.Predmet.OstaliListFormatedWithAdress_1">
      <item>Bariša Pavičić, Ulica Petra I Tome Erdoedyja 15, 10000 Zagreb</item>
    </derivirana_varijabla>
  </DomainObject.Predmet.OstaliListFormatedWithAdress>
  <DomainObject.Predmet.OstaliListFormatedWithAdressOIB>
    <izvorni_sadrzaj>
      <item>Bariša Pavičić, OIB 54280025302, Ulica Petra I Tome Erdoedyja 15, 10000 Zagreb</item>
    </izvorni_sadrzaj>
    <derivirana_varijabla naziv="DomainObject.Predmet.OstaliListFormatedWithAdressOIB_1">
      <item>Bariša Pavičić, OIB 54280025302, Ulica Petra I Tome Erdoedyja 15, 10000 Zagreb</item>
    </derivirana_varijabla>
  </DomainObject.Predmet.OstaliListFormatedWithAdressOIB>
  <DomainObject.Predmet.OstaliListNazivFormated>
    <izvorni_sadrzaj>
      <item>Bariša Pavičić</item>
    </izvorni_sadrzaj>
    <derivirana_varijabla naziv="DomainObject.Predmet.OstaliListNazivFormated_1">
      <item>Bariša Pavičić</item>
    </derivirana_varijabla>
  </DomainObject.Predmet.OstaliListNazivFormated>
  <DomainObject.Predmet.OstaliListNazivFormatedOIB>
    <izvorni_sadrzaj>
      <item>Bariša Pavičić, OIB 54280025302</item>
    </izvorni_sadrzaj>
    <derivirana_varijabla naziv="DomainObject.Predmet.OstaliListNazivFormatedOIB_1">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St-833/2017-12</izvorni_sadrzaj>
    <derivirana_varijabla naziv="DomainObject.PoslovniBrojDokumenta_1">St-833/2017-12</derivirana_varijabla>
  </DomainObject.PoslovniBrojDokumenta>
  <DomainObject.Predmet.StrankaIDrugi>
    <izvorni_sadrzaj>BOXBOARD d.o.o. za proizvodnju i trgovinu</izvorni_sadrzaj>
    <derivirana_varijabla naziv="DomainObject.Predmet.StrankaIDrugi_1">BOXBOARD d.o.o.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BOXBOARD d.o.o. za proizvodnju i trgovinu, OIB 19753895202, Ribarova ulica 7, 10410 Ribnica</izvorni_sadrzaj>
    <derivirana_varijabla naziv="DomainObject.Predmet.StrankaIDrugiAdressOIB_1">BOXBOARD d.o.o. za proizvodnju i trgovinu, OIB 19753895202, Ribarova ulica 7, 10410 Ribnica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BOXBOARD d.o.o. za proizvodnju i trgovinu</item>
      <item>Bariša Pavičić</item>
    </izvorni_sadrzaj>
    <derivirana_varijabla naziv="DomainObject.Predmet.SudioniciListNaziv_1">
      <item>BOXBOARD d.o.o. za proizvodnju i trgovinu</item>
      <item>Bariša Pavičić</item>
    </derivirana_varijabla>
  </DomainObject.Predmet.SudioniciListNaziv>
  <DomainObject.Predmet.SudioniciListAdressOIB>
    <izvorni_sadrzaj>
      <item>BOXBOARD d.o.o. za proizvodnju i trgovinu, OIB 19753895202, Ribarova ulica 7,10410 Ribnica</item>
      <item>Bariša Pavičić, OIB 54280025302, Ulica Petra I Tome Erdoedyja 15,10000 Zagreb</item>
    </izvorni_sadrzaj>
    <derivirana_varijabla naziv="DomainObject.Predmet.SudioniciListAdressOIB_1">
      <item>BOXBOARD d.o.o. za proizvodnju i trgovinu, OIB 19753895202, Ribarova ulica 7,10410 Ribnica</item>
      <item>Bariša Pavičić, OIB 54280025302, Ulica Petra I Tome Erdoedyja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820F3-9965-4B04-87F8-CDF36CD2E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4635</properties:Characters>
  <properties:Lines>111</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2018-05-24T09:13:00Z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St-833/2017-12 / Odluka - Rješenje - obustava postupka (odluka_St-833_2017-12.docx)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