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df2b3" w14:paraId="efdf2b3" w:rsidRDefault="00AE649C" w:rsidP="00FA5B5E" w:rsidR="00AE649C" w:rsidRPr="00B76F3C">
      <w:pPr>
        <w:pStyle w:val="Naslov3"/>
        <w15:collapsed w:val="false"/>
      </w:pPr>
      <w:bookmarkStart w:name="_GoBack" w:id="0"/>
      <w:bookmarkEnd w:id="0"/>
    </w:p>
    <w:p w:rsidRDefault="00937FF9" w:rsidP="00EB79B2" w:rsidR="00EB79B2" w:rsidRPr="00EB79B2">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B79B2" w:rsidRPr="00EB79B2">
        <w:rPr>
          <w:rFonts w:cs="Times New Roman" w:eastAsia="Times New Roman"/>
          <w:bCs/>
          <w:lang w:eastAsia="hr-HR"/>
        </w:rPr>
        <w:t xml:space="preserve">     REPUBLIKA HRVATSKA                                             </w:t>
      </w:r>
      <w:r w:rsidR="00EB79B2" w:rsidRPr="00EB79B2">
        <w:rPr>
          <w:rFonts w:cs="Times New Roman" w:eastAsia="Times New Roman"/>
          <w:lang w:eastAsia="hr-HR"/>
        </w:rPr>
        <w:t>Broj: 14. St-395/2015.</w:t>
      </w:r>
    </w:p>
    <w:p w:rsidRDefault="00EB79B2" w:rsidP="00EB79B2" w:rsidR="00EB79B2" w:rsidRPr="00EB79B2">
      <w:pPr>
        <w:spacing w:after="0"/>
        <w:rPr>
          <w:rFonts w:cs="Times New Roman" w:eastAsia="Times New Roman"/>
          <w:lang w:eastAsia="hr-HR"/>
        </w:rPr>
      </w:pPr>
      <w:r w:rsidRPr="00EB79B2">
        <w:rPr>
          <w:rFonts w:cs="Times New Roman" w:eastAsia="Times New Roman"/>
          <w:b/>
          <w:bCs/>
          <w:lang w:eastAsia="hr-HR"/>
        </w:rPr>
        <w:t xml:space="preserve">  TRGOVAČKI SUD U SPLITU</w:t>
      </w:r>
      <w:r w:rsidRPr="00EB79B2">
        <w:rPr>
          <w:rFonts w:cs="Times New Roman" w:eastAsia="Times New Roman"/>
          <w:bCs/>
          <w:lang w:eastAsia="hr-HR"/>
        </w:rPr>
        <w:t xml:space="preserve">                                          (Prvotni broj: St-s-4323/01).</w:t>
      </w:r>
    </w:p>
    <w:p w:rsidRDefault="00EB79B2" w:rsidP="00EB79B2" w:rsidR="00EB79B2" w:rsidRPr="00EB79B2">
      <w:pPr>
        <w:spacing w:after="0"/>
        <w:rPr>
          <w:rFonts w:cs="Times New Roman" w:eastAsia="Times New Roman"/>
          <w:b/>
          <w:lang w:eastAsia="hr-HR"/>
        </w:rPr>
      </w:pPr>
      <w:proofErr w:type="spellStart"/>
      <w:r w:rsidRPr="00EB79B2">
        <w:rPr>
          <w:rFonts w:cs="Times New Roman" w:eastAsia="Times New Roman"/>
          <w:b/>
          <w:lang w:eastAsia="hr-HR"/>
        </w:rPr>
        <w:t>Sukoišanska</w:t>
      </w:r>
      <w:proofErr w:type="spellEnd"/>
      <w:r w:rsidRPr="00EB79B2">
        <w:rPr>
          <w:rFonts w:cs="Times New Roman" w:eastAsia="Times New Roman"/>
          <w:b/>
          <w:lang w:eastAsia="hr-HR"/>
        </w:rPr>
        <w:t xml:space="preserve"> 6. – 21 000  S P L I T</w:t>
      </w:r>
    </w:p>
    <w:p w:rsidRDefault="00EB79B2" w:rsidP="00EB79B2" w:rsidR="00EB79B2" w:rsidRPr="00EB79B2">
      <w:pPr>
        <w:spacing w:after="0"/>
        <w:jc w:val="both"/>
        <w:rPr>
          <w:rFonts w:cs="Times New Roman" w:eastAsia="Times New Roman"/>
          <w:b/>
          <w:lang w:eastAsia="hr-HR"/>
        </w:rPr>
      </w:pPr>
    </w:p>
    <w:p w:rsidRDefault="00EB79B2" w:rsidP="00EB79B2" w:rsidR="00EB79B2" w:rsidRPr="00EB79B2">
      <w:pPr>
        <w:spacing w:after="0"/>
        <w:rPr>
          <w:rFonts w:cs="Times New Roman" w:eastAsia="Times New Roman"/>
          <w:lang w:eastAsia="hr-HR"/>
        </w:rPr>
      </w:pPr>
    </w:p>
    <w:p w:rsidRDefault="00EB79B2" w:rsidP="00EB79B2" w:rsidR="00EB79B2" w:rsidRPr="00EB79B2">
      <w:pPr>
        <w:keepNext/>
        <w:spacing w:after="0"/>
        <w:jc w:val="center"/>
        <w:outlineLvl w:val="0"/>
        <w:rPr>
          <w:rFonts w:cs="Times New Roman" w:eastAsia="Arial Unicode MS"/>
          <w:b/>
          <w:bCs/>
          <w:lang w:eastAsia="hr-HR"/>
        </w:rPr>
      </w:pPr>
      <w:r w:rsidRPr="00EB79B2">
        <w:rPr>
          <w:rFonts w:cs="Times New Roman" w:eastAsia="Arial Unicode MS"/>
          <w:b/>
          <w:bCs/>
          <w:lang w:eastAsia="hr-HR"/>
        </w:rPr>
        <w:t>R E P U B L I K A    H R V A T S K A</w:t>
      </w:r>
    </w:p>
    <w:p w:rsidRDefault="00EB79B2" w:rsidP="00EB79B2" w:rsidR="00EB79B2" w:rsidRPr="00EB79B2">
      <w:pPr>
        <w:keepNext/>
        <w:spacing w:after="0"/>
        <w:jc w:val="center"/>
        <w:outlineLvl w:val="0"/>
        <w:rPr>
          <w:rFonts w:cs="Times New Roman" w:eastAsia="Arial Unicode MS"/>
          <w:b/>
          <w:bCs/>
          <w:lang w:eastAsia="hr-HR"/>
        </w:rPr>
      </w:pPr>
    </w:p>
    <w:p w:rsidRDefault="00EB79B2" w:rsidP="00EB79B2" w:rsidR="00EB79B2" w:rsidRPr="00EB79B2">
      <w:pPr>
        <w:keepNext/>
        <w:spacing w:after="0"/>
        <w:jc w:val="center"/>
        <w:outlineLvl w:val="0"/>
        <w:rPr>
          <w:rFonts w:cs="Times New Roman" w:eastAsia="Arial Unicode MS"/>
          <w:b/>
          <w:bCs/>
          <w:lang w:eastAsia="hr-HR"/>
        </w:rPr>
      </w:pPr>
      <w:r w:rsidRPr="00EB79B2">
        <w:rPr>
          <w:rFonts w:cs="Times New Roman" w:eastAsia="Arial Unicode MS"/>
          <w:b/>
          <w:bCs/>
          <w:lang w:eastAsia="hr-HR"/>
        </w:rPr>
        <w:t>R J E Š E N J E</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val="en-US"/>
        </w:rPr>
      </w:pPr>
      <w:r w:rsidRPr="00EB79B2">
        <w:rPr>
          <w:rFonts w:cs="Times New Roman" w:eastAsia="Times New Roman"/>
          <w:lang w:eastAsia="hr-HR" w:val="en-US"/>
        </w:rPr>
        <w:tab/>
      </w:r>
      <w:proofErr w:type="spellStart"/>
      <w:r w:rsidRPr="00EB79B2">
        <w:rPr>
          <w:rFonts w:cs="Times New Roman" w:eastAsia="Times New Roman"/>
          <w:lang w:eastAsia="hr-HR" w:val="en-US"/>
        </w:rPr>
        <w:t>Trgovački</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sud</w:t>
      </w:r>
      <w:proofErr w:type="spellEnd"/>
      <w:r w:rsidRPr="00EB79B2">
        <w:rPr>
          <w:rFonts w:cs="Times New Roman" w:eastAsia="Times New Roman"/>
          <w:lang w:eastAsia="hr-HR" w:val="en-US"/>
        </w:rPr>
        <w:t xml:space="preserve"> u </w:t>
      </w:r>
      <w:proofErr w:type="spellStart"/>
      <w:r w:rsidRPr="00EB79B2">
        <w:rPr>
          <w:rFonts w:cs="Times New Roman" w:eastAsia="Times New Roman"/>
          <w:lang w:eastAsia="hr-HR" w:val="en-US"/>
        </w:rPr>
        <w:t>Splitu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po</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sudcu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Jozi</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Ćaleti</w:t>
      </w:r>
      <w:proofErr w:type="spellEnd"/>
      <w:r w:rsidRPr="00EB79B2">
        <w:rPr>
          <w:rFonts w:cs="Times New Roman" w:eastAsia="Times New Roman"/>
          <w:lang w:eastAsia="hr-HR" w:val="en-US"/>
        </w:rPr>
        <w:t xml:space="preserve">, u </w:t>
      </w:r>
      <w:proofErr w:type="spellStart"/>
      <w:r w:rsidRPr="00EB79B2">
        <w:rPr>
          <w:rFonts w:cs="Times New Roman" w:eastAsia="Times New Roman"/>
          <w:lang w:eastAsia="hr-HR" w:val="en-US"/>
        </w:rPr>
        <w:t>stečajnom</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postupku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nad</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Stečajnom</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masom</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Dužnika</w:t>
      </w:r>
      <w:proofErr w:type="spellEnd"/>
      <w:r w:rsidRPr="00EB79B2">
        <w:rPr>
          <w:rFonts w:cs="Times New Roman" w:eastAsia="Times New Roman"/>
          <w:lang w:eastAsia="hr-HR" w:val="en-US"/>
        </w:rPr>
        <w:t xml:space="preserve">: NACO, </w:t>
      </w:r>
      <w:proofErr w:type="spellStart"/>
      <w:r w:rsidRPr="00EB79B2">
        <w:rPr>
          <w:rFonts w:cs="Times New Roman" w:eastAsia="Times New Roman"/>
          <w:lang w:eastAsia="hr-HR" w:val="en-US"/>
        </w:rPr>
        <w:t>d.o.o</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Krilo</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Jesenice</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sa</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sjedištem</w:t>
      </w:r>
      <w:proofErr w:type="spellEnd"/>
      <w:r w:rsidRPr="00EB79B2">
        <w:rPr>
          <w:rFonts w:cs="Times New Roman" w:eastAsia="Times New Roman"/>
          <w:lang w:eastAsia="hr-HR" w:val="en-US"/>
        </w:rPr>
        <w:t xml:space="preserve"> u </w:t>
      </w:r>
      <w:proofErr w:type="spellStart"/>
      <w:r w:rsidRPr="00EB79B2">
        <w:rPr>
          <w:rFonts w:cs="Times New Roman" w:eastAsia="Times New Roman"/>
          <w:lang w:eastAsia="hr-HR" w:val="en-US"/>
        </w:rPr>
        <w:t>Imotski</w:t>
      </w:r>
      <w:proofErr w:type="spellEnd"/>
      <w:r w:rsidRPr="00EB79B2">
        <w:rPr>
          <w:rFonts w:cs="Times New Roman" w:eastAsia="Times New Roman"/>
          <w:lang w:eastAsia="hr-HR" w:val="en-US"/>
        </w:rPr>
        <w:t xml:space="preserve"> (Grad </w:t>
      </w:r>
      <w:proofErr w:type="spellStart"/>
      <w:r w:rsidRPr="00EB79B2">
        <w:rPr>
          <w:rFonts w:cs="Times New Roman" w:eastAsia="Times New Roman"/>
          <w:lang w:eastAsia="hr-HR" w:val="en-US"/>
        </w:rPr>
        <w:t>Imotski</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Kralja</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Tomislava</w:t>
      </w:r>
      <w:proofErr w:type="spellEnd"/>
      <w:r w:rsidRPr="00EB79B2">
        <w:rPr>
          <w:rFonts w:cs="Times New Roman" w:eastAsia="Times New Roman"/>
          <w:lang w:eastAsia="hr-HR" w:val="en-US"/>
        </w:rPr>
        <w:t xml:space="preserve"> 8, </w:t>
      </w:r>
      <w:proofErr w:type="spellStart"/>
      <w:r w:rsidRPr="00EB79B2">
        <w:rPr>
          <w:rFonts w:cs="Times New Roman" w:eastAsia="Times New Roman"/>
          <w:lang w:eastAsia="hr-HR" w:val="en-US"/>
        </w:rPr>
        <w:t>zastupane</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po</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stečajnom</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upravitelju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Ivanu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Šteko</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Imotski</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Kralja</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Tomislava</w:t>
      </w:r>
      <w:proofErr w:type="spellEnd"/>
      <w:r w:rsidRPr="00EB79B2">
        <w:rPr>
          <w:rFonts w:cs="Times New Roman" w:eastAsia="Times New Roman"/>
          <w:lang w:eastAsia="hr-HR" w:val="en-US"/>
        </w:rPr>
        <w:t xml:space="preserve"> 8, </w:t>
      </w:r>
      <w:proofErr w:type="spellStart"/>
      <w:r w:rsidRPr="00EB79B2">
        <w:rPr>
          <w:rFonts w:cs="Times New Roman" w:eastAsia="Times New Roman"/>
          <w:lang w:eastAsia="hr-HR" w:val="en-US"/>
        </w:rPr>
        <w:t>odlučujući</w:t>
      </w:r>
      <w:proofErr w:type="spellEnd"/>
      <w:r w:rsidRPr="00EB79B2">
        <w:rPr>
          <w:rFonts w:cs="Times New Roman" w:eastAsia="Times New Roman"/>
          <w:lang w:eastAsia="hr-HR" w:val="en-US"/>
        </w:rPr>
        <w:t xml:space="preserve"> o </w:t>
      </w:r>
      <w:proofErr w:type="spellStart"/>
      <w:r w:rsidRPr="00EB79B2">
        <w:rPr>
          <w:rFonts w:cs="Times New Roman" w:eastAsia="Times New Roman"/>
          <w:lang w:eastAsia="hr-HR" w:val="en-US"/>
        </w:rPr>
        <w:t>prijedlogu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Stečajnog</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upravitelja</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za</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razdiobu</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unovčene</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stečajne</w:t>
      </w:r>
      <w:proofErr w:type="spellEnd"/>
      <w:r w:rsidRPr="00EB79B2">
        <w:rPr>
          <w:rFonts w:cs="Times New Roman" w:eastAsia="Times New Roman"/>
          <w:lang w:eastAsia="hr-HR" w:val="en-US"/>
        </w:rPr>
        <w:t xml:space="preserve"> </w:t>
      </w:r>
      <w:proofErr w:type="spellStart"/>
      <w:r w:rsidRPr="00EB79B2">
        <w:rPr>
          <w:rFonts w:cs="Times New Roman" w:eastAsia="Times New Roman"/>
          <w:lang w:eastAsia="hr-HR" w:val="en-US"/>
        </w:rPr>
        <w:t>mase</w:t>
      </w:r>
      <w:proofErr w:type="spellEnd"/>
      <w:r w:rsidRPr="00EB79B2">
        <w:rPr>
          <w:rFonts w:cs="Times New Roman" w:eastAsia="Times New Roman"/>
          <w:lang w:eastAsia="hr-HR" w:val="en-US"/>
        </w:rPr>
        <w:t xml:space="preserve">, 07. </w:t>
      </w:r>
      <w:proofErr w:type="spellStart"/>
      <w:r w:rsidRPr="00EB79B2">
        <w:rPr>
          <w:rFonts w:cs="Times New Roman" w:eastAsia="Times New Roman"/>
          <w:lang w:eastAsia="hr-HR" w:val="en-US"/>
        </w:rPr>
        <w:t>ožujka</w:t>
      </w:r>
      <w:proofErr w:type="spellEnd"/>
      <w:r w:rsidRPr="00EB79B2">
        <w:rPr>
          <w:rFonts w:cs="Times New Roman" w:eastAsia="Times New Roman"/>
          <w:lang w:eastAsia="hr-HR" w:val="en-US"/>
        </w:rPr>
        <w:t xml:space="preserve"> 2017, </w:t>
      </w:r>
      <w:proofErr w:type="spellStart"/>
      <w:r w:rsidRPr="00EB79B2">
        <w:rPr>
          <w:rFonts w:cs="Times New Roman" w:eastAsia="Times New Roman"/>
          <w:lang w:eastAsia="hr-HR" w:val="en-US"/>
        </w:rPr>
        <w:t>izvanraspravno</w:t>
      </w:r>
      <w:proofErr w:type="spellEnd"/>
      <w:r w:rsidRPr="00EB79B2">
        <w:rPr>
          <w:rFonts w:cs="Times New Roman" w:eastAsia="Times New Roman"/>
          <w:lang w:eastAsia="hr-HR" w:val="en-US"/>
        </w:rPr>
        <w:t>,</w:t>
      </w:r>
    </w:p>
    <w:p w:rsidRDefault="00EB79B2" w:rsidP="00EB79B2" w:rsidR="00EB79B2" w:rsidRPr="00EB79B2">
      <w:pPr>
        <w:spacing w:after="0"/>
        <w:jc w:val="both"/>
        <w:rPr>
          <w:rFonts w:cs="Times New Roman" w:eastAsia="Times New Roman"/>
          <w:lang w:eastAsia="hr-HR" w:val="en-US"/>
        </w:rPr>
      </w:pPr>
    </w:p>
    <w:p w:rsidRDefault="00EB79B2" w:rsidP="00EB79B2" w:rsidR="00EB79B2" w:rsidRPr="00EB79B2">
      <w:pPr>
        <w:spacing w:after="0"/>
        <w:jc w:val="center"/>
        <w:rPr>
          <w:rFonts w:cs="Times New Roman" w:eastAsia="Times New Roman"/>
          <w:bCs/>
          <w:lang w:eastAsia="hr-HR"/>
        </w:rPr>
      </w:pPr>
      <w:r w:rsidRPr="00EB79B2">
        <w:rPr>
          <w:rFonts w:cs="Times New Roman" w:eastAsia="Times New Roman"/>
          <w:bCs/>
          <w:lang w:eastAsia="hr-HR"/>
        </w:rPr>
        <w:t>r i j e š i o    j e</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val="de-DE"/>
        </w:rPr>
        <w:tab/>
      </w:r>
      <w:r w:rsidRPr="00EB79B2">
        <w:rPr>
          <w:rFonts w:cs="Times New Roman" w:eastAsia="Times New Roman"/>
          <w:b/>
          <w:lang w:eastAsia="hr-HR" w:val="de-DE"/>
        </w:rPr>
        <w:t>1.</w:t>
      </w:r>
      <w:r w:rsidRPr="00EB79B2">
        <w:rPr>
          <w:rFonts w:cs="Times New Roman" w:eastAsia="Times New Roman"/>
          <w:lang w:eastAsia="hr-HR" w:val="de-DE"/>
        </w:rPr>
        <w:t xml:space="preserve"> </w:t>
      </w:r>
      <w:r w:rsidRPr="00EB79B2">
        <w:rPr>
          <w:rFonts w:cs="Times New Roman" w:eastAsia="Times New Roman"/>
          <w:lang w:eastAsia="hr-HR"/>
        </w:rPr>
        <w:t>Daje se suglasnost stečajnom upravitelju Ivanu Šteko, Imotski, Kralja Tomislava 8, za  provođenje Završne diobe-razdiobu unovčene stečajne mase sukladno prijedlogu kojeg je isti dostavio Sudu faksom 06. ožujka 2017, koji je prijedlog sastavni dio ovog Rješenja s tim što se za stečajnog vjerovnika RH-Ministarstvo financija, Stečajni upravitelj upućuje obračunati (osobno ili po Poreznoj upravi) i isplatiti i kamate na utvrđenu tražbinu i to za razdoblje od 17. listopada 2016. kao dana određivanja nastavljanja postupka radi naknadne diobe pa do isplate tražbine istog Vjerovnika a za navedeni iznos kamata se ima smanjiti „iznos koji pripada vlasniku dionica“.</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val="de-DE"/>
        </w:rPr>
        <w:tab/>
      </w:r>
      <w:r w:rsidRPr="00EB79B2">
        <w:rPr>
          <w:rFonts w:cs="Times New Roman" w:eastAsia="Times New Roman"/>
          <w:b/>
          <w:lang w:eastAsia="hr-HR" w:val="de-DE"/>
        </w:rPr>
        <w:t>2.</w:t>
      </w:r>
      <w:r w:rsidRPr="00EB79B2">
        <w:rPr>
          <w:rFonts w:cs="Times New Roman" w:eastAsia="Times New Roman"/>
          <w:lang w:eastAsia="hr-HR" w:val="de-DE"/>
        </w:rPr>
        <w:t xml:space="preserve"> </w:t>
      </w:r>
      <w:r w:rsidRPr="00EB79B2">
        <w:rPr>
          <w:rFonts w:cs="Times New Roman" w:eastAsia="Times New Roman"/>
          <w:lang w:eastAsia="hr-HR"/>
        </w:rPr>
        <w:t xml:space="preserve">Isplata po ovom Rješenju će se izvršiti nakon </w:t>
      </w:r>
      <w:proofErr w:type="spellStart"/>
      <w:r w:rsidRPr="00EB79B2">
        <w:rPr>
          <w:rFonts w:cs="Times New Roman" w:eastAsia="Times New Roman"/>
          <w:lang w:eastAsia="hr-HR"/>
        </w:rPr>
        <w:t>provomoćnosti</w:t>
      </w:r>
      <w:proofErr w:type="spellEnd"/>
      <w:r w:rsidRPr="00EB79B2">
        <w:rPr>
          <w:rFonts w:cs="Times New Roman" w:eastAsia="Times New Roman"/>
          <w:lang w:eastAsia="hr-HR"/>
        </w:rPr>
        <w:t xml:space="preserve"> istog Rješenja. </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val="de-DE"/>
        </w:rPr>
        <w:tab/>
      </w:r>
      <w:r w:rsidRPr="00EB79B2">
        <w:rPr>
          <w:rFonts w:cs="Times New Roman" w:eastAsia="Times New Roman"/>
          <w:b/>
          <w:lang w:eastAsia="hr-HR" w:val="de-DE"/>
        </w:rPr>
        <w:t>3.</w:t>
      </w:r>
      <w:r w:rsidRPr="00EB79B2">
        <w:rPr>
          <w:rFonts w:cs="Times New Roman" w:eastAsia="Times New Roman"/>
          <w:lang w:eastAsia="hr-HR" w:val="de-DE"/>
        </w:rPr>
        <w:t xml:space="preserve"> </w:t>
      </w:r>
      <w:r w:rsidRPr="00EB79B2">
        <w:rPr>
          <w:rFonts w:cs="Times New Roman" w:eastAsia="Times New Roman"/>
          <w:lang w:eastAsia="hr-HR"/>
        </w:rPr>
        <w:t xml:space="preserve">Nakon </w:t>
      </w:r>
      <w:proofErr w:type="spellStart"/>
      <w:r w:rsidRPr="00EB79B2">
        <w:rPr>
          <w:rFonts w:cs="Times New Roman" w:eastAsia="Times New Roman"/>
          <w:lang w:eastAsia="hr-HR"/>
        </w:rPr>
        <w:t>provedne</w:t>
      </w:r>
      <w:proofErr w:type="spellEnd"/>
      <w:r w:rsidRPr="00EB79B2">
        <w:rPr>
          <w:rFonts w:cs="Times New Roman" w:eastAsia="Times New Roman"/>
          <w:lang w:eastAsia="hr-HR"/>
        </w:rPr>
        <w:t xml:space="preserve"> isplate po ovom Rješenju, Stečajni se upravitelj upućuje pismeno </w:t>
      </w:r>
      <w:proofErr w:type="spellStart"/>
      <w:r w:rsidRPr="00EB79B2">
        <w:rPr>
          <w:rFonts w:cs="Times New Roman" w:eastAsia="Times New Roman"/>
          <w:lang w:eastAsia="hr-HR"/>
        </w:rPr>
        <w:t>izvjestiti</w:t>
      </w:r>
      <w:proofErr w:type="spellEnd"/>
      <w:r w:rsidRPr="00EB79B2">
        <w:rPr>
          <w:rFonts w:cs="Times New Roman" w:eastAsia="Times New Roman"/>
          <w:lang w:eastAsia="hr-HR"/>
        </w:rPr>
        <w:t xml:space="preserve"> ovaj Sud.</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center"/>
        <w:rPr>
          <w:rFonts w:cs="Times New Roman" w:eastAsia="Times New Roman"/>
          <w:lang w:eastAsia="hr-HR"/>
        </w:rPr>
      </w:pPr>
      <w:r w:rsidRPr="00EB79B2">
        <w:rPr>
          <w:rFonts w:cs="Times New Roman" w:eastAsia="Times New Roman"/>
          <w:lang w:eastAsia="hr-HR"/>
        </w:rPr>
        <w:t>Obrazloženje</w:t>
      </w:r>
    </w:p>
    <w:p w:rsidRDefault="00EB79B2" w:rsidP="00EB79B2" w:rsidR="00EB79B2" w:rsidRPr="00EB79B2">
      <w:pPr>
        <w:spacing w:after="0"/>
        <w:jc w:val="both"/>
        <w:rPr>
          <w:rFonts w:cs="Times New Roman" w:eastAsia="Times New Roman"/>
          <w:lang w:eastAsia="hr-HR" w:val="de-DE"/>
        </w:rPr>
      </w:pPr>
    </w:p>
    <w:p w:rsidRDefault="00EB79B2" w:rsidP="00EB79B2" w:rsidR="00EB79B2" w:rsidRPr="00EB79B2">
      <w:pPr>
        <w:spacing w:after="0"/>
        <w:jc w:val="both"/>
        <w:rPr>
          <w:rFonts w:cs="Times New Roman" w:eastAsia="Times New Roman"/>
          <w:lang w:eastAsia="hr-HR" w:val="de-DE"/>
        </w:rPr>
      </w:pPr>
      <w:r w:rsidRPr="00EB79B2">
        <w:rPr>
          <w:rFonts w:cs="Times New Roman" w:eastAsia="Times New Roman"/>
          <w:lang w:eastAsia="hr-HR" w:val="de-DE"/>
        </w:rPr>
        <w:tab/>
      </w:r>
      <w:r w:rsidRPr="00EB79B2">
        <w:rPr>
          <w:rFonts w:cs="Times New Roman" w:eastAsia="Times New Roman"/>
          <w:b/>
          <w:lang w:eastAsia="hr-HR" w:val="de-DE"/>
        </w:rPr>
        <w:t>1.</w:t>
      </w:r>
      <w:r w:rsidRPr="00EB79B2">
        <w:rPr>
          <w:rFonts w:cs="Times New Roman" w:eastAsia="Times New Roman"/>
          <w:lang w:eastAsia="hr-HR" w:val="de-DE"/>
        </w:rPr>
        <w:t xml:space="preserve"> </w:t>
      </w:r>
      <w:proofErr w:type="spellStart"/>
      <w:r w:rsidRPr="00EB79B2">
        <w:rPr>
          <w:rFonts w:cs="Times New Roman" w:eastAsia="Times New Roman"/>
          <w:lang w:eastAsia="hr-HR" w:val="de-DE"/>
        </w:rPr>
        <w:t>Nad</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uvodno</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navedenim</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Dužnikom</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rješenjem</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ovog</w:t>
      </w:r>
      <w:proofErr w:type="spellEnd"/>
      <w:r w:rsidRPr="00EB79B2">
        <w:rPr>
          <w:rFonts w:cs="Times New Roman" w:eastAsia="Times New Roman"/>
          <w:lang w:eastAsia="hr-HR" w:val="de-DE"/>
        </w:rPr>
        <w:t xml:space="preserve"> Suda </w:t>
      </w:r>
      <w:proofErr w:type="spellStart"/>
      <w:r w:rsidRPr="00EB79B2">
        <w:rPr>
          <w:rFonts w:cs="Times New Roman" w:eastAsia="Times New Roman"/>
          <w:lang w:eastAsia="hr-HR" w:val="de-DE"/>
        </w:rPr>
        <w:t>od</w:t>
      </w:r>
      <w:proofErr w:type="spellEnd"/>
      <w:r w:rsidRPr="00EB79B2">
        <w:rPr>
          <w:rFonts w:cs="Times New Roman" w:eastAsia="Times New Roman"/>
          <w:lang w:eastAsia="hr-HR" w:val="de-DE"/>
        </w:rPr>
        <w:t xml:space="preserve"> 19. </w:t>
      </w:r>
      <w:proofErr w:type="spellStart"/>
      <w:r w:rsidRPr="00EB79B2">
        <w:rPr>
          <w:rFonts w:cs="Times New Roman" w:eastAsia="Times New Roman"/>
          <w:lang w:eastAsia="hr-HR" w:val="de-DE"/>
        </w:rPr>
        <w:t>prosinca</w:t>
      </w:r>
      <w:proofErr w:type="spellEnd"/>
      <w:r w:rsidRPr="00EB79B2">
        <w:rPr>
          <w:rFonts w:cs="Times New Roman" w:eastAsia="Times New Roman"/>
          <w:lang w:eastAsia="hr-HR" w:val="de-DE"/>
        </w:rPr>
        <w:t xml:space="preserve"> 2001. </w:t>
      </w:r>
      <w:proofErr w:type="spellStart"/>
      <w:r w:rsidRPr="00EB79B2">
        <w:rPr>
          <w:rFonts w:cs="Times New Roman" w:eastAsia="Times New Roman"/>
          <w:lang w:eastAsia="hr-HR" w:val="de-DE"/>
        </w:rPr>
        <w:t>godine</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broj</w:t>
      </w:r>
      <w:proofErr w:type="spellEnd"/>
      <w:r w:rsidRPr="00EB79B2">
        <w:rPr>
          <w:rFonts w:cs="Times New Roman" w:eastAsia="Times New Roman"/>
          <w:lang w:eastAsia="hr-HR" w:val="de-DE"/>
        </w:rPr>
        <w:t xml:space="preserve">: St-s-4323/01, </w:t>
      </w:r>
      <w:proofErr w:type="spellStart"/>
      <w:r w:rsidRPr="00EB79B2">
        <w:rPr>
          <w:rFonts w:cs="Times New Roman" w:eastAsia="Times New Roman"/>
          <w:lang w:eastAsia="hr-HR" w:val="de-DE"/>
        </w:rPr>
        <w:t>otvoren</w:t>
      </w:r>
      <w:proofErr w:type="spellEnd"/>
      <w:r w:rsidRPr="00EB79B2">
        <w:rPr>
          <w:rFonts w:cs="Times New Roman" w:eastAsia="Times New Roman"/>
          <w:lang w:eastAsia="hr-HR" w:val="de-DE"/>
        </w:rPr>
        <w:t xml:space="preserve"> je i </w:t>
      </w:r>
      <w:proofErr w:type="spellStart"/>
      <w:r w:rsidRPr="00EB79B2">
        <w:rPr>
          <w:rFonts w:cs="Times New Roman" w:eastAsia="Times New Roman"/>
          <w:lang w:eastAsia="hr-HR" w:val="de-DE"/>
        </w:rPr>
        <w:t>istovremeno</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zaključen</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stečajni</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postupak</w:t>
      </w:r>
      <w:proofErr w:type="spellEnd"/>
      <w:r w:rsidRPr="00EB79B2">
        <w:rPr>
          <w:rFonts w:cs="Times New Roman" w:eastAsia="Times New Roman"/>
          <w:lang w:eastAsia="hr-HR" w:val="de-DE"/>
        </w:rPr>
        <w:t xml:space="preserve"> i </w:t>
      </w:r>
      <w:proofErr w:type="spellStart"/>
      <w:r w:rsidRPr="00EB79B2">
        <w:rPr>
          <w:rFonts w:cs="Times New Roman" w:eastAsia="Times New Roman"/>
          <w:lang w:eastAsia="hr-HR" w:val="de-DE"/>
        </w:rPr>
        <w:t>određeno</w:t>
      </w:r>
      <w:proofErr w:type="spellEnd"/>
      <w:r w:rsidRPr="00EB79B2">
        <w:rPr>
          <w:rFonts w:cs="Times New Roman" w:eastAsia="Times New Roman"/>
          <w:lang w:eastAsia="hr-HR" w:val="de-DE"/>
        </w:rPr>
        <w:t xml:space="preserve"> je </w:t>
      </w:r>
      <w:proofErr w:type="spellStart"/>
      <w:r w:rsidRPr="00EB79B2">
        <w:rPr>
          <w:rFonts w:cs="Times New Roman" w:eastAsia="Times New Roman"/>
          <w:lang w:eastAsia="hr-HR" w:val="de-DE"/>
        </w:rPr>
        <w:t>Dužnika</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brisati</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iz</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sudskog</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registra</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te</w:t>
      </w:r>
      <w:proofErr w:type="spellEnd"/>
      <w:r w:rsidRPr="00EB79B2">
        <w:rPr>
          <w:rFonts w:cs="Times New Roman" w:eastAsia="Times New Roman"/>
          <w:lang w:eastAsia="hr-HR" w:val="de-DE"/>
        </w:rPr>
        <w:t xml:space="preserve"> je </w:t>
      </w:r>
      <w:proofErr w:type="spellStart"/>
      <w:r w:rsidRPr="00EB79B2">
        <w:rPr>
          <w:rFonts w:cs="Times New Roman" w:eastAsia="Times New Roman"/>
          <w:lang w:eastAsia="hr-HR" w:val="de-DE"/>
        </w:rPr>
        <w:t>Dužnik</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nakon</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pravomoćnosti</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tog</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rješenja</w:t>
      </w:r>
      <w:proofErr w:type="spellEnd"/>
      <w:r w:rsidRPr="00EB79B2">
        <w:rPr>
          <w:rFonts w:cs="Times New Roman" w:eastAsia="Times New Roman"/>
          <w:lang w:eastAsia="hr-HR" w:val="de-DE"/>
        </w:rPr>
        <w:t xml:space="preserve"> i </w:t>
      </w:r>
      <w:proofErr w:type="spellStart"/>
      <w:r w:rsidRPr="00EB79B2">
        <w:rPr>
          <w:rFonts w:cs="Times New Roman" w:eastAsia="Times New Roman"/>
          <w:lang w:eastAsia="hr-HR" w:val="de-DE"/>
        </w:rPr>
        <w:t>brisan</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iz</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sudskog</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registra</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sve</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to</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temeljem</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tada</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vrijedećeg</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članka</w:t>
      </w:r>
      <w:proofErr w:type="spellEnd"/>
      <w:r w:rsidRPr="00EB79B2">
        <w:rPr>
          <w:rFonts w:cs="Times New Roman" w:eastAsia="Times New Roman"/>
          <w:lang w:eastAsia="hr-HR" w:val="de-DE"/>
        </w:rPr>
        <w:t xml:space="preserve"> 70, </w:t>
      </w:r>
      <w:proofErr w:type="spellStart"/>
      <w:r w:rsidRPr="00EB79B2">
        <w:rPr>
          <w:rFonts w:cs="Times New Roman" w:eastAsia="Times New Roman"/>
          <w:lang w:eastAsia="hr-HR" w:val="de-DE"/>
        </w:rPr>
        <w:t>Zakona</w:t>
      </w:r>
      <w:proofErr w:type="spellEnd"/>
      <w:r w:rsidRPr="00EB79B2">
        <w:rPr>
          <w:rFonts w:cs="Times New Roman" w:eastAsia="Times New Roman"/>
          <w:lang w:eastAsia="hr-HR" w:val="de-DE"/>
        </w:rPr>
        <w:t xml:space="preserve"> o </w:t>
      </w:r>
      <w:proofErr w:type="spellStart"/>
      <w:r w:rsidRPr="00EB79B2">
        <w:rPr>
          <w:rFonts w:cs="Times New Roman" w:eastAsia="Times New Roman"/>
          <w:lang w:eastAsia="hr-HR" w:val="de-DE"/>
        </w:rPr>
        <w:t>izmjenama</w:t>
      </w:r>
      <w:proofErr w:type="spellEnd"/>
      <w:r w:rsidRPr="00EB79B2">
        <w:rPr>
          <w:rFonts w:cs="Times New Roman" w:eastAsia="Times New Roman"/>
          <w:lang w:eastAsia="hr-HR" w:val="de-DE"/>
        </w:rPr>
        <w:t xml:space="preserve"> i </w:t>
      </w:r>
      <w:proofErr w:type="spellStart"/>
      <w:r w:rsidRPr="00EB79B2">
        <w:rPr>
          <w:rFonts w:cs="Times New Roman" w:eastAsia="Times New Roman"/>
          <w:lang w:eastAsia="hr-HR" w:val="de-DE"/>
        </w:rPr>
        <w:t>dopunama</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Stečajnog</w:t>
      </w:r>
      <w:proofErr w:type="spellEnd"/>
      <w:r w:rsidRPr="00EB79B2">
        <w:rPr>
          <w:rFonts w:cs="Times New Roman" w:eastAsia="Times New Roman"/>
          <w:lang w:eastAsia="hr-HR" w:val="de-DE"/>
        </w:rPr>
        <w:t xml:space="preserve"> </w:t>
      </w:r>
      <w:proofErr w:type="spellStart"/>
      <w:r w:rsidRPr="00EB79B2">
        <w:rPr>
          <w:rFonts w:cs="Times New Roman" w:eastAsia="Times New Roman"/>
          <w:lang w:eastAsia="hr-HR" w:val="de-DE"/>
        </w:rPr>
        <w:t>zakona</w:t>
      </w:r>
      <w:proofErr w:type="spellEnd"/>
      <w:r w:rsidRPr="00EB79B2">
        <w:rPr>
          <w:rFonts w:cs="Times New Roman" w:eastAsia="Times New Roman"/>
          <w:lang w:eastAsia="hr-HR" w:val="de-DE"/>
        </w:rPr>
        <w:t xml:space="preserve"> (</w:t>
      </w:r>
      <w:proofErr w:type="spellStart"/>
      <w:r w:rsidRPr="00EB79B2">
        <w:rPr>
          <w:rFonts w:cs="Times New Roman" w:eastAsia="Times New Roman"/>
          <w:i/>
          <w:lang w:eastAsia="hr-HR" w:val="de-DE"/>
        </w:rPr>
        <w:t>Narodne</w:t>
      </w:r>
      <w:proofErr w:type="spellEnd"/>
      <w:r w:rsidRPr="00EB79B2">
        <w:rPr>
          <w:rFonts w:cs="Times New Roman" w:eastAsia="Times New Roman"/>
          <w:i/>
          <w:lang w:eastAsia="hr-HR" w:val="de-DE"/>
        </w:rPr>
        <w:t xml:space="preserve"> </w:t>
      </w:r>
      <w:proofErr w:type="spellStart"/>
      <w:r w:rsidRPr="00EB79B2">
        <w:rPr>
          <w:rFonts w:cs="Times New Roman" w:eastAsia="Times New Roman"/>
          <w:i/>
          <w:lang w:eastAsia="hr-HR" w:val="de-DE"/>
        </w:rPr>
        <w:t>novine</w:t>
      </w:r>
      <w:proofErr w:type="spellEnd"/>
      <w:r w:rsidRPr="00EB79B2">
        <w:rPr>
          <w:rFonts w:cs="Times New Roman" w:eastAsia="Times New Roman"/>
          <w:lang w:eastAsia="hr-HR" w:val="de-DE"/>
        </w:rPr>
        <w:t>, br.: 129/00).</w:t>
      </w:r>
    </w:p>
    <w:p w:rsidRDefault="00EB79B2" w:rsidP="00EB79B2" w:rsidR="00EB79B2" w:rsidRPr="00EB79B2">
      <w:pPr>
        <w:spacing w:after="0"/>
        <w:jc w:val="both"/>
        <w:rPr>
          <w:rFonts w:cs="Times New Roman" w:eastAsia="Times New Roman"/>
          <w:lang w:eastAsia="hr-HR" w:val="de-DE"/>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w:t>
      </w:r>
      <w:r w:rsidRPr="00EB79B2">
        <w:rPr>
          <w:rFonts w:cs="Times New Roman" w:eastAsia="Times New Roman"/>
          <w:b/>
          <w:lang w:eastAsia="hr-HR"/>
        </w:rPr>
        <w:t>2.</w:t>
      </w:r>
      <w:r w:rsidRPr="00EB79B2">
        <w:rPr>
          <w:rFonts w:cs="Times New Roman" w:eastAsia="Times New Roman"/>
          <w:lang w:eastAsia="hr-HR"/>
        </w:rPr>
        <w:t xml:space="preserve"> Podneskom, nadnevka: </w:t>
      </w:r>
      <w:r w:rsidRPr="00EB79B2">
        <w:rPr>
          <w:rFonts w:cs="Times New Roman" w:eastAsia="Times New Roman"/>
          <w:i/>
          <w:lang w:eastAsia="hr-HR"/>
        </w:rPr>
        <w:t>Omiš, 27. veljače 2014.g.</w:t>
      </w:r>
      <w:r w:rsidRPr="00EB79B2">
        <w:rPr>
          <w:rFonts w:cs="Times New Roman" w:eastAsia="Times New Roman"/>
          <w:lang w:eastAsia="hr-HR"/>
        </w:rPr>
        <w:t xml:space="preserve">, fizički zaprimljenim u ovom Sudu dana 03. ožujka 2014. godine, Marija Nazor kao bivša članica Uprave kod Dužnika, </w:t>
      </w:r>
      <w:proofErr w:type="spellStart"/>
      <w:r w:rsidRPr="00EB79B2">
        <w:rPr>
          <w:rFonts w:cs="Times New Roman" w:eastAsia="Times New Roman"/>
          <w:lang w:eastAsia="hr-HR"/>
        </w:rPr>
        <w:t>izvjestila</w:t>
      </w:r>
      <w:proofErr w:type="spellEnd"/>
      <w:r w:rsidRPr="00EB79B2">
        <w:rPr>
          <w:rFonts w:cs="Times New Roman" w:eastAsia="Times New Roman"/>
          <w:lang w:eastAsia="hr-HR"/>
        </w:rPr>
        <w:t xml:space="preserve"> je Sud kako bivši stečajni Dužnik ima imovinu koja bi ušla u stečajnu masu i to dionice upisane na računu 787736. kod SREDIŠNJEGA KLIRINŠKOGA DEPOZITARNOG DRUŠTVA, d.d., Zagreb, dionice oznake PBZ-R-A, količine: 101, nominalne vrijednosti</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w:t>
      </w:r>
      <w:r w:rsidRPr="00EB79B2">
        <w:rPr>
          <w:rFonts w:cs="Times New Roman" w:eastAsia="Times New Roman"/>
          <w:b/>
          <w:lang w:eastAsia="hr-HR"/>
        </w:rPr>
        <w:t>- 2 -</w:t>
      </w:r>
      <w:r w:rsidRPr="00EB79B2">
        <w:rPr>
          <w:rFonts w:cs="Times New Roman" w:eastAsia="Times New Roman"/>
          <w:lang w:eastAsia="hr-HR"/>
        </w:rPr>
        <w:t xml:space="preserve">                       </w:t>
      </w:r>
      <w:proofErr w:type="spellStart"/>
      <w:r w:rsidRPr="00EB79B2">
        <w:rPr>
          <w:rFonts w:cs="Times New Roman" w:eastAsia="Times New Roman"/>
          <w:b/>
          <w:lang w:eastAsia="hr-HR" w:val="en-AU"/>
        </w:rPr>
        <w:t>Broj</w:t>
      </w:r>
      <w:proofErr w:type="spellEnd"/>
      <w:r w:rsidRPr="00EB79B2">
        <w:rPr>
          <w:rFonts w:cs="Times New Roman" w:eastAsia="Times New Roman"/>
          <w:b/>
          <w:lang w:eastAsia="hr-HR" w:val="en-AU"/>
        </w:rPr>
        <w:t xml:space="preserve">: 14. </w:t>
      </w:r>
      <w:r w:rsidRPr="00EB79B2">
        <w:rPr>
          <w:rFonts w:cs="Times New Roman" w:eastAsia="Times New Roman"/>
          <w:b/>
          <w:lang w:eastAsia="hr-HR"/>
        </w:rPr>
        <w:t>St-395/2015.</w:t>
      </w:r>
    </w:p>
    <w:p w:rsidRDefault="00EB79B2" w:rsidP="00EB79B2" w:rsidR="00EB79B2" w:rsidRPr="00EB79B2">
      <w:pPr>
        <w:spacing w:after="0"/>
        <w:rPr>
          <w:rFonts w:cs="Times New Roman" w:eastAsia="Times New Roman"/>
          <w:lang w:eastAsia="hr-HR"/>
        </w:rPr>
      </w:pPr>
      <w:r w:rsidRPr="00EB79B2">
        <w:rPr>
          <w:rFonts w:cs="Times New Roman" w:eastAsia="Times New Roman"/>
          <w:bCs/>
          <w:lang w:eastAsia="hr-HR"/>
        </w:rPr>
        <w:t xml:space="preserve">                                                                                                     (Prvotni broj: St-s-4323/01).</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10.100 HRK, tržišne vrijednosti 43.933,99 HRK te je predložila Sudu postupiti sukladno članku 199, stavak 3, Stečajnog zakona (</w:t>
      </w:r>
      <w:r w:rsidRPr="00EB79B2">
        <w:rPr>
          <w:rFonts w:cs="Times New Roman" w:eastAsia="Times New Roman"/>
          <w:i/>
          <w:lang w:eastAsia="hr-HR"/>
        </w:rPr>
        <w:t>Narodne novine</w:t>
      </w:r>
      <w:r w:rsidRPr="00EB79B2">
        <w:rPr>
          <w:rFonts w:cs="Times New Roman" w:eastAsia="Times New Roman"/>
          <w:lang w:eastAsia="hr-HR"/>
        </w:rPr>
        <w:t xml:space="preserve">, br.: 44/96–133/12, dalje: SZ/44/96–133/12) i provesti postupak naknadne diobe. </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ind w:firstLine="708"/>
        <w:jc w:val="both"/>
        <w:rPr>
          <w:rFonts w:cs="Times New Roman" w:eastAsia="Times New Roman"/>
          <w:lang w:eastAsia="hr-HR"/>
        </w:rPr>
      </w:pPr>
      <w:r w:rsidRPr="00EB79B2">
        <w:rPr>
          <w:rFonts w:cs="Times New Roman" w:eastAsia="Times New Roman"/>
          <w:b/>
          <w:lang w:eastAsia="hr-HR"/>
        </w:rPr>
        <w:t>3.</w:t>
      </w:r>
      <w:r w:rsidRPr="00EB79B2">
        <w:rPr>
          <w:rFonts w:cs="Times New Roman" w:eastAsia="Times New Roman"/>
          <w:lang w:eastAsia="hr-HR"/>
        </w:rPr>
        <w:t xml:space="preserve"> Odlučujući o naknadno pronađenoj stečajnoj masi, Sud je Rješenjem od 17. listopada 2016. odredio nastavljanje postupka radi naknadne diobe novopronađene stečajne mase, za stečajnog je upravitelja imenovan Ivan Šteko, </w:t>
      </w:r>
      <w:r w:rsidRPr="00EB79B2">
        <w:rPr>
          <w:rFonts w:cs="Times New Roman" w:eastAsia="Times New Roman"/>
          <w:lang w:eastAsia="hr-HR" w:val="fr-FR"/>
        </w:rPr>
        <w:t>Imotski</w:t>
      </w:r>
      <w:r w:rsidRPr="00EB79B2">
        <w:rPr>
          <w:rFonts w:cs="Times New Roman" w:eastAsia="Times New Roman"/>
          <w:lang w:eastAsia="hr-HR"/>
        </w:rPr>
        <w:t xml:space="preserve">, Kralja Tomislava 8, </w:t>
      </w:r>
      <w:r w:rsidRPr="00EB79B2">
        <w:rPr>
          <w:rFonts w:cs="Times New Roman" w:eastAsia="Times New Roman"/>
          <w:lang w:eastAsia="hr-HR" w:val="fr-FR"/>
        </w:rPr>
        <w:t>OIB</w:t>
      </w:r>
      <w:r w:rsidRPr="00EB79B2">
        <w:rPr>
          <w:rFonts w:cs="Times New Roman" w:eastAsia="Times New Roman"/>
          <w:lang w:eastAsia="hr-HR"/>
        </w:rPr>
        <w:t xml:space="preserve">: 17080810514, </w:t>
      </w:r>
      <w:r w:rsidRPr="00EB79B2">
        <w:rPr>
          <w:rFonts w:cs="Times New Roman" w:eastAsia="Times New Roman"/>
          <w:bCs/>
          <w:lang w:eastAsia="hr-HR"/>
        </w:rPr>
        <w:t>p</w:t>
      </w:r>
      <w:r w:rsidRPr="00EB79B2">
        <w:rPr>
          <w:rFonts w:cs="Times New Roman" w:eastAsia="Times New Roman"/>
          <w:lang w:eastAsia="hr-HR"/>
        </w:rPr>
        <w:t xml:space="preserve">ozvani se vjerovnici viših isplatnih redova, u roku od 30. dana nakon proteka osmog dana od objave ovog Rješenja na mrežnoj stranici e-Oglasna ploča sudova, prijaviti svoje tražbine Stečajnom upravitelju, pozvani su izlučni i </w:t>
      </w:r>
      <w:proofErr w:type="spellStart"/>
      <w:r w:rsidRPr="00EB79B2">
        <w:rPr>
          <w:rFonts w:cs="Times New Roman" w:eastAsia="Times New Roman"/>
          <w:lang w:eastAsia="hr-HR"/>
        </w:rPr>
        <w:t>razlučni</w:t>
      </w:r>
      <w:proofErr w:type="spellEnd"/>
      <w:r w:rsidRPr="00EB79B2">
        <w:rPr>
          <w:rFonts w:cs="Times New Roman" w:eastAsia="Times New Roman"/>
          <w:lang w:eastAsia="hr-HR"/>
        </w:rPr>
        <w:t xml:space="preserve"> vjerovnici, u roku od 30. dana nakon proteka osmog dana od objave ovog Rješenja na mrežnoj stranici e-Oglasna ploča sudova, obavijestiti Stečajnog upravitelja o svojim pravima na imovini Dužnika te je zakazano Ispitno i Izvještajno ročište, koje je 06. prosinca 2016. godine i održano te ispitana jedina prijavljena tražbina vjerovnika RH – Ministarstva financija. </w:t>
      </w:r>
      <w:r w:rsidRPr="00EB79B2">
        <w:rPr>
          <w:rFonts w:cs="Times New Roman" w:eastAsia="Times New Roman"/>
          <w:bCs/>
          <w:lang w:eastAsia="hr-HR"/>
        </w:rPr>
        <w:t>Ujedno je S</w:t>
      </w:r>
      <w:r w:rsidRPr="00EB79B2">
        <w:rPr>
          <w:rFonts w:cs="Times New Roman" w:eastAsia="Times New Roman"/>
          <w:lang w:eastAsia="hr-HR"/>
        </w:rPr>
        <w:t>tečajna masa upisana u sudski registar, nakon čega je Stečajni upravitelj unovčio imovinu Dužnika i podneskom dostavljenim Sudu faksom 06. ožujka 2017. je predložio Sudu razdiobu unovčene stečajne mase, čemu je Sud udovoljio i riješio kao u izrijeci ovog Rješenja.</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ind w:firstLine="708"/>
        <w:jc w:val="both"/>
        <w:rPr>
          <w:rFonts w:cs="Times New Roman" w:eastAsia="Times New Roman"/>
          <w:lang w:eastAsia="hr-HR"/>
        </w:rPr>
      </w:pPr>
      <w:r w:rsidRPr="00EB79B2">
        <w:rPr>
          <w:rFonts w:cs="Times New Roman" w:eastAsia="Times New Roman"/>
          <w:b/>
          <w:lang w:eastAsia="hr-HR"/>
        </w:rPr>
        <w:t>4.</w:t>
      </w:r>
      <w:r w:rsidRPr="00EB79B2">
        <w:rPr>
          <w:rFonts w:cs="Times New Roman" w:eastAsia="Times New Roman"/>
          <w:lang w:eastAsia="hr-HR"/>
        </w:rPr>
        <w:t xml:space="preserve"> Naime, člancima 282 – 285, u vezi sa člankom 133, stavkom 6. a u vezi sa stavkom 5. i u vezi sa člankom 132. i 441, stavak 2, Stečajnog zakona (</w:t>
      </w:r>
      <w:r w:rsidRPr="00EB79B2">
        <w:rPr>
          <w:rFonts w:cs="Times New Roman" w:eastAsia="Times New Roman"/>
          <w:i/>
          <w:lang w:eastAsia="hr-HR"/>
        </w:rPr>
        <w:t>Narodne novine</w:t>
      </w:r>
      <w:r w:rsidRPr="00EB79B2">
        <w:rPr>
          <w:rFonts w:cs="Times New Roman" w:eastAsia="Times New Roman"/>
          <w:lang w:eastAsia="hr-HR"/>
        </w:rPr>
        <w:t xml:space="preserve">, br.: 71/15, dalje: SZ), propisano je kako se završnoj diobi pristupa čim se okonča unovčenje stečajne mase te kako se završna dioba smije poduzeti samo uz suglasnost suda. Sukladno navedenoj odredbi članka 282, SZ, Sud je riješio kao u izrijeci ovog Rješenja. Sud ističe kako nije </w:t>
      </w:r>
      <w:proofErr w:type="spellStart"/>
      <w:r w:rsidRPr="00EB79B2">
        <w:rPr>
          <w:rFonts w:cs="Times New Roman" w:eastAsia="Times New Roman"/>
          <w:lang w:eastAsia="hr-HR"/>
        </w:rPr>
        <w:t>primjenio</w:t>
      </w:r>
      <w:proofErr w:type="spellEnd"/>
      <w:r w:rsidRPr="00EB79B2">
        <w:rPr>
          <w:rFonts w:cs="Times New Roman" w:eastAsia="Times New Roman"/>
          <w:lang w:eastAsia="hr-HR"/>
        </w:rPr>
        <w:t xml:space="preserve"> odredbu članka 283, SZ te nije odredio završno ročište, jer je to u konkretnom slučaju suvišno i nepotrebno, obzirom kako je utvrđena tražbina samo jednoga jedinog vjerovnika a kojemu se ovim Rješenjem priznate i kamate na utvrđenu tražbinu kao tražbina nižega isplatnog reda a novih naknadno prispjelih tražbina za ispitivanje nema. Također je Stečajni upravitelj predložio višak unovčene stečajne mase isplatiti imatelju/vlasniku udjela u bivšoj pravnoj osobi Dužnika Stečajne mase (NACO, d.o.o., </w:t>
      </w:r>
      <w:proofErr w:type="spellStart"/>
      <w:r w:rsidRPr="00EB79B2">
        <w:rPr>
          <w:rFonts w:cs="Times New Roman" w:eastAsia="Times New Roman"/>
          <w:lang w:eastAsia="hr-HR"/>
        </w:rPr>
        <w:t>Sumpetar</w:t>
      </w:r>
      <w:proofErr w:type="spellEnd"/>
      <w:r w:rsidRPr="00EB79B2">
        <w:rPr>
          <w:rFonts w:cs="Times New Roman" w:eastAsia="Times New Roman"/>
          <w:lang w:eastAsia="hr-HR"/>
        </w:rPr>
        <w:t>), što je utemeljeno na odredbi članka 285, u vezi sa naprijed navedenom odredbom članka 133, stavka 6, SZ. Isplata sukladna ovom Rješenju će se izvršiti nakon pravomoćnosti istog Rješenja, što je utemeljeno na odredbi članka 280, stavka 4, u vezi sa člankom 283, stavka 4. i članka 133, stavaka 6, SZ.</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ind w:firstLine="708"/>
        <w:jc w:val="both"/>
        <w:rPr>
          <w:rFonts w:cs="Times New Roman" w:eastAsia="Times New Roman"/>
          <w:lang w:eastAsia="hr-HR"/>
        </w:rPr>
      </w:pPr>
      <w:r w:rsidRPr="00EB79B2">
        <w:rPr>
          <w:rFonts w:cs="Times New Roman" w:eastAsia="Times New Roman"/>
          <w:b/>
          <w:lang w:eastAsia="hr-HR"/>
        </w:rPr>
        <w:t>5.</w:t>
      </w:r>
      <w:r w:rsidRPr="00EB79B2">
        <w:rPr>
          <w:rFonts w:cs="Times New Roman" w:eastAsia="Times New Roman"/>
          <w:lang w:eastAsia="hr-HR"/>
        </w:rPr>
        <w:t xml:space="preserve"> Sukladno svemu navedenom i temeljem navedenih odredaba SZ, riješeno je kao u izrijeci ovog Rješenja.</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center"/>
        <w:rPr>
          <w:rFonts w:cs="Times New Roman" w:eastAsia="Times New Roman"/>
          <w:lang w:eastAsia="hr-HR"/>
        </w:rPr>
      </w:pPr>
      <w:r w:rsidRPr="00EB79B2">
        <w:rPr>
          <w:rFonts w:cs="Times New Roman" w:eastAsia="Times New Roman"/>
          <w:lang w:eastAsia="hr-HR"/>
        </w:rPr>
        <w:t>Split,  07. ožujka 2017.</w:t>
      </w:r>
    </w:p>
    <w:p w:rsidRDefault="00EB79B2" w:rsidP="00EB79B2" w:rsidR="00EB79B2" w:rsidRPr="00EB79B2">
      <w:pPr>
        <w:spacing w:after="0"/>
        <w:jc w:val="center"/>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STEČAJNI SUDAC:</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Jozo Ćaleta, v.r.,</w:t>
      </w:r>
    </w:p>
    <w:p w:rsidRDefault="00EB79B2" w:rsidP="00EB79B2" w:rsidR="00EB79B2" w:rsidRPr="00EB79B2">
      <w:pPr>
        <w:spacing w:after="0"/>
        <w:rPr>
          <w:rFonts w:cs="Times New Roman" w:eastAsia="Times New Roman"/>
          <w:lang w:eastAsia="hr-HR"/>
        </w:rPr>
      </w:pPr>
    </w:p>
    <w:p w:rsidRDefault="00EB79B2" w:rsidP="00EB79B2" w:rsidR="00EB79B2" w:rsidRPr="00EB79B2">
      <w:pPr>
        <w:spacing w:after="0"/>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u w:val="single"/>
          <w:lang w:eastAsia="hr-HR"/>
        </w:rPr>
        <w:t>Pravna pouka:</w:t>
      </w:r>
      <w:r w:rsidRPr="00EB79B2">
        <w:rPr>
          <w:rFonts w:cs="Times New Roman" w:eastAsia="Times New Roman"/>
          <w:lang w:eastAsia="hr-HR"/>
        </w:rPr>
        <w:t xml:space="preserve"> Protiv ovog Rješenja može se izjaviti žalba u roku od osam (8.) dana, preko ovog Suda na Visoki trgovački sud Republike Hrvatske u Zagrebu.</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w:t>
      </w:r>
      <w:r w:rsidRPr="00EB79B2">
        <w:rPr>
          <w:rFonts w:cs="Times New Roman" w:eastAsia="Times New Roman"/>
          <w:b/>
          <w:lang w:eastAsia="hr-HR"/>
        </w:rPr>
        <w:t>- 3 -</w:t>
      </w:r>
      <w:r w:rsidRPr="00EB79B2">
        <w:rPr>
          <w:rFonts w:cs="Times New Roman" w:eastAsia="Times New Roman"/>
          <w:lang w:eastAsia="hr-HR"/>
        </w:rPr>
        <w:t xml:space="preserve">                       </w:t>
      </w:r>
      <w:proofErr w:type="spellStart"/>
      <w:r w:rsidRPr="00EB79B2">
        <w:rPr>
          <w:rFonts w:cs="Times New Roman" w:eastAsia="Times New Roman"/>
          <w:b/>
          <w:lang w:eastAsia="hr-HR" w:val="en-AU"/>
        </w:rPr>
        <w:t>Broj</w:t>
      </w:r>
      <w:proofErr w:type="spellEnd"/>
      <w:r w:rsidRPr="00EB79B2">
        <w:rPr>
          <w:rFonts w:cs="Times New Roman" w:eastAsia="Times New Roman"/>
          <w:b/>
          <w:lang w:eastAsia="hr-HR" w:val="en-AU"/>
        </w:rPr>
        <w:t xml:space="preserve">: 14. </w:t>
      </w:r>
      <w:r w:rsidRPr="00EB79B2">
        <w:rPr>
          <w:rFonts w:cs="Times New Roman" w:eastAsia="Times New Roman"/>
          <w:b/>
          <w:lang w:eastAsia="hr-HR"/>
        </w:rPr>
        <w:t>St-395/2015.</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bCs/>
          <w:lang w:eastAsia="hr-HR"/>
        </w:rPr>
        <w:t xml:space="preserve">                                                                                                     (Prvotni broj: St-s-4323</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u w:val="single"/>
          <w:lang w:eastAsia="hr-HR"/>
        </w:rPr>
      </w:pPr>
      <w:r w:rsidRPr="00EB79B2">
        <w:rPr>
          <w:rFonts w:cs="Times New Roman" w:eastAsia="Times New Roman"/>
          <w:u w:val="single"/>
          <w:lang w:eastAsia="hr-HR"/>
        </w:rPr>
        <w:t>DNA:</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1)    Stečajni upravitelj: Ivan Šteko, </w:t>
      </w:r>
      <w:r w:rsidRPr="00EB79B2">
        <w:rPr>
          <w:rFonts w:cs="Times New Roman" w:eastAsia="Times New Roman"/>
          <w:lang w:eastAsia="hr-HR" w:val="fr-FR"/>
        </w:rPr>
        <w:t>Imotski</w:t>
      </w:r>
      <w:r w:rsidRPr="00EB79B2">
        <w:rPr>
          <w:rFonts w:cs="Times New Roman" w:eastAsia="Times New Roman"/>
          <w:lang w:eastAsia="hr-HR"/>
        </w:rPr>
        <w:t>, Kralja Tomislava 8,</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2)    ŽDO u Splitu, Građansko upravni odjel, Split, I. Gundulića 29A, osobno,</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3)    e-Oglasna ploča Suda-rok: 20. dana,</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4)    Spis,</w:t>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Split, 07. ožujka 2017.                                                   </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ab/>
      </w:r>
      <w:r w:rsidRPr="00EB79B2">
        <w:rPr>
          <w:rFonts w:cs="Times New Roman" w:eastAsia="Times New Roman"/>
          <w:lang w:eastAsia="hr-HR"/>
        </w:rPr>
        <w:tab/>
      </w:r>
      <w:r w:rsidRPr="00EB79B2">
        <w:rPr>
          <w:rFonts w:cs="Times New Roman" w:eastAsia="Times New Roman"/>
          <w:lang w:eastAsia="hr-HR"/>
        </w:rPr>
        <w:tab/>
        <w:t xml:space="preserve">                                                  S U D A C:</w:t>
      </w:r>
    </w:p>
    <w:p w:rsidRDefault="00EB79B2" w:rsidP="00EB79B2" w:rsidR="00EB79B2" w:rsidRPr="00EB79B2">
      <w:pPr>
        <w:spacing w:after="0"/>
        <w:jc w:val="both"/>
        <w:rPr>
          <w:rFonts w:cs="Times New Roman" w:eastAsia="Times New Roman"/>
          <w:lang w:eastAsia="hr-HR"/>
        </w:rPr>
      </w:pPr>
      <w:r w:rsidRPr="00EB79B2">
        <w:rPr>
          <w:rFonts w:cs="Times New Roman" w:eastAsia="Times New Roman"/>
          <w:lang w:eastAsia="hr-HR"/>
        </w:rPr>
        <w:t xml:space="preserve">                                                                                      Jozo Ćaleta,</w:t>
      </w:r>
      <w:r w:rsidRPr="00EB79B2">
        <w:rPr>
          <w:rFonts w:cs="Times New Roman" w:eastAsia="Times New Roman"/>
          <w:lang w:eastAsia="hr-HR"/>
        </w:rPr>
        <w:tab/>
      </w: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B79B2" w:rsidP="00EB79B2" w:rsidR="00EB79B2" w:rsidRPr="00EB79B2">
      <w:pPr>
        <w:spacing w:after="0"/>
        <w:jc w:val="both"/>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9B2"/>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90889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St-395/2015-23</izvorni_sadrzaj>
    <derivirana_varijabla naziv="DomainObject.Oznaka_1">St-395/2015-23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Otvoren iz St-s-4323/2001 po prijedlogu za nastavak postupka radi naknade diobe</izvorni_sadrzaj>
    <derivirana_varijabla naziv="DomainObject.Predmet.Opis_1">Otvoren iz St-s-4323/2001 po prijedlogu za nastavak postupka radi naknade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NACO, d.o.o. za pomorski promet, turizam i ribarstvo</izvorni_sadrzaj>
    <derivirana_varijabla naziv="DomainObject.Predmet.ProtustrankaFormated_1">  NACO, d.o.o. za pomorski promet, turizam i ribarstvo</derivirana_varijabla>
  </DomainObject.Predmet.ProtustrankaFormated>
  <DomainObject.Predmet.ProtustrankaFormatedOIB>
    <izvorni_sadrzaj>  NACO, d.o.o. za pomorski promet, turizam i ribarstvo, OIB 00000000001</izvorni_sadrzaj>
    <derivirana_varijabla naziv="DomainObject.Predmet.ProtustrankaFormatedOIB_1">  NACO, d.o.o. za pomorski promet, turizam i ribarstvo, OIB 00000000001</derivirana_varijabla>
  </DomainObject.Predmet.ProtustrankaFormatedOIB>
  <DomainObject.Predmet.ProtustrankaFormatedWithAdress>
    <izvorni_sadrzaj> NACO, d.o.o. za pomorski promet, turizam i ribarstvo, Sumpetar 1 - Sumpetar, 21315 Jesenice</izvorni_sadrzaj>
    <derivirana_varijabla naziv="DomainObject.Predmet.ProtustrankaFormatedWithAdress_1"> NACO, d.o.o. za pomorski promet, turizam i ribarstvo, Sumpetar 1 - Sumpetar, 21315 Jesenice</derivirana_varijabla>
  </DomainObject.Predmet.ProtustrankaFormatedWithAdress>
  <DomainObject.Predmet.ProtustrankaFormatedWithAdressOIB>
    <izvorni_sadrzaj> NACO, d.o.o. za pomorski promet, turizam i ribarstvo, OIB 00000000001, Sumpetar 1 - Sumpetar, 21315 Jesenice</izvorni_sadrzaj>
    <derivirana_varijabla naziv="DomainObject.Predmet.ProtustrankaFormatedWithAdressOIB_1"> NACO, d.o.o. za pomorski promet, turizam i ribarstvo, OIB 00000000001, Sumpetar 1 - Sumpetar, 21315 Jesenice</derivirana_varijabla>
  </DomainObject.Predmet.ProtustrankaFormatedWithAdressOIB>
  <DomainObject.Predmet.ProtustrankaWithAdress>
    <izvorni_sadrzaj>NACO, d.o.o. za pomorski promet, turizam i ribarstvo Sumpetar 1 - Sumpetar, 21315 Jesenice</izvorni_sadrzaj>
    <derivirana_varijabla naziv="DomainObject.Predmet.ProtustrankaWithAdress_1">NACO, d.o.o. za pomorski promet, turizam i ribarstvo Sumpetar 1 - Sumpetar, 21315 Jesenice</derivirana_varijabla>
  </DomainObject.Predmet.ProtustrankaWithAdress>
  <DomainObject.Predmet.ProtustrankaWithAdressOIB>
    <izvorni_sadrzaj>NACO, d.o.o. za pomorski promet, turizam i ribarstvo, OIB 00000000001, Sumpetar 1 - Sumpetar, 21315 Jesenice</izvorni_sadrzaj>
    <derivirana_varijabla naziv="DomainObject.Predmet.ProtustrankaWithAdressOIB_1">NACO, d.o.o. za pomorski promet, turizam i ribarstvo, OIB 00000000001, Sumpetar 1 - Sumpetar, 21315 Jesenice</derivirana_varijabla>
  </DomainObject.Predmet.ProtustrankaWithAdressOIB>
  <DomainObject.Predmet.ProtustrankaNazivFormated>
    <izvorni_sadrzaj>NACO, d.o.o. za pomorski promet, turizam i ribarstvo</izvorni_sadrzaj>
    <derivirana_varijabla naziv="DomainObject.Predmet.ProtustrankaNazivFormated_1">NACO, d.o.o. za pomorski promet, turizam i ribarstvo</derivirana_varijabla>
  </DomainObject.Predmet.ProtustrankaNazivFormated>
  <DomainObject.Predmet.ProtustrankaNazivFormatedOIB>
    <izvorni_sadrzaj>NACO, d.o.o. za pomorski promet, turizam i ribarstvo, OIB 00000000001</izvorni_sadrzaj>
    <derivirana_varijabla naziv="DomainObject.Predmet.ProtustrankaNazivFormatedOIB_1">NACO, d.o.o. za pomorski promet, turizam i ribarstvo,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Nazor</izvorni_sadrzaj>
    <derivirana_varijabla naziv="DomainObject.Predmet.StrankaFormated_1">  Marija Nazor</derivirana_varijabla>
  </DomainObject.Predmet.StrankaFormated>
  <DomainObject.Predmet.StrankaFormatedOIB>
    <izvorni_sadrzaj>  Marija Nazor, OIB 40807075205</izvorni_sadrzaj>
    <derivirana_varijabla naziv="DomainObject.Predmet.StrankaFormatedOIB_1">  Marija Nazor, OIB 40807075205</derivirana_varijabla>
  </DomainObject.Predmet.StrankaFormatedOIB>
  <DomainObject.Predmet.StrankaFormatedWithAdress>
    <izvorni_sadrzaj> Marija Nazor, Poljička Cesta-Sumpetar 1, 21315 Jesenice</izvorni_sadrzaj>
    <derivirana_varijabla naziv="DomainObject.Predmet.StrankaFormatedWithAdress_1"> Marija Nazor, Poljička Cesta-Sumpetar 1, 21315 Jesenice</derivirana_varijabla>
  </DomainObject.Predmet.StrankaFormatedWithAdress>
  <DomainObject.Predmet.StrankaFormatedWithAdressOIB>
    <izvorni_sadrzaj> Marija Nazor, OIB 40807075205, Poljička Cesta-Sumpetar 1, 21315 Jesenice</izvorni_sadrzaj>
    <derivirana_varijabla naziv="DomainObject.Predmet.StrankaFormatedWithAdressOIB_1"> Marija Nazor, OIB 40807075205, Poljička Cesta-Sumpetar 1, 21315 Jesenice</derivirana_varijabla>
  </DomainObject.Predmet.StrankaFormatedWithAdressOIB>
  <DomainObject.Predmet.StrankaWithAdress>
    <izvorni_sadrzaj>Marija Nazor Poljička Cesta-Sumpetar 1,21315 Jesenice</izvorni_sadrzaj>
    <derivirana_varijabla naziv="DomainObject.Predmet.StrankaWithAdress_1">Marija Nazor Poljička Cesta-Sumpetar 1,21315 Jesenice</derivirana_varijabla>
  </DomainObject.Predmet.StrankaWithAdress>
  <DomainObject.Predmet.StrankaWithAdressOIB>
    <izvorni_sadrzaj>Marija Nazor, OIB 40807075205, Poljička Cesta-Sumpetar 1,21315 Jesenice</izvorni_sadrzaj>
    <derivirana_varijabla naziv="DomainObject.Predmet.StrankaWithAdressOIB_1">Marija Nazor, OIB 40807075205, Poljička Cesta-Sumpetar 1,21315 Jesenice</derivirana_varijabla>
  </DomainObject.Predmet.StrankaWithAdressOIB>
  <DomainObject.Predmet.StrankaNazivFormated>
    <izvorni_sadrzaj>Marija Nazor</izvorni_sadrzaj>
    <derivirana_varijabla naziv="DomainObject.Predmet.StrankaNazivFormated_1">Marija Nazor</derivirana_varijabla>
  </DomainObject.Predmet.StrankaNazivFormated>
  <DomainObject.Predmet.StrankaNazivFormatedOIB>
    <izvorni_sadrzaj>Marija Nazor, OIB 40807075205</izvorni_sadrzaj>
    <derivirana_varijabla naziv="DomainObject.Predmet.StrankaNazivFormatedOIB_1">Marija Nazor, OIB 40807075205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Marija Nazor</item>
    </izvorni_sadrzaj>
    <derivirana_varijabla naziv="DomainObject.Predmet.StrankaListFormated_1">
      <item>Marija Nazor</item>
    </derivirana_varijabla>
  </DomainObject.Predmet.StrankaListFormated>
  <DomainObject.Predmet.StrankaListFormatedOIB>
    <izvorni_sadrzaj>
      <item>Marija Nazor, OIB 40807075205</item>
    </izvorni_sadrzaj>
    <derivirana_varijabla naziv="DomainObject.Predmet.StrankaListFormatedOIB_1">
      <item>Marija Nazor, OIB 40807075205</item>
    </derivirana_varijabla>
  </DomainObject.Predmet.StrankaListFormatedOIB>
  <DomainObject.Predmet.StrankaListFormatedWithAdress>
    <izvorni_sadrzaj>
      <item>Marija Nazor, Poljička Cesta-Sumpetar 1, 21315 Jesenice</item>
    </izvorni_sadrzaj>
    <derivirana_varijabla naziv="DomainObject.Predmet.StrankaListFormatedWithAdress_1">
      <item>Marija Nazor, Poljička Cesta-Sumpetar 1, 21315 Jesenice</item>
    </derivirana_varijabla>
  </DomainObject.Predmet.StrankaListFormatedWithAdress>
  <DomainObject.Predmet.StrankaListFormatedWithAdressOIB>
    <izvorni_sadrzaj>
      <item>Marija Nazor, OIB 40807075205, Poljička Cesta-Sumpetar 1, 21315 Jesenice</item>
    </izvorni_sadrzaj>
    <derivirana_varijabla naziv="DomainObject.Predmet.StrankaListFormatedWithAdressOIB_1">
      <item>Marija Nazor, OIB 40807075205, Poljička Cesta-Sumpetar 1, 21315 Jesenice</item>
    </derivirana_varijabla>
  </DomainObject.Predmet.StrankaListFormatedWithAdressOIB>
  <DomainObject.Predmet.StrankaListNazivFormated>
    <izvorni_sadrzaj>
      <item>Marija Nazor</item>
    </izvorni_sadrzaj>
    <derivirana_varijabla naziv="DomainObject.Predmet.StrankaListNazivFormated_1">
      <item>Marija Nazor</item>
    </derivirana_varijabla>
  </DomainObject.Predmet.StrankaListNazivFormated>
  <DomainObject.Predmet.StrankaListNazivFormatedOIB>
    <izvorni_sadrzaj>
      <item>Marija Nazor, OIB 40807075205</item>
    </izvorni_sadrzaj>
    <derivirana_varijabla naziv="DomainObject.Predmet.StrankaListNazivFormatedOIB_1">
      <item>Marija Nazor, OIB 40807075205</item>
    </derivirana_varijabla>
  </DomainObject.Predmet.StrankaListNazivFormatedOIB>
  <DomainObject.Predmet.ProtuStrankaListFormated>
    <izvorni_sadrzaj>
      <item>NACO, d.o.o. za pomorski promet, turizam i ribarstvo</item>
    </izvorni_sadrzaj>
    <derivirana_varijabla naziv="DomainObject.Predmet.ProtuStrankaListFormated_1">
      <item>NACO, d.o.o. za pomorski promet, turizam i ribarstvo</item>
    </derivirana_varijabla>
  </DomainObject.Predmet.ProtuStrankaListFormated>
  <DomainObject.Predmet.ProtuStrankaListFormatedOIB>
    <izvorni_sadrzaj>
      <item>NACO, d.o.o. za pomorski promet, turizam i ribarstvo, OIB 00000000001</item>
    </izvorni_sadrzaj>
    <derivirana_varijabla naziv="DomainObject.Predmet.ProtuStrankaListFormatedOIB_1">
      <item>NACO, d.o.o. za pomorski promet, turizam i ribarstvo, OIB 00000000001</item>
    </derivirana_varijabla>
  </DomainObject.Predmet.ProtuStrankaListFormatedOIB>
  <DomainObject.Predmet.ProtuStrankaListFormatedWithAdress>
    <izvorni_sadrzaj>
      <item>NACO, d.o.o. za pomorski promet, turizam i ribarstvo, Sumpetar 1 - Sumpetar, 21315 Jesenice</item>
    </izvorni_sadrzaj>
    <derivirana_varijabla naziv="DomainObject.Predmet.ProtuStrankaListFormatedWithAdress_1">
      <item>NACO, d.o.o. za pomorski promet, turizam i ribarstvo, Sumpetar 1 - Sumpetar, 21315 Jesenice</item>
    </derivirana_varijabla>
  </DomainObject.Predmet.ProtuStrankaListFormatedWithAdress>
  <DomainObject.Predmet.ProtuStrankaListFormatedWithAdressOIB>
    <izvorni_sadrzaj>
      <item>NACO, d.o.o. za pomorski promet, turizam i ribarstvo, OIB 00000000001, Sumpetar 1 - Sumpetar, 21315 Jesenice</item>
    </izvorni_sadrzaj>
    <derivirana_varijabla naziv="DomainObject.Predmet.ProtuStrankaListFormatedWithAdressOIB_1">
      <item>NACO, d.o.o. za pomorski promet, turizam i ribarstvo, OIB 00000000001, Sumpetar 1 - Sumpetar, 21315 Jesenice</item>
    </derivirana_varijabla>
  </DomainObject.Predmet.ProtuStrankaListFormatedWithAdressOIB>
  <DomainObject.Predmet.ProtuStrankaListNazivFormated>
    <izvorni_sadrzaj>
      <item>NACO, d.o.o. za pomorski promet, turizam i ribarstvo</item>
    </izvorni_sadrzaj>
    <derivirana_varijabla naziv="DomainObject.Predmet.ProtuStrankaListNazivFormated_1">
      <item>NACO, d.o.o. za pomorski promet, turizam i ribarstvo</item>
    </derivirana_varijabla>
  </DomainObject.Predmet.ProtuStrankaListNazivFormated>
  <DomainObject.Predmet.ProtuStrankaListNazivFormatedOIB>
    <izvorni_sadrzaj>
      <item>NACO, d.o.o. za pomorski promet, turizam i ribarstvo, OIB 00000000001</item>
    </izvorni_sadrzaj>
    <derivirana_varijabla naziv="DomainObject.Predmet.ProtuStrankaListNazivFormatedOIB_1">
      <item>NACO, d.o.o. za pomorski promet, turizam i ribarstvo, OIB 00000000001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St-395/2015-23</izvorni_sadrzaj>
    <derivirana_varijabla naziv="DomainObject.PoslovniBrojDokumenta_1">St-395/2015-23</derivirana_varijabla>
  </DomainObject.PoslovniBrojDokumenta>
  <DomainObject.Predmet.StrankaIDrugi>
    <izvorni_sadrzaj>Marija Nazor</izvorni_sadrzaj>
    <derivirana_varijabla naziv="DomainObject.Predmet.StrankaIDrugi_1">Marija Nazor</derivirana_varijabla>
  </DomainObject.Predmet.StrankaIDrugi>
  <DomainObject.Predmet.ProtustrankaIDrugi>
    <izvorni_sadrzaj>NACO, d.o.o. za pomorski promet, turizam i ribarstvo</izvorni_sadrzaj>
    <derivirana_varijabla naziv="DomainObject.Predmet.ProtustrankaIDrugi_1">NACO, d.o.o. za pomorski promet, turizam i ribarstvo</derivirana_varijabla>
  </DomainObject.Predmet.ProtustrankaIDrugi>
  <DomainObject.Predmet.StrankaIDrugiAdressOIB>
    <izvorni_sadrzaj>Marija Nazor, OIB 40807075205, Poljička Cesta-Sumpetar 1, 21315 Jesenice</izvorni_sadrzaj>
    <derivirana_varijabla naziv="DomainObject.Predmet.StrankaIDrugiAdressOIB_1">Marija Nazor, OIB 40807075205, Poljička Cesta-Sumpetar 1, 21315 Jesenice</derivirana_varijabla>
  </DomainObject.Predmet.StrankaIDrugiAdressOIB>
  <DomainObject.Predmet.ProtustrankaIDrugiAdressOIB>
    <izvorni_sadrzaj>NACO, d.o.o. za pomorski promet, turizam i ribarstvo, OIB 00000000001, Sumpetar 1 - Sumpetar, 21315 Jesenice</izvorni_sadrzaj>
    <derivirana_varijabla naziv="DomainObject.Predmet.ProtustrankaIDrugiAdressOIB_1">NACO, d.o.o. za pomorski promet, turizam i ribarstvo, OIB 00000000001, Sumpetar 1 - Sumpetar, 21315 Jesenice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Nazor</item>
      <item>NACO, d.o.o. za pomorski promet, turizam i ribarstvo</item>
    </izvorni_sadrzaj>
    <derivirana_varijabla naziv="DomainObject.Predmet.SudioniciListNaziv_1">
      <item>Marija Nazor</item>
      <item>NACO, d.o.o. za pomorski promet, turizam i ribarstvo</item>
    </derivirana_varijabla>
  </DomainObject.Predmet.SudioniciListNaziv>
  <DomainObject.Predmet.SudioniciListAdressOIB>
    <izvorni_sadrzaj>
      <item>Marija Nazor, OIB 40807075205, Poljička Cesta-Sumpetar 1,21315 Jesenice</item>
      <item>NACO, d.o.o. za pomorski promet, turizam i ribarstvo, OIB 00000000001, Sumpetar 1 - Sumpetar,21315 Jesenice</item>
    </izvorni_sadrzaj>
    <derivirana_varijabla naziv="DomainObject.Predmet.SudioniciListAdressOIB_1">
      <item>Marija Nazor, OIB 40807075205, Poljička Cesta-Sumpetar 1,21315 Jesenice</item>
      <item>NACO, d.o.o. za pomorski promet, turizam i ribarstvo, OIB 00000000001, Sumpetar 1 - Sumpetar,21315 Jesenice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754949-15CB-48FE-B7EF-C338723BE2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863</properties:Words>
  <properties:Characters>4691</properties:Characters>
  <properties:Lines>125</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2017-03-07T11:52:00Z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St-395/2015-23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