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4eccf" w14:paraId="304eccf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</w:t>
      </w:r>
      <w:r w:rsidR="009E1FF0">
        <w:rPr>
          <w:rFonts w:eastAsia="Times New Roman" w:hAnsi="Times New Roman" w:ascii="Times New Roman"/>
          <w:bCs/>
          <w:color w:val="000000"/>
          <w:lang w:eastAsia="hr-HR"/>
        </w:rPr>
        <w:t>-</w:t>
      </w:r>
      <w:r w:rsidR="00D44D7B">
        <w:rPr>
          <w:rFonts w:eastAsia="Times New Roman" w:hAnsi="Times New Roman" w:ascii="Times New Roman"/>
          <w:bCs/>
          <w:color w:val="000000"/>
          <w:lang w:eastAsia="hr-HR"/>
        </w:rPr>
        <w:t>1013/15-16</w:t>
      </w: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9F1DD4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9A5E2A" w:rsidRPr="009A5E2A">
        <w:rPr>
          <w:rFonts w:eastAsia="Times New Roman" w:hAnsi="Times New Roman" w:ascii="Times New Roman"/>
          <w:bCs/>
          <w:color w:val="000000"/>
          <w:lang w:eastAsia="hr-HR"/>
        </w:rPr>
        <w:t>Trg hrvatskih branitelja 1/II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D44D7B" w:rsidP="00476A7E" w:rsid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D44D7B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 u Karlovcu, po sucu Vesni Fundurulić Perišin, u stečajnom postupku nad stečajnim dužnikom PREDRAG BAU d.o.o. u stečaju, Zagreb, Ivanićgradska ulica 75, OIB:57620665038, 9. studenog 2018.,</w:t>
      </w:r>
    </w:p>
    <w:p w:rsidRDefault="00D44D7B" w:rsidP="00476A7E" w:rsidR="00D44D7B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815583" w:rsidP="00E6705C" w:rsidR="00815583">
      <w:pPr>
        <w:jc w:val="both"/>
        <w:rPr>
          <w:rFonts w:hAnsi="Times New Roman" w:ascii="Times New Roman"/>
        </w:rPr>
      </w:pPr>
    </w:p>
    <w:p w:rsidRDefault="002E65D0" w:rsidP="00E6705C" w:rsidR="002E65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1.Obustavlja se i zaključuje stečajni postupak nad dužnikom </w:t>
      </w:r>
      <w:r w:rsidR="00D44D7B" w:rsidRPr="00D44D7B">
        <w:rPr>
          <w:rFonts w:hAnsi="Times New Roman" w:ascii="Times New Roman"/>
        </w:rPr>
        <w:t>PREDRAG BAU d.o.o. u stečaju, Zagreb, Ivanićgradska ulica 75, OIB:57620665038</w:t>
      </w:r>
      <w:r>
        <w:rPr>
          <w:rFonts w:hAnsi="Times New Roman" w:ascii="Times New Roman"/>
        </w:rPr>
        <w:t>, zbog nedostatnosti stečajne mase za namirenje troškova stečajnog postupka.</w:t>
      </w:r>
    </w:p>
    <w:p w:rsidRDefault="002E65D0" w:rsidP="00E6705C" w:rsidR="002E65D0">
      <w:pPr>
        <w:jc w:val="both"/>
        <w:rPr>
          <w:rFonts w:hAnsi="Times New Roman" w:ascii="Times New Roman"/>
        </w:rPr>
      </w:pP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2.Ovo rješenje će se objaviti na mrežnoj stranici e-Oglasna ploča Trgovačkog suda u Zagrebu i nakon pravomoćnosti dostaviti registru ovog suda radi brisanja dužnika iz istog.</w:t>
      </w: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3.Stečajni upravitelj će i nakon obustave i zaključenja stečajnog postupka u ime stečajnog dužnika, a za račun stečajne mase nastaviti s unovčenjem eventualno naknadno pronađene imovine dužnika i s ostvarenim sredstvima postupiti prema odredbi iz čl. 133. st. 1. Stečajnog zakona. </w:t>
      </w:r>
    </w:p>
    <w:p w:rsidRDefault="002E65D0" w:rsidP="00E6705C" w:rsidR="002E65D0">
      <w:pPr>
        <w:jc w:val="both"/>
        <w:rPr>
          <w:rFonts w:hAnsi="Times New Roman" w:ascii="Times New Roman"/>
        </w:rPr>
      </w:pPr>
    </w:p>
    <w:p w:rsidRDefault="009D5E53" w:rsidP="00FF3075" w:rsidR="003B11E8">
      <w:pPr>
        <w:jc w:val="center"/>
        <w:rPr>
          <w:rFonts w:eastAsia="Times New Roman" w:hAnsi="Times New Roman" w:ascii="Times New Roman"/>
          <w:color w:val="000000"/>
        </w:rPr>
      </w:pPr>
      <w:r w:rsidRPr="00837827">
        <w:rPr>
          <w:rFonts w:eastAsia="Times New Roman" w:hAnsi="Times New Roman" w:ascii="Times New Roman"/>
          <w:color w:val="000000"/>
        </w:rPr>
        <w:t>Obrazloženje</w:t>
      </w:r>
    </w:p>
    <w:p w:rsidRDefault="009D5E53" w:rsidP="009D5E53" w:rsidR="00FF3075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</w:r>
    </w:p>
    <w:p w:rsidRDefault="00FF3075" w:rsidP="009D5E53" w:rsidR="00FF3075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Rješenjem ovog suda poslovni broj gornji od </w:t>
      </w:r>
      <w:r w:rsidR="00D44D7B">
        <w:rPr>
          <w:rFonts w:eastAsia="Times New Roman" w:hAnsi="Times New Roman" w:ascii="Times New Roman"/>
          <w:color w:val="000000"/>
        </w:rPr>
        <w:t>2. veljače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D44D7B">
        <w:rPr>
          <w:rFonts w:eastAsia="Times New Roman" w:hAnsi="Times New Roman" w:ascii="Times New Roman"/>
          <w:color w:val="000000"/>
        </w:rPr>
        <w:t>6</w:t>
      </w:r>
      <w:r>
        <w:rPr>
          <w:rFonts w:eastAsia="Times New Roman" w:hAnsi="Times New Roman" w:ascii="Times New Roman"/>
          <w:color w:val="000000"/>
        </w:rPr>
        <w:t xml:space="preserve">. otvoren je stečajni postupak nad stečajnim dužnikom </w:t>
      </w:r>
      <w:r w:rsidR="00D44D7B" w:rsidRPr="00D44D7B">
        <w:rPr>
          <w:rFonts w:eastAsia="Times New Roman" w:hAnsi="Times New Roman" w:ascii="Times New Roman"/>
          <w:color w:val="000000"/>
        </w:rPr>
        <w:t>PREDRAG BAU d.o.o. u stečaju, Zagreb, Ivanićgradska ulica 75, OIB:57620665038</w:t>
      </w:r>
      <w:r>
        <w:rPr>
          <w:rFonts w:eastAsia="Times New Roman" w:hAnsi="Times New Roman" w:ascii="Times New Roman"/>
          <w:color w:val="000000"/>
        </w:rPr>
        <w:t>.</w:t>
      </w:r>
    </w:p>
    <w:p w:rsidRDefault="00FF3075" w:rsidP="009D5E53" w:rsidR="00FF3075">
      <w:pPr>
        <w:jc w:val="both"/>
        <w:rPr>
          <w:rFonts w:eastAsia="Times New Roman" w:hAnsi="Times New Roman" w:ascii="Times New Roman"/>
          <w:color w:val="000000"/>
        </w:rPr>
      </w:pPr>
    </w:p>
    <w:p w:rsidRDefault="00FF3075" w:rsidP="009D5E53" w:rsidR="00890155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Stečajni upravitelj </w:t>
      </w:r>
      <w:r w:rsidR="00890155">
        <w:rPr>
          <w:rFonts w:eastAsia="Times New Roman" w:hAnsi="Times New Roman" w:ascii="Times New Roman"/>
          <w:color w:val="000000"/>
        </w:rPr>
        <w:t xml:space="preserve">je </w:t>
      </w:r>
      <w:r>
        <w:rPr>
          <w:rFonts w:eastAsia="Times New Roman" w:hAnsi="Times New Roman" w:ascii="Times New Roman"/>
          <w:color w:val="000000"/>
        </w:rPr>
        <w:t>u izviješću nav</w:t>
      </w:r>
      <w:r w:rsidR="00890155">
        <w:rPr>
          <w:rFonts w:eastAsia="Times New Roman" w:hAnsi="Times New Roman" w:ascii="Times New Roman"/>
          <w:color w:val="000000"/>
        </w:rPr>
        <w:t>eo</w:t>
      </w:r>
      <w:r>
        <w:rPr>
          <w:rFonts w:eastAsia="Times New Roman" w:hAnsi="Times New Roman" w:ascii="Times New Roman"/>
          <w:color w:val="000000"/>
        </w:rPr>
        <w:t xml:space="preserve"> da dužnik nema imovine kojim bi se podmirili dospjeli i budući troškovi stečajnog postupka, te predlaže da Skupština na izvještajnom ročištu donese odluku kojom prihvaća njegov prijedlog za donošenje rješenja o obustavi i zaključenju stečajnog postupka zbog nedostatnosti stečajne mase za pokriće troškova postupka i ostalih obveza stečajne mase sukladno čl. 293. </w:t>
      </w:r>
      <w:r w:rsidRPr="00FF3075">
        <w:rPr>
          <w:rFonts w:eastAsia="Times New Roman" w:hAnsi="Times New Roman" w:ascii="Times New Roman"/>
          <w:color w:val="000000"/>
        </w:rPr>
        <w:t>Stečajnog zakona ("Narodne novine" broj 71/15</w:t>
      </w:r>
      <w:r w:rsidR="00890155">
        <w:rPr>
          <w:rFonts w:eastAsia="Times New Roman" w:hAnsi="Times New Roman" w:ascii="Times New Roman"/>
          <w:color w:val="000000"/>
        </w:rPr>
        <w:t xml:space="preserve"> - dalje SZ).</w:t>
      </w:r>
    </w:p>
    <w:p w:rsidRDefault="00890155" w:rsidP="009D5E53" w:rsidR="00890155">
      <w:pPr>
        <w:jc w:val="both"/>
        <w:rPr>
          <w:rFonts w:eastAsia="Times New Roman" w:hAnsi="Times New Roman" w:ascii="Times New Roman"/>
          <w:color w:val="000000"/>
        </w:rPr>
      </w:pPr>
    </w:p>
    <w:p w:rsidRDefault="00FF3075" w:rsidP="009D5E53" w:rsidR="00FF3075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Skupštini  vjerovnika - izvještajnom ročištu održanom </w:t>
      </w:r>
      <w:r w:rsidR="00B935C6">
        <w:rPr>
          <w:rFonts w:eastAsia="Times New Roman" w:hAnsi="Times New Roman" w:ascii="Times New Roman"/>
          <w:color w:val="000000"/>
        </w:rPr>
        <w:t>14. travnja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B935C6">
        <w:rPr>
          <w:rFonts w:eastAsia="Times New Roman" w:hAnsi="Times New Roman" w:ascii="Times New Roman"/>
          <w:color w:val="000000"/>
        </w:rPr>
        <w:t>6</w:t>
      </w:r>
      <w:r>
        <w:rPr>
          <w:rFonts w:eastAsia="Times New Roman" w:hAnsi="Times New Roman" w:ascii="Times New Roman"/>
          <w:color w:val="000000"/>
        </w:rPr>
        <w:t>., stečajni upravitelj je ustrajao kod navoda iznesenih u pisanom izvješću, odnosno prijedloga za obustavu i zaključenje ovog stečajnog postupka sukladno odredbi čl. 293. SZ-a. Prisutni stečajni vjerovni</w:t>
      </w:r>
      <w:r w:rsidR="00B935C6">
        <w:rPr>
          <w:rFonts w:eastAsia="Times New Roman" w:hAnsi="Times New Roman" w:ascii="Times New Roman"/>
          <w:color w:val="000000"/>
        </w:rPr>
        <w:t>ci</w:t>
      </w:r>
      <w:r>
        <w:rPr>
          <w:rFonts w:eastAsia="Times New Roman" w:hAnsi="Times New Roman" w:ascii="Times New Roman"/>
          <w:color w:val="000000"/>
        </w:rPr>
        <w:t xml:space="preserve"> </w:t>
      </w:r>
      <w:r w:rsidR="00B935C6">
        <w:rPr>
          <w:rFonts w:eastAsia="Times New Roman" w:hAnsi="Times New Roman" w:ascii="Times New Roman"/>
          <w:color w:val="000000"/>
        </w:rPr>
        <w:t xml:space="preserve">Hrvatske šume d.o.o., Autoprijevoz Birkić i Sigma stan d.o.o. nisu imali </w:t>
      </w:r>
      <w:r>
        <w:rPr>
          <w:rFonts w:eastAsia="Times New Roman" w:hAnsi="Times New Roman" w:ascii="Times New Roman"/>
          <w:color w:val="000000"/>
        </w:rPr>
        <w:lastRenderedPageBreak/>
        <w:t xml:space="preserve">primjedbi na izvješće stečajnog upravitelja, te </w:t>
      </w:r>
      <w:r w:rsidR="00B935C6">
        <w:rPr>
          <w:rFonts w:eastAsia="Times New Roman" w:hAnsi="Times New Roman" w:ascii="Times New Roman"/>
          <w:color w:val="000000"/>
        </w:rPr>
        <w:t>su</w:t>
      </w:r>
      <w:r>
        <w:rPr>
          <w:rFonts w:eastAsia="Times New Roman" w:hAnsi="Times New Roman" w:ascii="Times New Roman"/>
          <w:color w:val="000000"/>
        </w:rPr>
        <w:t xml:space="preserve"> prihvati</w:t>
      </w:r>
      <w:r w:rsidR="00B935C6">
        <w:rPr>
          <w:rFonts w:eastAsia="Times New Roman" w:hAnsi="Times New Roman" w:ascii="Times New Roman"/>
          <w:color w:val="000000"/>
        </w:rPr>
        <w:t>li</w:t>
      </w:r>
      <w:r>
        <w:rPr>
          <w:rFonts w:eastAsia="Times New Roman" w:hAnsi="Times New Roman" w:ascii="Times New Roman"/>
          <w:color w:val="000000"/>
        </w:rPr>
        <w:t xml:space="preserve"> prijedlog stečajnog upravitelja da se stečajni postupak obustavi i zaključi sukladno odredbi čl. 293. SZ-a.</w:t>
      </w:r>
    </w:p>
    <w:p w:rsidRDefault="00EF6ED2" w:rsidP="009D5E53" w:rsidR="00EF6ED2">
      <w:pPr>
        <w:jc w:val="both"/>
        <w:rPr>
          <w:rFonts w:eastAsia="Times New Roman" w:hAnsi="Times New Roman" w:ascii="Times New Roman"/>
          <w:color w:val="000000"/>
        </w:rPr>
      </w:pPr>
    </w:p>
    <w:p w:rsidRDefault="00A854C7" w:rsidP="009D5E53" w:rsidR="00A854C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Nakon pribavljenih mišljenja vjerovnika i stečajnog upravitelja, te budući se nitko od pozvanih vjerovnika nije protivio obustavi i zaključenju stečajnog postupka, a daljnjom bi se provedbom stečaja stvarali samo novi troškovi, sud je donio rješenje o obustavi  i zaključenju stečajnog postupka zbog nedostatnosti stečajne mase za namirenje stečajnog postupka, pa je temeljem odredbe </w:t>
      </w:r>
      <w:r w:rsidRPr="00A854C7">
        <w:rPr>
          <w:rFonts w:eastAsia="Times New Roman" w:hAnsi="Times New Roman" w:ascii="Times New Roman"/>
          <w:color w:val="000000"/>
        </w:rPr>
        <w:t xml:space="preserve">čl. 293. st. 1. </w:t>
      </w:r>
      <w:r>
        <w:rPr>
          <w:rFonts w:eastAsia="Times New Roman" w:hAnsi="Times New Roman" w:ascii="Times New Roman"/>
          <w:color w:val="000000"/>
        </w:rPr>
        <w:t xml:space="preserve">i 4. </w:t>
      </w:r>
      <w:r w:rsidRPr="00A854C7">
        <w:rPr>
          <w:rFonts w:eastAsia="Times New Roman" w:hAnsi="Times New Roman" w:ascii="Times New Roman"/>
          <w:color w:val="000000"/>
        </w:rPr>
        <w:t>SZ-a</w:t>
      </w:r>
      <w:r>
        <w:rPr>
          <w:rFonts w:eastAsia="Times New Roman" w:hAnsi="Times New Roman" w:ascii="Times New Roman"/>
          <w:color w:val="000000"/>
        </w:rPr>
        <w:t xml:space="preserve">, riješeno kao u izreci ovog rješenja.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D44D7B">
        <w:rPr>
          <w:rFonts w:eastAsia="Times New Roman" w:hAnsi="Times New Roman" w:ascii="Times New Roman"/>
          <w:color w:val="000000"/>
        </w:rPr>
        <w:t>9. studenog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A854C7">
        <w:rPr>
          <w:rFonts w:eastAsia="Times New Roman" w:hAnsi="Times New Roman" w:ascii="Times New Roman"/>
          <w:color w:val="000000"/>
        </w:rPr>
        <w:t>8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244C7C">
        <w:rPr>
          <w:rFonts w:eastAsia="Times New Roman" w:hAnsi="Times New Roman" w:ascii="Times New Roman"/>
          <w:color w:val="000000"/>
        </w:rPr>
        <w:t>, v.r.</w:t>
      </w:r>
    </w:p>
    <w:p w:rsidRDefault="00244C7C" w:rsidP="008C0B3D" w:rsidR="00244C7C">
      <w:pPr>
        <w:jc w:val="right"/>
        <w:rPr>
          <w:rFonts w:eastAsia="Times New Roman" w:hAnsi="Times New Roman" w:ascii="Times New Roman"/>
          <w:color w:val="000000"/>
        </w:rPr>
      </w:pPr>
    </w:p>
    <w:p w:rsidRDefault="00244C7C" w:rsidP="008C0B3D" w:rsidR="00244C7C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244C7C" w:rsidP="008C0B3D" w:rsidR="00244C7C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244C7C" w:rsidP="008C0B3D" w:rsidR="00244C7C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E1441C" w:rsidP="008C0B3D" w:rsidR="00E1441C">
      <w:pPr>
        <w:jc w:val="right"/>
        <w:rPr>
          <w:rFonts w:eastAsia="Times New Roman" w:hAnsi="Times New Roman" w:ascii="Times New Roman"/>
          <w:color w:val="000000"/>
        </w:rPr>
      </w:pPr>
    </w:p>
    <w:p w:rsidRDefault="003B11E8" w:rsidP="008C0B3D" w:rsidR="003B11E8">
      <w:pPr>
        <w:jc w:val="right"/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</w:t>
      </w:r>
      <w:r w:rsidR="00D87D61">
        <w:rPr>
          <w:rFonts w:eastAsia="Times New Roman" w:hAnsi="Times New Roman" w:ascii="Times New Roman"/>
          <w:color w:val="000000"/>
        </w:rPr>
        <w:t xml:space="preserve"> stečajni</w:t>
      </w:r>
      <w:r w:rsidRPr="004B0F2F">
        <w:rPr>
          <w:rFonts w:eastAsia="Times New Roman" w:hAnsi="Times New Roman" w:ascii="Times New Roman"/>
          <w:color w:val="000000"/>
        </w:rPr>
        <w:t xml:space="preserve"> vjerovnik</w:t>
      </w:r>
      <w:r w:rsidR="00D87D61">
        <w:rPr>
          <w:rFonts w:eastAsia="Times New Roman" w:hAnsi="Times New Roman" w:ascii="Times New Roman"/>
          <w:color w:val="000000"/>
        </w:rPr>
        <w:t>.</w:t>
      </w:r>
      <w:r w:rsidRPr="004B0F2F">
        <w:rPr>
          <w:rFonts w:eastAsia="Times New Roman" w:hAnsi="Times New Roman" w:ascii="Times New Roman"/>
          <w:color w:val="000000"/>
        </w:rPr>
        <w:t xml:space="preserve"> Rok za žalbu iznosi osam dana</w:t>
      </w:r>
      <w:r w:rsidR="00DA3A28">
        <w:rPr>
          <w:rFonts w:eastAsia="Times New Roman" w:hAnsi="Times New Roman" w:ascii="Times New Roman"/>
          <w:color w:val="000000"/>
        </w:rPr>
        <w:t xml:space="preserve">, a počinje teći istekom osmog dana od dana objave ovog rješenja na mrežnoj stranici e-Oglasna ploča suda. </w:t>
      </w:r>
      <w:r w:rsidRPr="004B0F2F">
        <w:rPr>
          <w:rFonts w:eastAsia="Times New Roman" w:hAnsi="Times New Roman" w:ascii="Times New Roman"/>
          <w:color w:val="000000"/>
        </w:rPr>
        <w:t>Žalba se podnosi ovom sudu u</w:t>
      </w:r>
      <w:r w:rsidR="00DA3A28">
        <w:rPr>
          <w:rFonts w:eastAsia="Times New Roman" w:hAnsi="Times New Roman" w:ascii="Times New Roman"/>
          <w:color w:val="000000"/>
        </w:rPr>
        <w:t xml:space="preserve"> tri</w:t>
      </w:r>
      <w:r w:rsidRPr="004B0F2F">
        <w:rPr>
          <w:rFonts w:eastAsia="Times New Roman" w:hAnsi="Times New Roman" w:ascii="Times New Roman"/>
          <w:color w:val="000000"/>
        </w:rPr>
        <w:t xml:space="preserve"> primjerka putem ovog suda Visokom trgovačkom sudu Republike Hrvatske.</w:t>
      </w:r>
    </w:p>
    <w:p w:rsidRDefault="0080080E" w:rsidP="00244C7C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213B8D" w:rsidR="0080080E" w:rsidRPr="008008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4C7C">
          <w:rPr>
            <w:noProof/>
          </w:rPr>
          <w:t>2</w:t>
        </w:r>
        <w:r>
          <w:fldChar w:fldCharType="end"/>
        </w:r>
      </w:p>
    </w:sdtContent>
  </w:sdt>
  <w:p w:rsidRDefault="009E1FF0" w:rsidP="009E1FF0" w:rsidR="00F46A98" w:rsidRPr="00F46A98">
    <w:pPr>
      <w:pStyle w:val="Zaglavlje"/>
      <w:jc w:val="right"/>
      <w:rPr>
        <w:rFonts w:hAnsi="Times New Roman" w:ascii="Times New Roman"/>
      </w:rPr>
    </w:pPr>
    <w:r w:rsidRPr="009E1FF0">
      <w:rPr>
        <w:rFonts w:hAnsi="Times New Roman" w:ascii="Times New Roman"/>
      </w:rPr>
      <w:t>3 St-</w:t>
    </w:r>
    <w:r w:rsidR="00D44D7B">
      <w:rPr>
        <w:rFonts w:hAnsi="Times New Roman" w:ascii="Times New Roman"/>
      </w:rPr>
      <w:t>1013/15-16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54037"/>
    <w:multiLevelType w:val="hybridMultilevel"/>
    <w:tmpl w:val="263402F4"/>
    <w:lvl w:tplc="A16E6D1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59B5EB2"/>
    <w:multiLevelType w:val="hybridMultilevel"/>
    <w:tmpl w:val="244A8F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D565C7"/>
    <w:multiLevelType w:val="hybridMultilevel"/>
    <w:tmpl w:val="DEA859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1C3F7D"/>
    <w:multiLevelType w:val="hybridMultilevel"/>
    <w:tmpl w:val="40F45E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B50B01"/>
    <w:multiLevelType w:val="hybridMultilevel"/>
    <w:tmpl w:val="77D83142"/>
    <w:lvl w:tplc="041A000F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3A5421"/>
    <w:multiLevelType w:val="hybridMultilevel"/>
    <w:tmpl w:val="342ABA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494ED9"/>
    <w:multiLevelType w:val="hybridMultilevel"/>
    <w:tmpl w:val="C846B4CE"/>
    <w:lvl w:tplc="52E2151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EEC7493"/>
    <w:multiLevelType w:val="hybridMultilevel"/>
    <w:tmpl w:val="89C033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51C70"/>
    <w:rsid w:val="00052689"/>
    <w:rsid w:val="000F6B90"/>
    <w:rsid w:val="001130DB"/>
    <w:rsid w:val="0016731D"/>
    <w:rsid w:val="00182C15"/>
    <w:rsid w:val="0018650D"/>
    <w:rsid w:val="001A7223"/>
    <w:rsid w:val="00213B8D"/>
    <w:rsid w:val="00244C7C"/>
    <w:rsid w:val="002475FB"/>
    <w:rsid w:val="00253CD2"/>
    <w:rsid w:val="00293469"/>
    <w:rsid w:val="00295084"/>
    <w:rsid w:val="002C3D22"/>
    <w:rsid w:val="002D2E7A"/>
    <w:rsid w:val="002E28DC"/>
    <w:rsid w:val="002E65D0"/>
    <w:rsid w:val="003665BC"/>
    <w:rsid w:val="00367E3E"/>
    <w:rsid w:val="00373DDD"/>
    <w:rsid w:val="00383E16"/>
    <w:rsid w:val="0038400D"/>
    <w:rsid w:val="003A4E35"/>
    <w:rsid w:val="003B11E8"/>
    <w:rsid w:val="003C230E"/>
    <w:rsid w:val="00407649"/>
    <w:rsid w:val="0042263F"/>
    <w:rsid w:val="004318FA"/>
    <w:rsid w:val="004626DA"/>
    <w:rsid w:val="00476A7E"/>
    <w:rsid w:val="00486CC4"/>
    <w:rsid w:val="004B0F2F"/>
    <w:rsid w:val="004F0AE3"/>
    <w:rsid w:val="00522798"/>
    <w:rsid w:val="00524612"/>
    <w:rsid w:val="005365A7"/>
    <w:rsid w:val="00564095"/>
    <w:rsid w:val="005807E9"/>
    <w:rsid w:val="005953B3"/>
    <w:rsid w:val="005B130B"/>
    <w:rsid w:val="005B5104"/>
    <w:rsid w:val="005C1F97"/>
    <w:rsid w:val="005D01E2"/>
    <w:rsid w:val="005D4C2B"/>
    <w:rsid w:val="00600756"/>
    <w:rsid w:val="00620951"/>
    <w:rsid w:val="006656AF"/>
    <w:rsid w:val="00707B3E"/>
    <w:rsid w:val="00761CF8"/>
    <w:rsid w:val="007A0BF3"/>
    <w:rsid w:val="0080080E"/>
    <w:rsid w:val="00815583"/>
    <w:rsid w:val="00822B39"/>
    <w:rsid w:val="008251C2"/>
    <w:rsid w:val="00837827"/>
    <w:rsid w:val="00854B7C"/>
    <w:rsid w:val="00890155"/>
    <w:rsid w:val="008C0B3D"/>
    <w:rsid w:val="008F0A34"/>
    <w:rsid w:val="008F3211"/>
    <w:rsid w:val="009357D7"/>
    <w:rsid w:val="00983D4D"/>
    <w:rsid w:val="0099530E"/>
    <w:rsid w:val="009A44EC"/>
    <w:rsid w:val="009A5E2A"/>
    <w:rsid w:val="009D5E53"/>
    <w:rsid w:val="009E1FF0"/>
    <w:rsid w:val="009F1DD4"/>
    <w:rsid w:val="00A00A0C"/>
    <w:rsid w:val="00A14CF8"/>
    <w:rsid w:val="00A72219"/>
    <w:rsid w:val="00A854C7"/>
    <w:rsid w:val="00A968AF"/>
    <w:rsid w:val="00AA1824"/>
    <w:rsid w:val="00AB06C1"/>
    <w:rsid w:val="00AF3A6E"/>
    <w:rsid w:val="00B935C6"/>
    <w:rsid w:val="00BA7A3D"/>
    <w:rsid w:val="00BC7E75"/>
    <w:rsid w:val="00BE15FC"/>
    <w:rsid w:val="00C474D2"/>
    <w:rsid w:val="00C53C04"/>
    <w:rsid w:val="00C835FD"/>
    <w:rsid w:val="00CA57D4"/>
    <w:rsid w:val="00D168D0"/>
    <w:rsid w:val="00D178D3"/>
    <w:rsid w:val="00D341BB"/>
    <w:rsid w:val="00D44D7B"/>
    <w:rsid w:val="00D75502"/>
    <w:rsid w:val="00D87D61"/>
    <w:rsid w:val="00D969D5"/>
    <w:rsid w:val="00DA3A28"/>
    <w:rsid w:val="00DC0091"/>
    <w:rsid w:val="00DF24F2"/>
    <w:rsid w:val="00E1441C"/>
    <w:rsid w:val="00E211E8"/>
    <w:rsid w:val="00E6705C"/>
    <w:rsid w:val="00E945DA"/>
    <w:rsid w:val="00EB7C0D"/>
    <w:rsid w:val="00ED19F0"/>
    <w:rsid w:val="00EE14B3"/>
    <w:rsid w:val="00EF6ED2"/>
    <w:rsid w:val="00F04BE1"/>
    <w:rsid w:val="00F21CA3"/>
    <w:rsid w:val="00F32001"/>
    <w:rsid w:val="00F46A98"/>
    <w:rsid w:val="00F46E55"/>
    <w:rsid w:val="00F67A7E"/>
    <w:rsid w:val="00F73775"/>
    <w:rsid w:val="00F74180"/>
    <w:rsid w:val="00FC1D20"/>
    <w:rsid w:val="00FE4089"/>
    <w:rsid w:val="00FF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44C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C7C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44C7C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44C7C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44C7C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44C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C7C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44C7C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44C7C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44C7C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St-1013/2015</izvorni_sadrzaj>
    <derivirana_varijabla naziv="DomainObject.Predmet.OznakaBroj_1">St-1013/2015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PREDRAG BAU d.o.o.</izvorni_sadrzaj>
    <derivirana_varijabla naziv="DomainObject.Predmet.ProtustrankaFormated_1">  PREDRAG BAU d.o.o.</derivirana_varijabla>
  </DomainObject.Predmet.ProtustrankaFormated>
  <DomainObject.Predmet.ProtustrankaFormatedOIB>
    <izvorni_sadrzaj>  PREDRAG BAU d.o.o., OIB 57620665038</izvorni_sadrzaj>
    <derivirana_varijabla naziv="DomainObject.Predmet.ProtustrankaFormatedOIB_1">  PREDRAG BAU d.o.o., OIB 57620665038</derivirana_varijabla>
  </DomainObject.Predmet.ProtustrankaFormatedOIB>
  <DomainObject.Predmet.ProtustrankaFormatedWithAdress>
    <izvorni_sadrzaj> PREDRAG BAU d.o.o., Ivanićgradska ulica 75, 10000 Zagreb</izvorni_sadrzaj>
    <derivirana_varijabla naziv="DomainObject.Predmet.ProtustrankaFormatedWithAdress_1"> PREDRAG BAU d.o.o., Ivanićgradska ulica 75, 10000 Zagreb</derivirana_varijabla>
  </DomainObject.Predmet.ProtustrankaFormatedWithAdress>
  <DomainObject.Predmet.ProtustrankaFormatedWithAdressOIB>
    <izvorni_sadrzaj> PREDRAG BAU d.o.o., OIB 57620665038, Ivanićgradska ulica 75, 10000 Zagreb</izvorni_sadrzaj>
    <derivirana_varijabla naziv="DomainObject.Predmet.ProtustrankaFormatedWithAdressOIB_1"> PREDRAG BAU d.o.o., OIB 57620665038, Ivanićgradska ulica 75, 10000 Zagreb</derivirana_varijabla>
  </DomainObject.Predmet.ProtustrankaFormatedWithAdressOIB>
  <DomainObject.Predmet.ProtustrankaWithAdress>
    <izvorni_sadrzaj>PREDRAG BAU d.o.o. Ivanićgradska ulica 75, 10000 Zagreb</izvorni_sadrzaj>
    <derivirana_varijabla naziv="DomainObject.Predmet.ProtustrankaWithAdress_1">PREDRAG BAU d.o.o. Ivanićgradska ulica 75, 10000 Zagreb</derivirana_varijabla>
  </DomainObject.Predmet.ProtustrankaWithAdress>
  <DomainObject.Predmet.ProtustrankaWithAdressOIB>
    <izvorni_sadrzaj>PREDRAG BAU d.o.o., OIB 57620665038, Ivanićgradska ulica 75, 10000 Zagreb</izvorni_sadrzaj>
    <derivirana_varijabla naziv="DomainObject.Predmet.ProtustrankaWithAdressOIB_1">PREDRAG BAU d.o.o., OIB 57620665038, Ivanićgradska ulica 75, 10000 Zagreb</derivirana_varijabla>
  </DomainObject.Predmet.ProtustrankaWithAdressOIB>
  <DomainObject.Predmet.ProtustrankaNazivFormated>
    <izvorni_sadrzaj>PREDRAG BAU d.o.o.</izvorni_sadrzaj>
    <derivirana_varijabla naziv="DomainObject.Predmet.ProtustrankaNazivFormated_1">PREDRAG BAU d.o.o.</derivirana_varijabla>
  </DomainObject.Predmet.ProtustrankaNazivFormated>
  <DomainObject.Predmet.ProtustrankaNazivFormatedOIB>
    <izvorni_sadrzaj>PREDRAG BAU d.o.o., OIB 57620665038</izvorni_sadrzaj>
    <derivirana_varijabla naziv="DomainObject.Predmet.ProtustrankaNazivFormatedOIB_1">PREDRAG BAU d.o.o., OIB 57620665038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PREDRAG BAU d.o.o.</item>
    </izvorni_sadrzaj>
    <derivirana_varijabla naziv="DomainObject.Predmet.ProtuStrankaListFormated_1">
      <item>PREDRAG BAU d.o.o.</item>
    </derivirana_varijabla>
  </DomainObject.Predmet.ProtuStrankaListFormated>
  <DomainObject.Predmet.ProtuStrankaListFormatedOIB>
    <izvorni_sadrzaj>
      <item>PREDRAG BAU d.o.o., OIB 57620665038</item>
    </izvorni_sadrzaj>
    <derivirana_varijabla naziv="DomainObject.Predmet.ProtuStrankaListFormatedOIB_1">
      <item>PREDRAG BAU d.o.o., OIB 57620665038</item>
    </derivirana_varijabla>
  </DomainObject.Predmet.ProtuStrankaListFormatedOIB>
  <DomainObject.Predmet.ProtuStrankaListFormatedWithAdress>
    <izvorni_sadrzaj>
      <item>PREDRAG BAU d.o.o., Ivanićgradska ulica 75, 10000 Zagreb</item>
    </izvorni_sadrzaj>
    <derivirana_varijabla naziv="DomainObject.Predmet.ProtuStrankaListFormatedWithAdress_1">
      <item>PREDRAG BAU d.o.o., Ivanićgradska ulica 75, 10000 Zagreb</item>
    </derivirana_varijabla>
  </DomainObject.Predmet.ProtuStrankaListFormatedWithAdress>
  <DomainObject.Predmet.ProtuStrankaListFormatedWithAdressOIB>
    <izvorni_sadrzaj>
      <item>PREDRAG BAU d.o.o., OIB 57620665038, Ivanićgradska ulica 75, 10000 Zagreb</item>
    </izvorni_sadrzaj>
    <derivirana_varijabla naziv="DomainObject.Predmet.ProtuStrankaListFormatedWithAdressOIB_1">
      <item>PREDRAG BAU d.o.o., OIB 57620665038, Ivanićgradska ulica 75, 10000 Zagreb</item>
    </derivirana_varijabla>
  </DomainObject.Predmet.ProtuStrankaListFormatedWithAdressOIB>
  <DomainObject.Predmet.ProtuStrankaListNazivFormated>
    <izvorni_sadrzaj>
      <item>PREDRAG BAU d.o.o.</item>
    </izvorni_sadrzaj>
    <derivirana_varijabla naziv="DomainObject.Predmet.ProtuStrankaListNazivFormated_1">
      <item>PREDRAG BAU d.o.o.</item>
    </derivirana_varijabla>
  </DomainObject.Predmet.ProtuStrankaListNazivFormated>
  <DomainObject.Predmet.ProtuStrankaListNazivFormatedOIB>
    <izvorni_sadrzaj>
      <item>PREDRAG BAU d.o.o., OIB 57620665038</item>
    </izvorni_sadrzaj>
    <derivirana_varijabla naziv="DomainObject.Predmet.ProtuStrankaListNazivFormatedOIB_1">
      <item>PREDRAG BAU d.o.o., OIB 57620665038</item>
    </derivirana_varijabla>
  </DomainObject.Predmet.ProtuStrankaListNazivFormatedOIB>
  <DomainObject.Predmet.OstaliListFormated>
    <izvorni_sadrzaj>
      <item>DAMIR ŠEBETIĆ</item>
    </izvorni_sadrzaj>
    <derivirana_varijabla naziv="DomainObject.Predmet.OstaliListFormated_1">
      <item>DAMIR ŠEBETIĆ</item>
    </derivirana_varijabla>
  </DomainObject.Predmet.OstaliListFormated>
  <DomainObject.Predmet.OstaliListFormatedOIB>
    <izvorni_sadrzaj>
      <item>DAMIR ŠEBETIĆ, OIB 84590633905</item>
    </izvorni_sadrzaj>
    <derivirana_varijabla naziv="DomainObject.Predmet.OstaliListFormatedOIB_1">
      <item>DAMIR ŠEBETIĆ, OIB 84590633905</item>
    </derivirana_varijabla>
  </DomainObject.Predmet.OstaliListFormatedOIB>
  <DomainObject.Predmet.OstaliListFormatedWithAdress>
    <izvorni_sadrzaj>
      <item>DAMIR ŠEBETIĆ, Ignjata Đorđića 6, 10000 Zagreb</item>
    </izvorni_sadrzaj>
    <derivirana_varijabla naziv="DomainObject.Predmet.OstaliListFormatedWithAdress_1">
      <item>DAMIR ŠEBETIĆ, Ignjata Đorđića 6, 10000 Zagreb</item>
    </derivirana_varijabla>
  </DomainObject.Predmet.OstaliListFormatedWithAdress>
  <DomainObject.Predmet.OstaliListFormatedWithAdressOIB>
    <izvorni_sadrzaj>
      <item>DAMIR ŠEBETIĆ, OIB 84590633905, Ignjata Đorđića 6, 10000 Zagreb</item>
    </izvorni_sadrzaj>
    <derivirana_varijabla naziv="DomainObject.Predmet.OstaliListFormatedWithAdressOIB_1">
      <item>DAMIR ŠEBETIĆ, OIB 84590633905, Ignjata Đorđića 6, 10000 Zagreb</item>
    </derivirana_varijabla>
  </DomainObject.Predmet.OstaliListFormatedWithAdressOIB>
  <DomainObject.Predmet.OstaliListNazivFormated>
    <izvorni_sadrzaj>
      <item>DAMIR ŠEBETIĆ</item>
    </izvorni_sadrzaj>
    <derivirana_varijabla naziv="DomainObject.Predmet.OstaliListNazivFormated_1">
      <item>DAMIR ŠEBETIĆ</item>
    </derivirana_varijabla>
  </DomainObject.Predmet.OstaliListNazivFormated>
  <DomainObject.Predmet.OstaliListNazivFormatedOIB>
    <izvorni_sadrzaj>
      <item>DAMIR ŠEBETIĆ, OIB 84590633905</item>
    </izvorni_sadrzaj>
    <derivirana_varijabla naziv="DomainObject.Predmet.OstaliListNazivFormatedOIB_1">
      <item>DAMIR ŠEBETIĆ, OIB 84590633905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PREDRAG BAU d.o.o.</izvorni_sadrzaj>
    <derivirana_varijabla naziv="DomainObject.Predmet.ProtustrankaIDrugi_1">PREDRAG BAU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PREDRAG BAU d.o.o., OIB 57620665038, Ivanićgradska ulica 75, 10000 Zagreb</izvorni_sadrzaj>
    <derivirana_varijabla naziv="DomainObject.Predmet.ProtustrankaIDrugiAdressOIB_1">PREDRAG BAU d.o.o., OIB 57620665038, Ivanićgradska ulica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PREDRAG BAU d.o.o.</item>
      <item>DAMIR ŠEBETIĆ</item>
    </izvorni_sadrzaj>
    <derivirana_varijabla naziv="DomainObject.Predmet.SudioniciListNaziv_1">
      <item>FINA Regionalni centar Zagreb</item>
      <item>PREDRAG BAU d.o.o.</item>
      <item>DAMIR ŠEBETIĆ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PREDRAG BAU d.o.o., OIB 57620665038, Ivanićgradska ulica 75,10000 Zagreb</item>
      <item>DAMIR ŠEBETIĆ, OIB 84590633905, Ignjata Đorđića 6,10000 Zagreb</item>
    </izvorni_sadrzaj>
    <derivirana_varijabla naziv="DomainObject.Predmet.SudioniciListAdressOIB_1">
      <item>FINA Regionalni centar Zagreb, OIB 85821130368, Trg svibanjskih žrtava 1995. 1,10000 Zagreb</item>
      <item>PREDRAG BAU d.o.o., OIB 57620665038, Ivanićgradska ulica 75,10000 Zagreb</item>
      <item>DAMIR ŠEBETIĆ, OIB 84590633905, Ignjata Đorđića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57620665038</item>
      <item>, OIB 84590633905</item>
    </izvorni_sadrzaj>
    <derivirana_varijabla naziv="DomainObject.Predmet.SudioniciListNazivOIB_1">
      <item>, OIB 85821130368</item>
      <item>, OIB 57620665038</item>
      <item>, OIB 84590633905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travnja 2016.</izvorni_sadrzaj>
    <derivirana_varijabla naziv="DomainObject.Predmet.DatumZadnjeOdrzaneSudskeRadnje_1">14. travnja 2016.</derivirana_varijabla>
  </DomainObject.Predmet.DatumZadnjeOdrzaneSudskeRadnje>
  <DomainObject.PredzadnjaOdlukaIzPredmeta.DatumDonosenjaOdluke>
    <izvorni_sadrzaj>26. travnja 2016.</izvorni_sadrzaj>
    <derivirana_varijabla naziv="DomainObject.PredzadnjaOdlukaIzPredmeta.DatumDonosenjaOdluke_1">26. travnja 2016.</derivirana_varijabla>
  </DomainObject.PredzadnjaOdlukaIzPredmeta.DatumDonosenjaOdluke>
  <DomainObject.PredzadnjaOdlukaIzPredmeta.Oznaka>
    <izvorni_sadrzaj>St-1013/2015-12</izvorni_sadrzaj>
    <derivirana_varijabla naziv="DomainObject.PredzadnjaOdlukaIzPredmeta.Oznaka_1">St-1013/2015-12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1B0AD6-520E-4B9C-A830-06A4412381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2724</properties:Characters>
  <properties:Lines>69</properties:Lines>
  <properties:Paragraphs>25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2018-11-09T11:52:00Z</dcterms:created>
  <dc:creator>point</dc:creator>
  <cp:lastModifiedBy>Žana Livaja</cp:lastModifiedBy>
  <cp:lastPrinted>2018-11-09T12:05:00Z</cp:lastPrinted>
  <dcterms:modified xmlns:xsi="http://www.w3.org/2001/XMLSchema-instance" xsi:type="dcterms:W3CDTF">2018-11-09T12:07:00Z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(Rješenje obustava-- zbog nedostatnosti stečajne mase  - St-1013-15.docx)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