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9b5e3" w14:paraId="7d9b5e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E44E4" w:rsidP="001E44E4" w:rsidR="001E44E4" w:rsidRPr="001E44E4">
      <w:pPr>
        <w:spacing w:lineRule="auto" w:line="276" w:after="200"/>
        <w:rPr>
          <w:rFonts w:cs="Times New Roman" w:eastAsia="Calibri" w:hAnsi="Calibri" w:ascii="Calibri"/>
          <w:sz w:val="22"/>
          <w:szCs w:val="22"/>
        </w:rPr>
      </w:pPr>
    </w:p>
    <w:p w:rsidRDefault="001E44E4" w:rsidP="001E44E4" w:rsidR="001E44E4" w:rsidRPr="001E44E4">
      <w:pPr>
        <w:spacing w:lineRule="auto" w:line="276" w:after="200"/>
        <w:rPr>
          <w:rFonts w:cs="Times New Roman" w:eastAsia="Calibri" w:hAnsi="Calibri" w:ascii="Calibri"/>
          <w:sz w:val="22"/>
          <w:szCs w:val="22"/>
        </w:rPr>
      </w:pPr>
      <w:r w:rsidRPr="001E44E4">
        <w:rPr>
          <w:rFonts w:cs="Times New Roman" w:eastAsia="Calibri" w:hAnsi="Calibri" w:ascii="Calibri"/>
          <w:noProof/>
          <w:sz w:val="22"/>
          <w:szCs w:val="22"/>
          <w:lang w:eastAsia="hr-HR"/>
        </w:rPr>
        <w:drawing>
          <wp:inline distR="0" distL="0" distB="0" distT="0">
            <wp:extent cy="1912620" cx="5753100"/>
            <wp:effectExtent b="0" r="0" t="0" l="0"/>
            <wp:docPr name="Slika 9" id="2"/>
            <wp:cNvGraphicFramePr>
              <a:graphicFrameLocks noChangeAspect="true"/>
            </wp:cNvGraphicFramePr>
            <a:graphic>
              <a:graphicData uri="http://schemas.openxmlformats.org/drawingml/2006/picture">
                <pic:pic>
                  <pic:nvPicPr>
                    <pic:cNvPr name="Slika 9"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12620" cx="5753100"/>
                    </a:xfrm>
                    <a:prstGeom prst="rect">
                      <a:avLst/>
                    </a:prstGeom>
                    <a:noFill/>
                    <a:ln>
                      <a:noFill/>
                    </a:ln>
                  </pic:spPr>
                </pic:pic>
              </a:graphicData>
            </a:graphic>
          </wp:inline>
        </w:drawing>
      </w:r>
    </w:p>
    <w:p w:rsidRDefault="001E44E4" w:rsidP="001E44E4" w:rsidR="001E44E4" w:rsidRPr="001E44E4">
      <w:pPr>
        <w:spacing w:lineRule="auto" w:line="276" w:after="200"/>
        <w:rPr>
          <w:rFonts w:cs="Times New Roman" w:eastAsia="Calibri" w:hAnsi="Calibri" w:ascii="Calibri"/>
          <w:sz w:val="22"/>
          <w:szCs w:val="22"/>
        </w:rPr>
      </w:pPr>
    </w:p>
    <w:p w:rsidRDefault="001E44E4" w:rsidP="001E44E4" w:rsidR="001E44E4" w:rsidRPr="001E44E4">
      <w:pPr>
        <w:spacing w:lineRule="auto" w:line="276" w:after="200"/>
        <w:rPr>
          <w:rFonts w:cs="Times New Roman" w:eastAsia="Calibri" w:hAnsi="Calibri" w:ascii="Calibri"/>
        </w:rPr>
      </w:pPr>
      <w:r>
        <w:rPr>
          <w:rFonts w:cs="Times New Roman" w:eastAsia="Calibri" w:hAnsi="Calibri" w:ascii="Calibri"/>
          <w:noProof/>
          <w:lang w:eastAsia="hr-HR"/>
        </w:rPr>
        <w:lastRenderedPageBreak/>
        <w:drawing>
          <wp:inline distR="0" distL="0" distB="0" distT="0">
            <wp:extent cy="6678000" cx="6120000"/>
            <wp:effectExtent b="8890" r="0" t="0" l="0"/>
            <wp:docPr name="Slika 5" id="5"/>
            <wp:cNvGraphicFramePr>
              <a:graphicFrameLocks noChangeAspect="true"/>
            </wp:cNvGraphicFramePr>
            <a:graphic>
              <a:graphicData uri="http://schemas.openxmlformats.org/drawingml/2006/picture">
                <pic:pic>
                  <pic:nvPicPr>
                    <pic:cNvPr name="Slika 7" id="0"/>
                    <pic:cNvPicPr>
                      <a:picLocks noChangeArrowheads="true" noChangeAspect="true"/>
                    </pic:cNvPicPr>
                  </pic:nvPicPr>
                  <pic:blipFill>
                    <a:blip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78000" cx="6120000"/>
                    </a:xfrm>
                    <a:prstGeom prst="rect">
                      <a:avLst/>
                    </a:prstGeom>
                    <a:noFill/>
                    <a:ln>
                      <a:noFill/>
                    </a:ln>
                  </pic:spPr>
                </pic:pic>
              </a:graphicData>
            </a:graphic>
          </wp:inline>
        </w:drawing>
      </w:r>
    </w:p>
    <w:p w:rsidRDefault="001E44E4" w:rsidP="001E44E4" w:rsidR="001E44E4" w:rsidRPr="001E44E4">
      <w:pPr>
        <w:spacing w:lineRule="auto" w:line="276" w:after="200"/>
        <w:rPr>
          <w:rFonts w:cs="Times New Roman" w:eastAsia="Calibri" w:hAnsi="Calibri" w:ascii="Calibri"/>
          <w:sz w:val="22"/>
          <w:szCs w:val="22"/>
        </w:rPr>
      </w:pPr>
      <w:r w:rsidRPr="001E44E4">
        <w:rPr>
          <w:rFonts w:cs="Times New Roman" w:eastAsia="Calibri" w:hAnsi="Calibri" w:ascii="Calibri"/>
          <w:noProof/>
          <w:sz w:val="22"/>
          <w:szCs w:val="22"/>
          <w:lang w:eastAsia="hr-HR"/>
        </w:rPr>
        <w:lastRenderedPageBreak/>
        <w:drawing>
          <wp:inline distR="0" distL="0" distB="0" distT="0">
            <wp:extent cy="1905000" cx="6035040"/>
            <wp:effectExtent b="0" r="3810" t="0" l="0"/>
            <wp:docPr name="Slika 8" id="4"/>
            <wp:cNvGraphicFramePr>
              <a:graphicFrameLocks noChangeAspect="true"/>
            </wp:cNvGraphicFramePr>
            <a:graphic>
              <a:graphicData uri="http://schemas.openxmlformats.org/drawingml/2006/picture">
                <pic:pic>
                  <pic:nvPicPr>
                    <pic:cNvPr name="Slika 8"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05000" cx="6035040"/>
                    </a:xfrm>
                    <a:prstGeom prst="rect">
                      <a:avLst/>
                    </a:prstGeom>
                    <a:noFill/>
                    <a:ln>
                      <a:noFill/>
                    </a:ln>
                  </pic:spPr>
                </pic:pic>
              </a:graphicData>
            </a:graphic>
          </wp:inline>
        </w:drawing>
      </w:r>
    </w:p>
    <w:p w:rsidRDefault="001E44E4" w:rsidP="001E44E4" w:rsidR="001E44E4" w:rsidRPr="001E44E4">
      <w:pPr>
        <w:suppressAutoHyphens/>
        <w:spacing w:after="0"/>
        <w:ind w:left="7080"/>
        <w:jc w:val="center"/>
        <w:rPr>
          <w:rFonts w:cs="Times New Roman" w:eastAsia="Times New Roman"/>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pPr>
        <w:suppressAutoHyphens/>
        <w:spacing w:after="0"/>
        <w:ind w:left="7080"/>
        <w:rPr>
          <w:rFonts w:cs="Times New Roman" w:eastAsia="Times New Roman"/>
          <w:b/>
          <w:lang w:eastAsia="ar-SA"/>
        </w:rPr>
      </w:pPr>
    </w:p>
    <w:p w:rsidRDefault="001E44E4" w:rsidP="001E44E4" w:rsidR="001E44E4" w:rsidRPr="001E44E4">
      <w:pPr>
        <w:suppressAutoHyphens/>
        <w:spacing w:after="0"/>
        <w:ind w:left="7080"/>
        <w:rPr>
          <w:rFonts w:cs="Times New Roman" w:eastAsia="Times New Roman"/>
          <w:b/>
          <w:sz w:val="28"/>
          <w:szCs w:val="28"/>
          <w:lang w:eastAsia="ar-SA"/>
        </w:rPr>
      </w:pPr>
      <w:r w:rsidRPr="001E44E4">
        <w:rPr>
          <w:rFonts w:cs="Times New Roman" w:eastAsia="Times New Roman"/>
          <w:b/>
          <w:lang w:eastAsia="ar-SA"/>
        </w:rPr>
        <w:lastRenderedPageBreak/>
        <w:t>Poslovni br. spisa: St-800/2017</w:t>
      </w:r>
    </w:p>
    <w:p w:rsidRDefault="001E44E4" w:rsidP="001E44E4" w:rsidR="001E44E4" w:rsidRPr="001E44E4">
      <w:pPr>
        <w:suppressAutoHyphens/>
        <w:spacing w:after="0"/>
        <w:jc w:val="center"/>
        <w:rPr>
          <w:rFonts w:cs="Times New Roman" w:eastAsia="Times New Roman"/>
          <w:b/>
          <w:sz w:val="28"/>
          <w:szCs w:val="28"/>
          <w:lang w:eastAsia="ar-SA"/>
        </w:rPr>
      </w:pPr>
    </w:p>
    <w:p w:rsidRDefault="001E44E4" w:rsidP="001E44E4" w:rsidR="001E44E4" w:rsidRPr="001E44E4">
      <w:pPr>
        <w:suppressAutoHyphens/>
        <w:spacing w:after="0"/>
        <w:rPr>
          <w:rFonts w:cs="Times New Roman" w:eastAsia="Times New Roman"/>
          <w:b/>
          <w:sz w:val="28"/>
          <w:szCs w:val="28"/>
          <w:lang w:eastAsia="ar-SA"/>
        </w:rPr>
      </w:pPr>
    </w:p>
    <w:p w:rsidRDefault="001E44E4" w:rsidP="001E44E4" w:rsidR="001E44E4" w:rsidRPr="001E44E4">
      <w:pPr>
        <w:suppressAutoHyphens/>
        <w:spacing w:after="0"/>
        <w:jc w:val="center"/>
        <w:rPr>
          <w:rFonts w:cs="Times New Roman" w:eastAsia="Times New Roman"/>
          <w:b/>
          <w:sz w:val="28"/>
          <w:szCs w:val="28"/>
          <w:lang w:eastAsia="ar-SA"/>
        </w:rPr>
      </w:pPr>
    </w:p>
    <w:p w:rsidRDefault="001E44E4" w:rsidP="001E44E4" w:rsidR="001E44E4" w:rsidRPr="001E44E4">
      <w:pPr>
        <w:suppressAutoHyphens/>
        <w:spacing w:after="0"/>
        <w:jc w:val="center"/>
        <w:rPr>
          <w:rFonts w:cs="Times New Roman" w:eastAsia="Times New Roman"/>
          <w:b/>
          <w:sz w:val="28"/>
          <w:szCs w:val="28"/>
          <w:lang w:eastAsia="ar-SA"/>
        </w:rPr>
      </w:pPr>
      <w:r w:rsidRPr="001E44E4">
        <w:rPr>
          <w:rFonts w:cs="Times New Roman" w:eastAsia="Times New Roman"/>
          <w:b/>
          <w:sz w:val="28"/>
          <w:szCs w:val="28"/>
          <w:lang w:eastAsia="ar-SA"/>
        </w:rPr>
        <w:t>Izvješće o gospodarskom položaju dužnika</w:t>
      </w:r>
    </w:p>
    <w:p w:rsidRDefault="001E44E4" w:rsidP="001E44E4" w:rsidR="001E44E4" w:rsidRPr="001E44E4">
      <w:pPr>
        <w:suppressAutoHyphens/>
        <w:spacing w:after="0"/>
        <w:jc w:val="center"/>
        <w:rPr>
          <w:rFonts w:cs="Times New Roman" w:eastAsia="Times New Roman"/>
          <w:lang w:eastAsia="ar-SA"/>
        </w:rPr>
      </w:pPr>
      <w:r w:rsidRPr="001E44E4">
        <w:rPr>
          <w:rFonts w:cs="Times New Roman" w:eastAsia="Times New Roman"/>
          <w:b/>
          <w:sz w:val="28"/>
          <w:szCs w:val="28"/>
          <w:lang w:eastAsia="ar-SA"/>
        </w:rPr>
        <w:t xml:space="preserve"> i njegovim uzrocima (čl. 227 </w:t>
      </w:r>
      <w:proofErr w:type="spellStart"/>
      <w:r w:rsidRPr="001E44E4">
        <w:rPr>
          <w:rFonts w:cs="Times New Roman" w:eastAsia="Times New Roman"/>
          <w:b/>
          <w:sz w:val="28"/>
          <w:szCs w:val="28"/>
          <w:lang w:eastAsia="ar-SA"/>
        </w:rPr>
        <w:t>St.z</w:t>
      </w:r>
      <w:proofErr w:type="spellEnd"/>
      <w:r w:rsidRPr="001E44E4">
        <w:rPr>
          <w:rFonts w:cs="Times New Roman" w:eastAsia="Times New Roman"/>
          <w:b/>
          <w:sz w:val="28"/>
          <w:szCs w:val="28"/>
          <w:lang w:eastAsia="ar-SA"/>
        </w:rPr>
        <w:t>.)</w:t>
      </w:r>
    </w:p>
    <w:p w:rsidRDefault="001E44E4" w:rsidP="001E44E4" w:rsidR="001E44E4" w:rsidRPr="001E44E4">
      <w:pPr>
        <w:suppressAutoHyphens/>
        <w:spacing w:after="0"/>
        <w:jc w:val="center"/>
        <w:rPr>
          <w:rFonts w:cs="Times New Roman" w:eastAsia="Arial"/>
          <w:b/>
          <w:bCs/>
          <w:lang w:eastAsia="ar-SA"/>
        </w:rPr>
      </w:pPr>
      <w:r w:rsidRPr="001E44E4">
        <w:rPr>
          <w:rFonts w:cs="Times New Roman" w:eastAsia="Times New Roman"/>
          <w:lang w:eastAsia="ar-SA"/>
        </w:rPr>
        <w:t>za stečajnog dužnika</w:t>
      </w:r>
    </w:p>
    <w:p w:rsidRDefault="001E44E4" w:rsidP="001E44E4" w:rsidR="001E44E4" w:rsidRPr="001E44E4">
      <w:pPr>
        <w:suppressAutoHyphens/>
        <w:spacing w:after="0"/>
        <w:jc w:val="center"/>
        <w:rPr>
          <w:rFonts w:cs="Times New Roman" w:eastAsia="Times New Roman"/>
          <w:b/>
          <w:lang w:eastAsia="ar-SA"/>
        </w:rPr>
      </w:pPr>
      <w:r w:rsidRPr="001E44E4">
        <w:rPr>
          <w:rFonts w:cs="Times New Roman" w:eastAsia="Times New Roman"/>
          <w:b/>
          <w:lang w:eastAsia="ar-SA"/>
        </w:rPr>
        <w:t>INFORMATIVNI CENTAR BJELOVAR d.o.o. u stečaju, OIB:14895266944,</w:t>
      </w:r>
    </w:p>
    <w:p w:rsidRDefault="001E44E4" w:rsidP="001E44E4" w:rsidR="001E44E4" w:rsidRPr="001E44E4">
      <w:pPr>
        <w:suppressAutoHyphens/>
        <w:spacing w:after="0"/>
        <w:jc w:val="center"/>
        <w:rPr>
          <w:rFonts w:cs="Times New Roman" w:eastAsia="Times New Roman"/>
          <w:b/>
          <w:lang w:eastAsia="ar-SA"/>
        </w:rPr>
      </w:pPr>
      <w:r w:rsidRPr="001E44E4">
        <w:rPr>
          <w:rFonts w:cs="Times New Roman" w:eastAsia="Times New Roman"/>
          <w:b/>
          <w:lang w:eastAsia="ar-SA"/>
        </w:rPr>
        <w:t xml:space="preserve">Bjelovar, Trg Eugena Kvaternika </w:t>
      </w:r>
      <w:proofErr w:type="spellStart"/>
      <w:r w:rsidRPr="001E44E4">
        <w:rPr>
          <w:rFonts w:cs="Times New Roman" w:eastAsia="Times New Roman"/>
          <w:b/>
          <w:lang w:eastAsia="ar-SA"/>
        </w:rPr>
        <w:t>bb</w:t>
      </w:r>
      <w:proofErr w:type="spellEnd"/>
    </w:p>
    <w:p w:rsidRDefault="001E44E4" w:rsidP="001E44E4" w:rsidR="001E44E4" w:rsidRPr="001E44E4">
      <w:pPr>
        <w:suppressAutoHyphens/>
        <w:spacing w:after="0"/>
        <w:jc w:val="center"/>
        <w:rPr>
          <w:rFonts w:cs="Times New Roman" w:eastAsia="Times New Roman"/>
          <w:lang w:eastAsia="ar-SA"/>
        </w:rPr>
      </w:pPr>
      <w:r w:rsidRPr="001E44E4">
        <w:rPr>
          <w:rFonts w:cs="Times New Roman" w:eastAsia="Times New Roman"/>
          <w:lang w:eastAsia="ar-SA"/>
        </w:rPr>
        <w:tab/>
      </w:r>
      <w:r w:rsidRPr="001E44E4">
        <w:rPr>
          <w:rFonts w:cs="Times New Roman" w:eastAsia="Times New Roman"/>
          <w:lang w:eastAsia="ar-SA"/>
        </w:rPr>
        <w:tab/>
      </w:r>
      <w:r w:rsidRPr="001E44E4">
        <w:rPr>
          <w:rFonts w:cs="Times New Roman" w:eastAsia="Times New Roman"/>
          <w:lang w:eastAsia="ar-SA"/>
        </w:rPr>
        <w:tab/>
      </w:r>
      <w:r w:rsidRPr="001E44E4">
        <w:rPr>
          <w:rFonts w:cs="Times New Roman" w:eastAsia="Times New Roman"/>
          <w:lang w:eastAsia="ar-SA"/>
        </w:rPr>
        <w:tab/>
      </w:r>
      <w:r w:rsidRPr="001E44E4">
        <w:rPr>
          <w:rFonts w:cs="Times New Roman" w:eastAsia="Times New Roman"/>
          <w:lang w:eastAsia="ar-SA"/>
        </w:rPr>
        <w:tab/>
      </w:r>
      <w:r w:rsidRPr="001E44E4">
        <w:rPr>
          <w:rFonts w:cs="Times New Roman" w:eastAsia="Times New Roman"/>
          <w:lang w:eastAsia="ar-SA"/>
        </w:rPr>
        <w:tab/>
      </w:r>
      <w:r w:rsidRPr="001E44E4">
        <w:rPr>
          <w:rFonts w:cs="Times New Roman" w:eastAsia="Times New Roman"/>
          <w:lang w:eastAsia="ar-SA"/>
        </w:rPr>
        <w:tab/>
      </w:r>
    </w:p>
    <w:p w:rsidRDefault="001E44E4" w:rsidP="001E44E4" w:rsidR="001E44E4" w:rsidRPr="001E44E4">
      <w:pPr>
        <w:suppressAutoHyphens/>
        <w:spacing w:after="0"/>
        <w:jc w:val="center"/>
        <w:rPr>
          <w:rFonts w:cs="Times New Roman" w:eastAsia="Times New Roman"/>
          <w:lang w:eastAsia="ar-SA"/>
        </w:rPr>
      </w:pPr>
      <w:r w:rsidRPr="001E44E4">
        <w:rPr>
          <w:rFonts w:cs="Times New Roman" w:eastAsia="Times New Roman"/>
          <w:lang w:eastAsia="ar-SA"/>
        </w:rPr>
        <w:tab/>
      </w:r>
    </w:p>
    <w:p w:rsidRDefault="001E44E4" w:rsidP="001E44E4" w:rsidR="001E44E4" w:rsidRPr="001E44E4">
      <w:pPr>
        <w:suppressAutoHyphens/>
        <w:spacing w:after="0"/>
        <w:jc w:val="center"/>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Kako bi se utvrdio gospodarski položaj dužnika izvršen je uvid u dostupnu poslovnu dokumentaciju  dužnika te dokumentaciju prispjelu uz prijave vjerovnika.</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Prethodno je sud, u rješenju o otvaranju stečajnog postupka, i to na temelju prijedloga za otvaranje stečajnog postupka podnesenog od strane dužnika, kao i na temelju izvješća privremenog stečajnog upravitelja, utvrdio da je dužnik nesposoban za plaćanje i prezadužen.</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Iz dostupne dokumentacije vidljivo je da društvo, unatoč nesposobnosti za plaćanje, a koja je dovela i do blokade računa društva, u razdoblju prije otvaranja stečajnog postupka, redovito posluje i da nema neisplaćenih plaća radnicima.</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b/>
          <w:lang w:eastAsia="ar-SA"/>
        </w:rPr>
      </w:pPr>
      <w:r w:rsidRPr="001E44E4">
        <w:rPr>
          <w:rFonts w:cs="Times New Roman" w:eastAsia="Times New Roman"/>
          <w:lang w:eastAsia="ar-SA"/>
        </w:rPr>
        <w:t xml:space="preserve">Gospodarski položaj dužnika nakon otvaranja stečajnog postupka ocijenjen je i popisom imovine i njezinom procjenom (Popis predmeta stečajne mase Čl. 221 </w:t>
      </w:r>
      <w:proofErr w:type="spellStart"/>
      <w:r w:rsidRPr="001E44E4">
        <w:rPr>
          <w:rFonts w:cs="Times New Roman" w:eastAsia="Times New Roman"/>
          <w:lang w:eastAsia="ar-SA"/>
        </w:rPr>
        <w:t>St.z</w:t>
      </w:r>
      <w:proofErr w:type="spellEnd"/>
      <w:r w:rsidRPr="001E44E4">
        <w:rPr>
          <w:rFonts w:cs="Times New Roman" w:eastAsia="Times New Roman"/>
          <w:lang w:eastAsia="ar-SA"/>
        </w:rPr>
        <w:t xml:space="preserve">.) te popisom obveza (Popis vjerovnika (Čl. 222 </w:t>
      </w:r>
      <w:proofErr w:type="spellStart"/>
      <w:r w:rsidRPr="001E44E4">
        <w:rPr>
          <w:rFonts w:cs="Times New Roman" w:eastAsia="Times New Roman"/>
          <w:lang w:eastAsia="ar-SA"/>
        </w:rPr>
        <w:t>St.z</w:t>
      </w:r>
      <w:proofErr w:type="spellEnd"/>
      <w:r w:rsidRPr="001E44E4">
        <w:rPr>
          <w:rFonts w:cs="Times New Roman" w:eastAsia="Times New Roman"/>
          <w:lang w:eastAsia="ar-SA"/>
        </w:rPr>
        <w:t xml:space="preserve">.), te Pregledom imovine i obveza (Čl. 223 </w:t>
      </w:r>
      <w:proofErr w:type="spellStart"/>
      <w:r w:rsidRPr="001E44E4">
        <w:rPr>
          <w:rFonts w:cs="Times New Roman" w:eastAsia="Times New Roman"/>
          <w:lang w:eastAsia="ar-SA"/>
        </w:rPr>
        <w:t>St.z</w:t>
      </w:r>
      <w:proofErr w:type="spellEnd"/>
      <w:r w:rsidRPr="001E44E4">
        <w:rPr>
          <w:rFonts w:cs="Times New Roman" w:eastAsia="Times New Roman"/>
          <w:lang w:eastAsia="ar-SA"/>
        </w:rPr>
        <w:t xml:space="preserve">.), te je iz tako obrađenih podataka vidljiv znatan </w:t>
      </w:r>
      <w:proofErr w:type="spellStart"/>
      <w:r w:rsidRPr="001E44E4">
        <w:rPr>
          <w:rFonts w:cs="Times New Roman" w:eastAsia="Times New Roman"/>
          <w:lang w:eastAsia="ar-SA"/>
        </w:rPr>
        <w:t>nesrazmjer</w:t>
      </w:r>
      <w:proofErr w:type="spellEnd"/>
      <w:r w:rsidRPr="001E44E4">
        <w:rPr>
          <w:rFonts w:cs="Times New Roman" w:eastAsia="Times New Roman"/>
          <w:lang w:eastAsia="ar-SA"/>
        </w:rPr>
        <w:t xml:space="preserve"> između imovine društva i popisanih obveza, a koji je </w:t>
      </w:r>
      <w:proofErr w:type="spellStart"/>
      <w:r w:rsidRPr="001E44E4">
        <w:rPr>
          <w:rFonts w:cs="Times New Roman" w:eastAsia="Times New Roman"/>
          <w:lang w:eastAsia="ar-SA"/>
        </w:rPr>
        <w:t>nesrazmjer</w:t>
      </w:r>
      <w:proofErr w:type="spellEnd"/>
      <w:r w:rsidRPr="001E44E4">
        <w:rPr>
          <w:rFonts w:cs="Times New Roman" w:eastAsia="Times New Roman"/>
          <w:lang w:eastAsia="ar-SA"/>
        </w:rPr>
        <w:t xml:space="preserve"> utvrđen i u prethodnom postupku prigodom ocjene stečajnog razloga prezaduženosti.</w:t>
      </w:r>
    </w:p>
    <w:p w:rsidRDefault="001E44E4" w:rsidP="001E44E4" w:rsidR="001E44E4" w:rsidRPr="001E44E4">
      <w:pPr>
        <w:suppressAutoHyphens/>
        <w:spacing w:after="0"/>
        <w:rPr>
          <w:rFonts w:cs="Times New Roman" w:eastAsia="Times New Roman"/>
          <w:b/>
          <w:lang w:eastAsia="ar-SA"/>
        </w:rPr>
      </w:pPr>
    </w:p>
    <w:p w:rsidRDefault="001E44E4" w:rsidP="001E44E4" w:rsidR="001E44E4" w:rsidRPr="001E44E4">
      <w:pPr>
        <w:suppressAutoHyphens/>
        <w:spacing w:after="0"/>
        <w:rPr>
          <w:rFonts w:cs="Times New Roman" w:eastAsia="Times New Roman"/>
          <w:b/>
          <w:lang w:eastAsia="ar-SA"/>
        </w:rPr>
      </w:pPr>
    </w:p>
    <w:p w:rsidRDefault="001E44E4" w:rsidP="001E44E4" w:rsidR="001E44E4" w:rsidRPr="001E44E4">
      <w:pPr>
        <w:suppressAutoHyphens/>
        <w:spacing w:after="0"/>
        <w:rPr>
          <w:rFonts w:cs="Times New Roman" w:eastAsia="Times New Roman"/>
          <w:b/>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b/>
          <w:lang w:eastAsia="ar-SA"/>
        </w:rPr>
        <w:t>Imovina</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b/>
          <w:bCs/>
          <w:lang w:eastAsia="ar-SA"/>
        </w:rPr>
      </w:pPr>
      <w:r w:rsidRPr="001E44E4">
        <w:rPr>
          <w:rFonts w:cs="Times New Roman" w:eastAsia="Times New Roman"/>
          <w:lang w:eastAsia="ar-SA"/>
        </w:rPr>
        <w:t>Popisom predmeta stečajne mase obuhvaćena je materijalna imovina/pokretnine, procijenjene vrijednosti</w:t>
      </w:r>
      <w:r w:rsidRPr="001E44E4">
        <w:rPr>
          <w:rFonts w:cs="Arial" w:eastAsia="Times New Roman" w:hAnsi="Arial" w:ascii="Arial"/>
          <w:b/>
          <w:bCs/>
          <w:sz w:val="20"/>
          <w:szCs w:val="20"/>
          <w:lang w:eastAsia="ar-SA"/>
        </w:rPr>
        <w:t xml:space="preserve"> </w:t>
      </w:r>
      <w:r w:rsidRPr="001E44E4">
        <w:rPr>
          <w:rFonts w:cs="Times New Roman" w:eastAsia="Times New Roman"/>
          <w:b/>
          <w:bCs/>
          <w:lang w:eastAsia="ar-SA"/>
        </w:rPr>
        <w:t xml:space="preserve"> 76.545,00 kn </w:t>
      </w:r>
      <w:proofErr w:type="spellStart"/>
      <w:r w:rsidRPr="001E44E4">
        <w:rPr>
          <w:rFonts w:cs="Times New Roman" w:eastAsia="Times New Roman"/>
          <w:b/>
          <w:bCs/>
          <w:lang w:eastAsia="ar-SA"/>
        </w:rPr>
        <w:t>kn</w:t>
      </w:r>
      <w:proofErr w:type="spellEnd"/>
      <w:r w:rsidRPr="001E44E4">
        <w:rPr>
          <w:rFonts w:cs="Times New Roman" w:eastAsia="Times New Roman"/>
          <w:b/>
          <w:bCs/>
          <w:lang w:eastAsia="ar-SA"/>
        </w:rPr>
        <w:t xml:space="preserve">, </w:t>
      </w:r>
      <w:r w:rsidRPr="001E44E4">
        <w:rPr>
          <w:rFonts w:cs="Times New Roman" w:eastAsia="Times New Roman"/>
          <w:lang w:eastAsia="ar-SA"/>
        </w:rPr>
        <w:t>te potraživanja u iznosu od</w:t>
      </w:r>
      <w:r w:rsidRPr="001E44E4">
        <w:rPr>
          <w:rFonts w:cs="Times New Roman" w:eastAsia="Times New Roman"/>
          <w:b/>
          <w:bCs/>
          <w:lang w:eastAsia="ar-SA"/>
        </w:rPr>
        <w:t xml:space="preserve"> 305.928,25 kn, </w:t>
      </w:r>
      <w:r w:rsidRPr="001E44E4">
        <w:rPr>
          <w:rFonts w:cs="Times New Roman" w:eastAsia="Times New Roman"/>
          <w:lang w:eastAsia="ar-SA"/>
        </w:rPr>
        <w:t>odnosno ukupno imovina u vrijednosti od</w:t>
      </w:r>
      <w:r w:rsidRPr="001E44E4">
        <w:rPr>
          <w:rFonts w:cs="Times New Roman" w:eastAsia="Times New Roman"/>
          <w:b/>
          <w:bCs/>
          <w:lang w:eastAsia="ar-SA"/>
        </w:rPr>
        <w:t xml:space="preserve"> 382.473,25 kn </w:t>
      </w:r>
      <w:proofErr w:type="spellStart"/>
      <w:r w:rsidRPr="001E44E4">
        <w:rPr>
          <w:rFonts w:cs="Times New Roman" w:eastAsia="Times New Roman"/>
          <w:b/>
          <w:bCs/>
          <w:lang w:eastAsia="ar-SA"/>
        </w:rPr>
        <w:t>kn</w:t>
      </w:r>
      <w:proofErr w:type="spellEnd"/>
      <w:r w:rsidRPr="001E44E4">
        <w:rPr>
          <w:rFonts w:cs="Times New Roman" w:eastAsia="Times New Roman"/>
          <w:b/>
          <w:bCs/>
          <w:lang w:eastAsia="ar-SA"/>
        </w:rPr>
        <w:t xml:space="preserve">. </w:t>
      </w:r>
    </w:p>
    <w:p w:rsidRDefault="001E44E4" w:rsidP="001E44E4" w:rsidR="001E44E4" w:rsidRPr="001E44E4">
      <w:pPr>
        <w:suppressAutoHyphens/>
        <w:spacing w:after="0"/>
        <w:rPr>
          <w:rFonts w:cs="Arial" w:eastAsia="Times New Roman" w:hAnsi="Arial" w:ascii="Arial"/>
          <w:b/>
          <w:bCs/>
          <w:sz w:val="20"/>
          <w:szCs w:val="20"/>
          <w:lang w:eastAsia="ar-SA"/>
        </w:rPr>
      </w:pPr>
    </w:p>
    <w:p w:rsidRDefault="001E44E4" w:rsidP="001E44E4" w:rsidR="001E44E4" w:rsidRPr="001E44E4">
      <w:pPr>
        <w:suppressAutoHyphens/>
        <w:spacing w:after="0"/>
        <w:rPr>
          <w:rFonts w:cs="Times New Roman" w:eastAsia="Times New Roman"/>
          <w:bCs/>
          <w:lang w:eastAsia="ar-SA"/>
        </w:rPr>
      </w:pPr>
      <w:r w:rsidRPr="001E44E4">
        <w:rPr>
          <w:rFonts w:cs="Times New Roman" w:eastAsia="Times New Roman"/>
          <w:bCs/>
          <w:lang w:eastAsia="ar-SA"/>
        </w:rPr>
        <w:t xml:space="preserve">Vezano uz potraživanja važno je naglasiti da je već sada dio potraživanja u iznosu od 104.502,72 kn izdvojen kao vjerojatno </w:t>
      </w:r>
      <w:proofErr w:type="spellStart"/>
      <w:r w:rsidRPr="001E44E4">
        <w:rPr>
          <w:rFonts w:cs="Times New Roman" w:eastAsia="Times New Roman"/>
          <w:bCs/>
          <w:lang w:eastAsia="ar-SA"/>
        </w:rPr>
        <w:t>neunovčiva</w:t>
      </w:r>
      <w:proofErr w:type="spellEnd"/>
      <w:r w:rsidRPr="001E44E4">
        <w:rPr>
          <w:rFonts w:cs="Times New Roman" w:eastAsia="Times New Roman"/>
          <w:bCs/>
          <w:lang w:eastAsia="ar-SA"/>
        </w:rPr>
        <w:t xml:space="preserve"> imovina, dok je i za dio ostalih potraživanja u iznosu od  60.949,93 kn unesena napomena da se ne očekuje naplata u mirnom postupku, odnosno o pokrenutom </w:t>
      </w:r>
      <w:proofErr w:type="spellStart"/>
      <w:r w:rsidRPr="001E44E4">
        <w:rPr>
          <w:rFonts w:cs="Times New Roman" w:eastAsia="Times New Roman"/>
          <w:bCs/>
          <w:lang w:eastAsia="ar-SA"/>
        </w:rPr>
        <w:t>predstečaju</w:t>
      </w:r>
      <w:proofErr w:type="spellEnd"/>
      <w:r w:rsidRPr="001E44E4">
        <w:rPr>
          <w:rFonts w:cs="Times New Roman" w:eastAsia="Times New Roman"/>
          <w:bCs/>
          <w:lang w:eastAsia="ar-SA"/>
        </w:rPr>
        <w:t xml:space="preserve">, pa se i taj dio potraživanja može smatrati teško naplativim. </w:t>
      </w:r>
    </w:p>
    <w:p w:rsidRDefault="001E44E4" w:rsidP="001E44E4" w:rsidR="001E44E4" w:rsidRPr="001E44E4">
      <w:pPr>
        <w:suppressAutoHyphens/>
        <w:spacing w:after="0"/>
        <w:rPr>
          <w:rFonts w:cs="Times New Roman" w:eastAsia="Times New Roman"/>
          <w:bCs/>
          <w:lang w:eastAsia="ar-SA"/>
        </w:rPr>
      </w:pPr>
      <w:r w:rsidRPr="001E44E4">
        <w:rPr>
          <w:rFonts w:cs="Times New Roman" w:eastAsia="Times New Roman"/>
          <w:bCs/>
          <w:lang w:eastAsia="ar-SA"/>
        </w:rPr>
        <w:t>Također je popisom obuhvaćen predujam za troškove stečajnog postupka od 11.000,00 kn, koji je izdvojen na računu Trgovačkog suda u Bjelovaru.</w:t>
      </w:r>
    </w:p>
    <w:p w:rsidRDefault="001E44E4" w:rsidP="001E44E4" w:rsidR="001E44E4" w:rsidRPr="001E44E4">
      <w:pPr>
        <w:suppressAutoHyphens/>
        <w:spacing w:after="0"/>
        <w:rPr>
          <w:rFonts w:cs="Times New Roman" w:eastAsia="Times New Roman"/>
          <w:bCs/>
          <w:lang w:eastAsia="ar-SA"/>
        </w:rPr>
      </w:pPr>
      <w:r w:rsidRPr="001E44E4">
        <w:rPr>
          <w:rFonts w:cs="Times New Roman" w:eastAsia="Times New Roman"/>
          <w:bCs/>
          <w:lang w:eastAsia="ar-SA"/>
        </w:rPr>
        <w:lastRenderedPageBreak/>
        <w:t xml:space="preserve">Od preostalih </w:t>
      </w:r>
      <w:r w:rsidRPr="001E44E4">
        <w:rPr>
          <w:rFonts w:cs="Times New Roman" w:eastAsia="Times New Roman"/>
          <w:b/>
          <w:bCs/>
          <w:lang w:eastAsia="ar-SA"/>
        </w:rPr>
        <w:t>129.475,60 kn</w:t>
      </w:r>
      <w:r w:rsidRPr="001E44E4">
        <w:rPr>
          <w:rFonts w:cs="Times New Roman" w:eastAsia="Times New Roman"/>
          <w:bCs/>
          <w:lang w:eastAsia="ar-SA"/>
        </w:rPr>
        <w:t xml:space="preserve"> potraživanja, do dana ovog izvješća naplaćeno je </w:t>
      </w:r>
      <w:r w:rsidRPr="001E44E4">
        <w:rPr>
          <w:rFonts w:cs="Times New Roman" w:eastAsia="Times New Roman"/>
          <w:b/>
          <w:bCs/>
          <w:lang w:eastAsia="ar-SA"/>
        </w:rPr>
        <w:t>92.324,00 kn</w:t>
      </w:r>
      <w:r w:rsidRPr="001E44E4">
        <w:rPr>
          <w:rFonts w:cs="Times New Roman" w:eastAsia="Times New Roman"/>
          <w:bCs/>
          <w:lang w:eastAsia="ar-SA"/>
        </w:rPr>
        <w:t xml:space="preserve">, pa je za očekivati da će uslijediti naplata, barem u pretežitom dijelu, iznosa od </w:t>
      </w:r>
      <w:r w:rsidRPr="001E44E4">
        <w:rPr>
          <w:rFonts w:cs="Times New Roman" w:eastAsia="Times New Roman"/>
          <w:b/>
          <w:bCs/>
          <w:lang w:eastAsia="ar-SA"/>
        </w:rPr>
        <w:t>37.151,60 kn</w:t>
      </w:r>
      <w:r w:rsidRPr="001E44E4">
        <w:rPr>
          <w:rFonts w:cs="Times New Roman" w:eastAsia="Times New Roman"/>
          <w:bCs/>
          <w:lang w:eastAsia="ar-SA"/>
        </w:rPr>
        <w:t xml:space="preserve"> preostalih unovčivih potraživanja.</w:t>
      </w:r>
    </w:p>
    <w:p w:rsidRDefault="001E44E4" w:rsidP="001E44E4" w:rsidR="001E44E4" w:rsidRPr="001E44E4">
      <w:pPr>
        <w:suppressAutoHyphens/>
        <w:spacing w:after="0"/>
        <w:rPr>
          <w:rFonts w:cs="Arial" w:eastAsia="Times New Roman" w:hAnsi="Arial" w:ascii="Arial"/>
          <w:b/>
          <w:bCs/>
          <w:sz w:val="20"/>
          <w:szCs w:val="20"/>
          <w:lang w:eastAsia="ar-SA"/>
        </w:rPr>
      </w:pPr>
    </w:p>
    <w:p w:rsidRDefault="001E44E4" w:rsidP="001E44E4" w:rsidR="001E44E4" w:rsidRPr="001E44E4">
      <w:pPr>
        <w:suppressAutoHyphens/>
        <w:spacing w:after="0"/>
        <w:rPr>
          <w:rFonts w:cs="Times New Roman" w:eastAsia="Times New Roman"/>
          <w:bCs/>
          <w:lang w:eastAsia="ar-SA"/>
        </w:rPr>
      </w:pPr>
      <w:r w:rsidRPr="001E44E4">
        <w:rPr>
          <w:rFonts w:cs="Times New Roman" w:eastAsia="Times New Roman"/>
          <w:bCs/>
          <w:lang w:eastAsia="ar-SA"/>
        </w:rPr>
        <w:t xml:space="preserve">Pokretnine su procijenjene od strane stalnog sudskog vještaka Krešimira </w:t>
      </w:r>
      <w:proofErr w:type="spellStart"/>
      <w:r w:rsidRPr="001E44E4">
        <w:rPr>
          <w:rFonts w:cs="Times New Roman" w:eastAsia="Times New Roman"/>
          <w:bCs/>
          <w:lang w:eastAsia="ar-SA"/>
        </w:rPr>
        <w:t>Antulova</w:t>
      </w:r>
      <w:proofErr w:type="spellEnd"/>
      <w:r w:rsidRPr="001E44E4">
        <w:rPr>
          <w:rFonts w:cs="Times New Roman" w:eastAsia="Times New Roman"/>
          <w:bCs/>
          <w:lang w:eastAsia="ar-SA"/>
        </w:rPr>
        <w:t xml:space="preserve"> iz Bjelovara dana 8.12.2017.</w:t>
      </w:r>
    </w:p>
    <w:p w:rsidRDefault="001E44E4" w:rsidP="001E44E4" w:rsidR="001E44E4" w:rsidRPr="001E44E4">
      <w:pPr>
        <w:suppressAutoHyphens/>
        <w:spacing w:after="0"/>
        <w:rPr>
          <w:rFonts w:cs="Times New Roman" w:eastAsia="Times New Roman"/>
          <w:bCs/>
          <w:lang w:eastAsia="ar-SA"/>
        </w:rPr>
      </w:pPr>
    </w:p>
    <w:p w:rsidRDefault="001E44E4" w:rsidP="001E44E4" w:rsidR="001E44E4" w:rsidRPr="001E44E4">
      <w:pPr>
        <w:suppressAutoHyphens/>
        <w:spacing w:after="0"/>
        <w:rPr>
          <w:rFonts w:cs="Times New Roman" w:eastAsia="Times New Roman"/>
          <w:bCs/>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b/>
          <w:lang w:eastAsia="ar-SA"/>
        </w:rPr>
        <w:t>Obveze</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 xml:space="preserve">U popisu vjerovnika nisu iskazane obveze prema vjerovnicima 1. višeg isplatnog reda, a iskazane su obveze od  </w:t>
      </w:r>
      <w:r w:rsidRPr="001E44E4">
        <w:rPr>
          <w:rFonts w:cs="Times New Roman" w:eastAsia="Times New Roman"/>
          <w:b/>
          <w:bCs/>
          <w:lang w:eastAsia="ar-SA"/>
        </w:rPr>
        <w:t xml:space="preserve">17.269.989,80 </w:t>
      </w:r>
      <w:r w:rsidRPr="001E44E4">
        <w:rPr>
          <w:rFonts w:cs="Times New Roman" w:eastAsia="Times New Roman"/>
          <w:b/>
          <w:lang w:eastAsia="ar-SA"/>
        </w:rPr>
        <w:t>kn</w:t>
      </w:r>
      <w:r w:rsidRPr="001E44E4">
        <w:rPr>
          <w:rFonts w:cs="Times New Roman" w:eastAsia="Times New Roman"/>
          <w:lang w:eastAsia="ar-SA"/>
        </w:rPr>
        <w:t xml:space="preserve"> obveza prema vjerovnicima  2. višeg isplatnog reda, što odgovara iznosu prijavljenih tražbina.</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Naime, čl. 222 Stečajnog zakona propisana je obveza stečajnog upravitelja da sastavi popis svih dužnikovih vjerovnika za koje je saznao iz poslovnih knjiga i poslovne dokumentacije dužnika, iz drugih podataka dužnika, prijava tražbina ili na drugi način i iz tog razloga sudu je uz izvješća priložen i navedeni pregled.</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 xml:space="preserve">No obzirom na odredbu čl. 257 st 6, koja, za razliku od ranijeg zakonskog rješenja iz čl. 176. SZ, više ne dopušta dodatni rok za prijave, obveze koje nisu prijavljene u roku, a koje nisu predmet prijeboja, </w:t>
      </w:r>
      <w:proofErr w:type="spellStart"/>
      <w:r w:rsidRPr="001E44E4">
        <w:rPr>
          <w:rFonts w:cs="Times New Roman" w:eastAsia="Times New Roman"/>
          <w:lang w:eastAsia="ar-SA"/>
        </w:rPr>
        <w:t>razlučnog</w:t>
      </w:r>
      <w:proofErr w:type="spellEnd"/>
      <w:r w:rsidRPr="001E44E4">
        <w:rPr>
          <w:rFonts w:cs="Times New Roman" w:eastAsia="Times New Roman"/>
          <w:lang w:eastAsia="ar-SA"/>
        </w:rPr>
        <w:t xml:space="preserve"> prava i sl., prestaju po zakonu, pa stoga njihovo iskazivanje u zbiru ukupnih obveza ne bi bilo ispravno.</w:t>
      </w: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S druge strane kao potencijalne iskazane su obveze koje su osporene, a zbog mogućnosti da se iste ostvare u parnici.</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b/>
          <w:lang w:eastAsia="ar-SA"/>
        </w:rPr>
        <w:t>Tijek stečajnog postupka</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U dosadašnjem tijeku stečajnog postupka obavljen je popis imovine te je  izvršena procjena materijalne imovine od strane ovlaštenog procjenitelja.</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Izrađen je žig te je izvršeno zatvaranje žiro računa prednika stečajnog dužnika i otvoren novi žiro račun društva u stečaju.</w:t>
      </w: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Izvršena je prijava Državnom zavodu za statistiku.</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Izrađena je i dostavljena zakonom propisana dokumentacija u stečajnom postupku.</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Nastavljeno je poslovanje stečajnog dužnika sukladno suglasnosti Odbora vjerovnika od 29.11.2017.</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U nastavljenom poslovanju stečajnog dužnika ostvarivani su prihodi iz redovnog poslovanja, pa je tako u razdoblju od otvaranja stečajnog postupka zaključno sa danom 24.1.2018., ostvareno ukupno 181.878,72 kn prihoda (bez PDV-a) odnosno fakturirano ukupno 227.348,40 kn.</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lastRenderedPageBreak/>
        <w:t xml:space="preserve">Od ostvarenih prihoda naplaćeno je 118.632,73 kn prilivom na žiro račun. Dio </w:t>
      </w:r>
      <w:proofErr w:type="spellStart"/>
      <w:r w:rsidRPr="001E44E4">
        <w:rPr>
          <w:rFonts w:cs="Times New Roman" w:eastAsia="Times New Roman"/>
          <w:lang w:eastAsia="ar-SA"/>
        </w:rPr>
        <w:t>novostvarenih</w:t>
      </w:r>
      <w:proofErr w:type="spellEnd"/>
      <w:r w:rsidRPr="001E44E4">
        <w:rPr>
          <w:rFonts w:cs="Times New Roman" w:eastAsia="Times New Roman"/>
          <w:lang w:eastAsia="ar-SA"/>
        </w:rPr>
        <w:t xml:space="preserve"> prihoda naplaćen je ili se očekuje naplatiti prijebojem, tako da je iznos nenaplaćenih novonastalih računa za koje se očekuje naplata na nivou od </w:t>
      </w:r>
      <w:proofErr w:type="spellStart"/>
      <w:r w:rsidRPr="001E44E4">
        <w:rPr>
          <w:rFonts w:cs="Times New Roman" w:eastAsia="Times New Roman"/>
          <w:lang w:eastAsia="ar-SA"/>
        </w:rPr>
        <w:t>cca</w:t>
      </w:r>
      <w:proofErr w:type="spellEnd"/>
      <w:r w:rsidRPr="001E44E4">
        <w:rPr>
          <w:rFonts w:cs="Times New Roman" w:eastAsia="Times New Roman"/>
          <w:lang w:eastAsia="ar-SA"/>
        </w:rPr>
        <w:t xml:space="preserve"> 40.000,00 kn.</w:t>
      </w: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Ranije je navedeno da su naplaćena potraživanja iz razdoblja prije otvaranja stečajnog postupka u iznosu od 92.324,00 kn od kojeg iznosa je 10.750,00 kn naplaćeno prijebojem, dok je iznos od 81.574,00 kn prispio na žiro račun.</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Od ukupno naplaćenih 200.197,73 kn (na žiro račun), isplaćena je plaća u iznosu od 99.376,26 kn, plaćen PDV u iznos od 10.059,08 kn, plaćeni dobavljači u iznosu od 44.826,14 kn, te je na žiro računu preostao iznos od 45.936,25 kn.</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Stečajni dužnik redovito podmiruje svoje dospjele obveze, pa se tako iskazani iznos dugovanja prema dobavljačima na dan 24.1.2018. od 39.077,71 kn pretežito odnosi na neprovedene prijeboje, dok se manjim dijelom odnosi na nedospjele obveze ili plaćene, a još neproknjižene obveze.</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jc w:val="both"/>
        <w:rPr>
          <w:rFonts w:cs="Times New Roman" w:eastAsia="Times New Roman"/>
          <w:lang w:eastAsia="ar-SA"/>
        </w:rPr>
      </w:pPr>
      <w:r w:rsidRPr="001E44E4">
        <w:rPr>
          <w:rFonts w:cs="Times New Roman" w:eastAsia="Times New Roman"/>
          <w:lang w:eastAsia="ar-SA"/>
        </w:rPr>
        <w:t xml:space="preserve">Dužnik je, uz prijedlog za otvaranje stečajnog postupka, predložio smjernice za donošenje stečajnog plana, u skladu sa čl. 304. st. 3 Stečajnog i to: </w:t>
      </w:r>
    </w:p>
    <w:p w:rsidRDefault="001E44E4" w:rsidP="001E44E4" w:rsidR="001E44E4" w:rsidRPr="001E44E4">
      <w:pPr>
        <w:suppressAutoHyphens/>
        <w:spacing w:after="0"/>
        <w:jc w:val="both"/>
        <w:rPr>
          <w:rFonts w:cs="Times New Roman" w:eastAsia="Times New Roman"/>
        </w:rPr>
      </w:pPr>
    </w:p>
    <w:p w:rsidRDefault="001E44E4" w:rsidP="001E44E4" w:rsidR="001E44E4" w:rsidRPr="001E44E4">
      <w:pPr>
        <w:numPr>
          <w:ilvl w:val="0"/>
          <w:numId w:val="47"/>
        </w:numPr>
        <w:suppressAutoHyphens/>
        <w:spacing w:lineRule="auto" w:line="276" w:after="0"/>
        <w:contextualSpacing/>
        <w:jc w:val="both"/>
        <w:rPr>
          <w:rFonts w:cs="Times New Roman" w:eastAsia="Calibri"/>
        </w:rPr>
      </w:pPr>
      <w:r w:rsidRPr="001E44E4">
        <w:rPr>
          <w:rFonts w:cs="Times New Roman" w:eastAsia="Calibri"/>
        </w:rPr>
        <w:t xml:space="preserve">Nastavak rada u stečaju </w:t>
      </w:r>
    </w:p>
    <w:p w:rsidRDefault="001E44E4" w:rsidP="001E44E4" w:rsidR="001E44E4" w:rsidRPr="001E44E4">
      <w:pPr>
        <w:numPr>
          <w:ilvl w:val="0"/>
          <w:numId w:val="47"/>
        </w:numPr>
        <w:suppressAutoHyphens/>
        <w:spacing w:lineRule="auto" w:line="276" w:after="0"/>
        <w:contextualSpacing/>
        <w:jc w:val="both"/>
        <w:rPr>
          <w:rFonts w:cs="Times New Roman" w:eastAsia="Calibri"/>
        </w:rPr>
      </w:pPr>
      <w:r w:rsidRPr="001E44E4">
        <w:rPr>
          <w:rFonts w:cs="Times New Roman" w:eastAsia="Calibri"/>
        </w:rPr>
        <w:t>Otpis dijela tražbina i pretvaranje preostalih tražbina vjerovnika u udjele u društvu</w:t>
      </w:r>
    </w:p>
    <w:p w:rsidRDefault="001E44E4" w:rsidP="001E44E4" w:rsidR="001E44E4" w:rsidRPr="001E44E4">
      <w:pPr>
        <w:spacing w:lineRule="auto" w:line="276" w:after="0"/>
        <w:contextualSpacing/>
        <w:jc w:val="both"/>
        <w:rPr>
          <w:rFonts w:cs="Times New Roman" w:eastAsia="Calibri"/>
        </w:rPr>
      </w:pPr>
    </w:p>
    <w:p w:rsidRDefault="001E44E4" w:rsidP="001E44E4" w:rsidR="001E44E4" w:rsidRPr="001E44E4">
      <w:pPr>
        <w:spacing w:lineRule="auto" w:line="276" w:after="0"/>
        <w:contextualSpacing/>
        <w:jc w:val="both"/>
        <w:rPr>
          <w:rFonts w:cs="Times New Roman" w:eastAsia="Calibri"/>
        </w:rPr>
      </w:pPr>
      <w:r w:rsidRPr="001E44E4">
        <w:rPr>
          <w:rFonts w:cs="Times New Roman" w:eastAsia="Calibri"/>
        </w:rPr>
        <w:t>Predlažem da se o ovim smjernicama raspravi na izvještajnom ročištu te da se o istima očituju vjerovnici.</w:t>
      </w:r>
    </w:p>
    <w:p w:rsidRDefault="001E44E4" w:rsidP="001E44E4" w:rsidR="001E44E4" w:rsidRPr="001E44E4">
      <w:pPr>
        <w:spacing w:lineRule="auto" w:line="276" w:after="0"/>
        <w:contextualSpacing/>
        <w:jc w:val="both"/>
        <w:rPr>
          <w:rFonts w:cs="Times New Roman" w:eastAsia="Calibri"/>
        </w:rPr>
      </w:pPr>
    </w:p>
    <w:p w:rsidRDefault="001E44E4" w:rsidP="001E44E4" w:rsidR="001E44E4" w:rsidRPr="001E44E4">
      <w:pPr>
        <w:spacing w:lineRule="auto" w:line="276" w:after="0"/>
        <w:contextualSpacing/>
        <w:jc w:val="both"/>
        <w:rPr>
          <w:rFonts w:cs="Times New Roman" w:eastAsia="Calibri"/>
        </w:rPr>
      </w:pPr>
      <w:r w:rsidRPr="001E44E4">
        <w:rPr>
          <w:rFonts w:cs="Times New Roman" w:eastAsia="Calibri"/>
        </w:rPr>
        <w:t>U vezi sa obvezom stečajnog upravitelja da se očituje o predloženim smjernicama ističem kako je u dosadašnjem dijelu postupka poslovanje već nastavljeno i kako nema prepreka da se isto nastavi i dalje. Također sam suglasan da se za društvo izradi stečajni plan, a predložene smjernice ocjenjujem dobrom početnom osnovom pri izradi stečajnog plana.</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Stoga skupštini predlažem donošenje :</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1. odluke o prihvaćanju izvješća stečajnog upravitelja</w:t>
      </w: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2. odluke kojom se stečajnom upravitelju nalaže izrada stečajnog plana i njegovo podnošenje sudu u roku od 90 dana</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color w:val="FF6600"/>
          <w:lang w:eastAsia="ar-SA"/>
        </w:rPr>
      </w:pPr>
    </w:p>
    <w:p w:rsidRDefault="001E44E4" w:rsidP="001E44E4" w:rsidR="001E44E4" w:rsidRPr="001E44E4">
      <w:pPr>
        <w:suppressAutoHyphens/>
        <w:spacing w:after="0"/>
        <w:rPr>
          <w:rFonts w:cs="Times New Roman" w:eastAsia="Times New Roman"/>
          <w:lang w:eastAsia="ar-SA"/>
        </w:rPr>
      </w:pPr>
      <w:r w:rsidRPr="001E44E4">
        <w:rPr>
          <w:rFonts w:cs="Times New Roman" w:eastAsia="Times New Roman"/>
          <w:lang w:eastAsia="ar-SA"/>
        </w:rPr>
        <w:t>U Koprivnici 26.1.2018.</w:t>
      </w: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rPr>
          <w:rFonts w:cs="Times New Roman" w:eastAsia="Times New Roman"/>
          <w:lang w:eastAsia="ar-SA"/>
        </w:rPr>
      </w:pPr>
    </w:p>
    <w:p w:rsidRDefault="001E44E4" w:rsidP="001E44E4" w:rsidR="001E44E4" w:rsidRPr="001E44E4">
      <w:pPr>
        <w:suppressAutoHyphens/>
        <w:spacing w:after="0"/>
        <w:ind w:left="7080"/>
        <w:rPr>
          <w:rFonts w:cs="Times New Roman" w:eastAsia="Times New Roman"/>
          <w:lang w:eastAsia="ar-SA"/>
        </w:rPr>
      </w:pPr>
      <w:r w:rsidRPr="001E44E4">
        <w:rPr>
          <w:rFonts w:cs="Times New Roman" w:eastAsia="Times New Roman"/>
          <w:lang w:eastAsia="ar-SA"/>
        </w:rPr>
        <w:t>Stečajni Upravitelj</w:t>
      </w:r>
    </w:p>
    <w:p w:rsidRDefault="001E44E4" w:rsidP="001E44E4" w:rsidR="001E44E4" w:rsidRPr="001E44E4">
      <w:pPr>
        <w:suppressAutoHyphens/>
        <w:spacing w:after="0"/>
        <w:ind w:left="7080"/>
        <w:rPr>
          <w:rFonts w:cs="Times New Roman" w:eastAsia="Times New Roman"/>
          <w:lang w:eastAsia="ar-SA"/>
        </w:rPr>
      </w:pPr>
      <w:r w:rsidRPr="001E44E4">
        <w:rPr>
          <w:rFonts w:cs="Times New Roman" w:eastAsia="Times New Roman"/>
          <w:lang w:eastAsia="ar-SA"/>
        </w:rPr>
        <w:t>Nenad Homar</w:t>
      </w:r>
    </w:p>
    <w:p w:rsidRDefault="001E44E4" w:rsidP="001E44E4" w:rsidR="001E44E4" w:rsidRPr="001E44E4">
      <w:pPr>
        <w:suppressAutoHyphens/>
        <w:spacing w:after="0"/>
        <w:ind w:left="7080"/>
        <w:rPr>
          <w:rFonts w:cs="Times New Roman" w:eastAsia="Times New Roman"/>
          <w:lang w:eastAsia="ar-SA"/>
        </w:rPr>
      </w:pPr>
    </w:p>
    <w:p w:rsidRDefault="001E44E4" w:rsidP="001E44E4" w:rsidR="001E44E4" w:rsidRPr="001E44E4">
      <w:pPr>
        <w:suppressAutoHyphens/>
        <w:spacing w:after="0"/>
        <w:ind w:left="7080"/>
        <w:rPr>
          <w:rFonts w:cs="Times New Roman" w:eastAsia="Times New Roman"/>
          <w:lang w:eastAsia="ar-SA"/>
        </w:rPr>
      </w:pPr>
    </w:p>
    <w:p w:rsidRDefault="001E44E4" w:rsidP="001E44E4" w:rsidR="001E44E4" w:rsidRPr="001E44E4">
      <w:pPr>
        <w:suppressAutoHyphens/>
        <w:spacing w:after="0"/>
        <w:ind w:left="7080"/>
        <w:rPr>
          <w:rFonts w:cs="Times New Roman" w:eastAsia="Times New Roman"/>
          <w:lang w:eastAsia="ar-SA"/>
        </w:rPr>
      </w:pPr>
      <w:bookmarkStart w:name="_GoBack" w:id="0"/>
      <w:bookmarkEnd w:id="0"/>
    </w:p>
    <w:sectPr w:rsidSect="0032366B" w:rsidR="001E44E4" w:rsidRPr="001E44E4">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66E0B40"/>
    <w:multiLevelType w:val="hybridMultilevel"/>
    <w:tmpl w:val="A01E25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44E4"/>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84552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St-800/2017-23</izvorni_sadrzaj>
    <derivirana_varijabla naziv="DomainObject.Oznaka_1">St-800/2017-23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St-800/2017</izvorni_sadrzaj>
    <derivirana_varijabla naziv="DomainObject.Predmet.OznakaBroj_1">St-800/2017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INFORMATIVNI CENTAR BJELOVAR d.o.o.</izvorni_sadrzaj>
    <derivirana_varijabla naziv="DomainObject.Predmet.StrankaFormated_1">  INFORMATIVNI CENTAR BJELOVAR d.o.o.</derivirana_varijabla>
  </DomainObject.Predmet.StrankaFormated>
  <DomainObject.Predmet.StrankaFormatedOIB>
    <izvorni_sadrzaj>  INFORMATIVNI CENTAR BJELOVAR d.o.o., OIB 14895266944</izvorni_sadrzaj>
    <derivirana_varijabla naziv="DomainObject.Predmet.StrankaFormatedOIB_1">  INFORMATIVNI CENTAR BJELOVAR d.o.o., OIB 14895266944</derivirana_varijabla>
  </DomainObject.Predmet.StrankaFormatedOIB>
  <DomainObject.Predmet.StrankaFormatedWithAdress>
    <izvorni_sadrzaj> INFORMATIVNI CENTAR BJELOVAR d.o.o., Trg Eugena Kvaternika/bb, 43000 Bjelovar</izvorni_sadrzaj>
    <derivirana_varijabla naziv="DomainObject.Predmet.StrankaFormatedWithAdress_1"> INFORMATIVNI CENTAR BJELOVAR d.o.o., Trg Eugena Kvaternika/bb, 43000 Bjelovar</derivirana_varijabla>
  </DomainObject.Predmet.StrankaFormatedWithAdress>
  <DomainObject.Predmet.StrankaFormatedWithAdressOIB>
    <izvorni_sadrzaj> INFORMATIVNI CENTAR BJELOVAR d.o.o., OIB 14895266944, Trg Eugena Kvaternika/bb, 43000 Bjelovar</izvorni_sadrzaj>
    <derivirana_varijabla naziv="DomainObject.Predmet.StrankaFormatedWithAdressOIB_1"> INFORMATIVNI CENTAR BJELOVAR d.o.o., OIB 14895266944, Trg Eugena Kvaternika/bb, 43000 Bjelovar</derivirana_varijabla>
  </DomainObject.Predmet.StrankaFormatedWithAdressOIB>
  <DomainObject.Predmet.StrankaWithAdress>
    <izvorni_sadrzaj>INFORMATIVNI CENTAR BJELOVAR d.o.o. Trg Eugena Kvaternika/bb,43000 Bjelovar</izvorni_sadrzaj>
    <derivirana_varijabla naziv="DomainObject.Predmet.StrankaWithAdress_1">INFORMATIVNI CENTAR BJELOVAR d.o.o. Trg Eugena Kvaternika/bb,43000 Bjelovar</derivirana_varijabla>
  </DomainObject.Predmet.StrankaWithAdress>
  <DomainObject.Predmet.StrankaWithAdressOIB>
    <izvorni_sadrzaj>INFORMATIVNI CENTAR BJELOVAR d.o.o., OIB 14895266944, Trg Eugena Kvaternika/bb,43000 Bjelovar</izvorni_sadrzaj>
    <derivirana_varijabla naziv="DomainObject.Predmet.StrankaWithAdressOIB_1">INFORMATIVNI CENTAR BJELOVAR d.o.o., OIB 14895266944, Trg Eugena Kvaternika/bb,43000 Bjelovar</derivirana_varijabla>
  </DomainObject.Predmet.StrankaWithAdressOIB>
  <DomainObject.Predmet.StrankaNazivFormated>
    <izvorni_sadrzaj>INFORMATIVNI CENTAR BJELOVAR d.o.o.</izvorni_sadrzaj>
    <derivirana_varijabla naziv="DomainObject.Predmet.StrankaNazivFormated_1">INFORMATIVNI CENTAR BJELOVAR d.o.o.</derivirana_varijabla>
  </DomainObject.Predmet.StrankaNazivFormated>
  <DomainObject.Predmet.StrankaNazivFormatedOIB>
    <izvorni_sadrzaj>INFORMATIVNI CENTAR BJELOVAR d.o.o., OIB 14895266944</izvorni_sadrzaj>
    <derivirana_varijabla naziv="DomainObject.Predmet.StrankaNazivFormatedOIB_1">INFORMATIVNI CENTAR BJELOVAR d.o.o., OIB 14895266944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INFORMATIVNI CENTAR BJELOVAR d.o.o.</item>
    </izvorni_sadrzaj>
    <derivirana_varijabla naziv="DomainObject.Predmet.StrankaListFormated_1">
      <item>INFORMATIVNI CENTAR BJELOVAR d.o.o.</item>
    </derivirana_varijabla>
  </DomainObject.Predmet.StrankaListFormated>
  <DomainObject.Predmet.StrankaListFormatedOIB>
    <izvorni_sadrzaj>
      <item>INFORMATIVNI CENTAR BJELOVAR d.o.o., OIB 14895266944</item>
    </izvorni_sadrzaj>
    <derivirana_varijabla naziv="DomainObject.Predmet.StrankaListFormatedOIB_1">
      <item>INFORMATIVNI CENTAR BJELOVAR d.o.o., OIB 14895266944</item>
    </derivirana_varijabla>
  </DomainObject.Predmet.StrankaListFormatedOIB>
  <DomainObject.Predmet.StrankaListFormatedWithAdress>
    <izvorni_sadrzaj>
      <item>INFORMATIVNI CENTAR BJELOVAR d.o.o., Trg Eugena Kvaternika/bb, 43000 Bjelovar</item>
    </izvorni_sadrzaj>
    <derivirana_varijabla naziv="DomainObject.Predmet.StrankaListFormatedWithAdress_1">
      <item>INFORMATIVNI CENTAR BJELOVAR d.o.o., Trg Eugena Kvaternika/bb, 43000 Bjelovar</item>
    </derivirana_varijabla>
  </DomainObject.Predmet.StrankaListFormatedWithAdress>
  <DomainObject.Predmet.StrankaListFormatedWithAdressOIB>
    <izvorni_sadrzaj>
      <item>INFORMATIVNI CENTAR BJELOVAR d.o.o., OIB 14895266944, Trg Eugena Kvaternika/bb, 43000 Bjelovar</item>
    </izvorni_sadrzaj>
    <derivirana_varijabla naziv="DomainObject.Predmet.StrankaListFormatedWithAdressOIB_1">
      <item>INFORMATIVNI CENTAR BJELOVAR d.o.o., OIB 14895266944, Trg Eugena Kvaternika/bb, 43000 Bjelovar</item>
    </derivirana_varijabla>
  </DomainObject.Predmet.StrankaListFormatedWithAdressOIB>
  <DomainObject.Predmet.StrankaListNazivFormated>
    <izvorni_sadrzaj>
      <item>INFORMATIVNI CENTAR BJELOVAR d.o.o.</item>
    </izvorni_sadrzaj>
    <derivirana_varijabla naziv="DomainObject.Predmet.StrankaListNazivFormated_1">
      <item>INFORMATIVNI CENTAR BJELOVAR d.o.o.</item>
    </derivirana_varijabla>
  </DomainObject.Predmet.StrankaListNazivFormated>
  <DomainObject.Predmet.StrankaListNazivFormatedOIB>
    <izvorni_sadrzaj>
      <item>INFORMATIVNI CENTAR BJELOVAR d.o.o., OIB 14895266944</item>
    </izvorni_sadrzaj>
    <derivirana_varijabla naziv="DomainObject.Predmet.StrankaListNazivFormatedOIB_1">
      <item>INFORMATIVNI CENTAR BJELOVAR d.o.o., OIB 14895266944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ROBERT VESELJAK</item>
      <item>Nenad Homar</item>
      <item>Financijska agencija Bjelovar</item>
      <item>Bojana Mađerac</item>
      <item>Županijsko državno odvjetništvo u Bjelovaru</item>
    </izvorni_sadrzaj>
    <derivirana_varijabla naziv="DomainObject.Predmet.OstaliListFormated_1">
      <item>ROBERT VESELJAK</item>
      <item>Nenad Homar</item>
      <item>Financijska agencija Bjelovar</item>
      <item>Bojana Mađerac</item>
      <item>Županijsko državno odvjetništvo u Bjelovaru</item>
    </derivirana_varijabla>
  </DomainObject.Predmet.OstaliListFormated>
  <DomainObject.Predmet.OstaliListFormatedOIB>
    <izvorni_sadrzaj>
      <item>ROBERT VESELJAK, OIB 67946168060</item>
      <item>Nenad Homar, OIB 11719729882</item>
      <item>Financijska agencija Bjelovar, OIB 85821130368</item>
      <item>Bojana Mađerac</item>
      <item>Županijsko državno odvjetništvo u Bjelovaru, OIB 86821435474</item>
    </izvorni_sadrzaj>
    <derivirana_varijabla naziv="DomainObject.Predmet.OstaliListFormatedOIB_1">
      <item>ROBERT VESELJAK, OIB 67946168060</item>
      <item>Nenad Homar, OIB 11719729882</item>
      <item>Financijska agencija Bjelovar, OIB 85821130368</item>
      <item>Bojana Mađerac</item>
      <item>Županijsko državno odvjetništvo u Bjelovaru, OIB 86821435474</item>
    </derivirana_varijabla>
  </DomainObject.Predmet.OstaliListFormatedOIB>
  <DomainObject.Predmet.OstaliListFormatedWithAdress>
    <izvorni_sadrzaj>
      <item>ROBERT VESELJAK, Antuna Branka Šimića 1, 42000 Varaždin</item>
      <item>Nenad Homar, Dravska 1, 48000 Koprivnica</item>
      <item>Financijska agencija Bjelovar</item>
      <item>Bojana Mađerac</item>
      <item>Županijsko državno odvjetništvo u Bjelovaru</item>
    </izvorni_sadrzaj>
    <derivirana_varijabla naziv="DomainObject.Predmet.OstaliListFormatedWithAdress_1">
      <item>ROBERT VESELJAK, Antuna Branka Šimića 1, 42000 Varaždin</item>
      <item>Nenad Homar, Dravska 1, 48000 Koprivnica</item>
      <item>Financijska agencija Bjelovar</item>
      <item>Bojana Mađerac</item>
      <item>Županijsko državno odvjetništvo u Bjelovaru</item>
    </derivirana_varijabla>
  </DomainObject.Predmet.OstaliListFormatedWithAdress>
  <DomainObject.Predmet.OstaliListFormatedWithAdressOIB>
    <izvorni_sadrzaj>
      <item>ROBERT VESELJAK, OIB 67946168060, Antuna Branka Šimića 1, 42000 Varaždin</item>
      <item>Nenad Homar, OIB 11719729882, Dravska 1, 48000 Koprivnica</item>
      <item>Financijska agencija Bjelovar, OIB 85821130368</item>
      <item>Bojana Mađerac</item>
      <item>Županijsko državno odvjetništvo u Bjelovaru, OIB 86821435474</item>
    </izvorni_sadrzaj>
    <derivirana_varijabla naziv="DomainObject.Predmet.OstaliListFormatedWithAdressOIB_1">
      <item>ROBERT VESELJAK, OIB 67946168060, Antuna Branka Šimića 1, 42000 Varaždin</item>
      <item>Nenad Homar, OIB 11719729882, Dravska 1, 48000 Koprivnica</item>
      <item>Financijska agencija Bjelovar, OIB 85821130368</item>
      <item>Bojana Mađerac</item>
      <item>Županijsko državno odvjetništvo u Bjelovaru, OIB 86821435474</item>
    </derivirana_varijabla>
  </DomainObject.Predmet.OstaliListFormatedWithAdressOIB>
  <DomainObject.Predmet.OstaliListNazivFormated>
    <izvorni_sadrzaj>
      <item>ROBERT VESELJAK</item>
      <item>Nenad Homar</item>
      <item>Financijska agencija Bjelovar</item>
      <item>Bojana Mađerac</item>
      <item>Županijsko državno odvjetništvo u Bjelovaru</item>
    </izvorni_sadrzaj>
    <derivirana_varijabla naziv="DomainObject.Predmet.OstaliListNazivFormated_1">
      <item>ROBERT VESELJAK</item>
      <item>Nenad Homar</item>
      <item>Financijska agencija Bjelovar</item>
      <item>Bojana Mađerac</item>
      <item>Županijsko državno odvjetništvo u Bjelovaru</item>
    </derivirana_varijabla>
  </DomainObject.Predmet.OstaliListNazivFormated>
  <DomainObject.Predmet.OstaliListNazivFormatedOIB>
    <izvorni_sadrzaj>
      <item>ROBERT VESELJAK, OIB 67946168060</item>
      <item>Nenad Homar, OIB 11719729882</item>
      <item>Financijska agencija Bjelovar, OIB 85821130368</item>
      <item>Bojana Mađerac</item>
      <item>Županijsko državno odvjetništvo u Bjelovaru, OIB 86821435474</item>
    </izvorni_sadrzaj>
    <derivirana_varijabla naziv="DomainObject.Predmet.OstaliListNazivFormatedOIB_1">
      <item>ROBERT VESELJAK, OIB 67946168060</item>
      <item>Nenad Homar, OIB 11719729882</item>
      <item>Financijska agencija Bjelovar, OIB 85821130368</item>
      <item>Bojana Mađerac</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St-800/2017-23</izvorni_sadrzaj>
    <derivirana_varijabla naziv="DomainObject.PoslovniBrojDokumenta_1">St-800/2017-23</derivirana_varijabla>
  </DomainObject.PoslovniBrojDokumenta>
  <DomainObject.Predmet.StrankaIDrugi>
    <izvorni_sadrzaj>INFORMATIVNI CENTAR BJELOVAR d.o.o.</izvorni_sadrzaj>
    <derivirana_varijabla naziv="DomainObject.Predmet.StrankaIDrugi_1">INFORMATIVNI CENTAR BJELOVAR d.o.o.</derivirana_varijabla>
  </DomainObject.Predmet.StrankaIDrugi>
  <DomainObject.Predmet.ProtustrankaIDrugi>
    <izvorni_sadrzaj/>
    <derivirana_varijabla naziv="DomainObject.Predmet.ProtustrankaIDrugi_1"/>
  </DomainObject.Predmet.ProtustrankaIDrugi>
  <DomainObject.Predmet.StrankaIDrugiAdressOIB>
    <izvorni_sadrzaj>INFORMATIVNI CENTAR BJELOVAR d.o.o., OIB 14895266944, Trg Eugena Kvaternika/bb, 43000 Bjelovar</izvorni_sadrzaj>
    <derivirana_varijabla naziv="DomainObject.Predmet.StrankaIDrugiAdressOIB_1">INFORMATIVNI CENTAR BJELOVAR d.o.o., OIB 14895266944, Trg Eugena Kvaternika/bb,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INFORMATIVNI CENTAR BJELOVAR d.o.o.</item>
      <item>ROBERT VESELJAK</item>
      <item>Nenad Homar</item>
      <item>Financijska agencija Bjelovar</item>
      <item>Bojana Mađerac</item>
      <item>Županijsko državno odvjetništvo u Bjelovaru</item>
    </izvorni_sadrzaj>
    <derivirana_varijabla naziv="DomainObject.Predmet.SudioniciListNaziv_1">
      <item>INFORMATIVNI CENTAR BJELOVAR d.o.o.</item>
      <item>ROBERT VESELJAK</item>
      <item>Nenad Homar</item>
      <item>Financijska agencija Bjelovar</item>
      <item>Bojana Mađerac</item>
      <item>Županijsko državno odvjetništvo u Bjelovaru</item>
    </derivirana_varijabla>
  </DomainObject.Predmet.SudioniciListNaziv>
  <DomainObject.Predmet.SudioniciListAdressOIB>
    <izvorni_sadrzaj>
      <item>INFORMATIVNI CENTAR BJELOVAR d.o.o., OIB 14895266944, Trg Eugena Kvaternika/bb,43000 Bjelovar</item>
      <item>ROBERT VESELJAK, OIB 67946168060, Antuna Branka Šimića 1,42000 Varaždin</item>
      <item>Nenad Homar, OIB 11719729882, Dravska 1,48000 Koprivnica</item>
      <item>Financijska agencija Bjelovar, OIB 85821130368</item>
      <item>Bojana Mađerac</item>
      <item>Županijsko državno odvjetništvo u Bjelovaru, OIB 86821435474</item>
    </izvorni_sadrzaj>
    <derivirana_varijabla naziv="DomainObject.Predmet.SudioniciListAdressOIB_1">
      <item>INFORMATIVNI CENTAR BJELOVAR d.o.o., OIB 14895266944, Trg Eugena Kvaternika/bb,43000 Bjelovar</item>
      <item>ROBERT VESELJAK, OIB 67946168060, Antuna Branka Šimića 1,42000 Varaždin</item>
      <item>Nenad Homar, OIB 11719729882, Dravska 1,48000 Koprivnica</item>
      <item>Financijska agencija Bjelovar, OIB 85821130368</item>
      <item>Bojana Mađerac</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24663A-F871-4743-A96D-E3FB4EE1E6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914</properties:Words>
  <properties:Characters>5262</properties:Characters>
  <properties:Lines>182</properties:Lines>
  <properties:Paragraphs>43</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2018-01-31T13:35:00Z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St-800/2017-23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