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ccdd" w14:paraId="eccccdd" w:rsidRDefault="00353C39" w:rsidP="00563A19" w:rsidR="00353C39">
      <w:pPr>
        <w15:collapsed w:val="false"/>
      </w:pPr>
      <w:bookmarkStart w:name="_GoBack" w:id="0"/>
      <w:bookmarkEnd w:id="0"/>
    </w:p>
    <w:p w:rsidRDefault="00B230A5" w:rsidP="00563A19" w:rsidR="00B230A5"/>
    <w:p w:rsidRDefault="00B230A5" w:rsidP="00563A19" w:rsidR="00B230A5"/>
    <w:p w:rsidRDefault="008C79D8" w:rsidP="008C79D8" w:rsidR="008C79D8" w:rsidRPr="00D766A8"/>
    <w:p w:rsidRDefault="008C79D8" w:rsidP="008C79D8" w:rsidR="008C79D8" w:rsidRPr="00D766A8"/>
    <w:p w:rsidRDefault="008C79D8" w:rsidP="008C79D8" w:rsidR="008C79D8" w:rsidRPr="00D766A8"/>
    <w:p w:rsidRDefault="008C79D8" w:rsidP="008C79D8" w:rsidR="008C79D8"/>
    <w:p w:rsidRDefault="008C79D8" w:rsidP="008C79D8" w:rsidR="008C79D8"/>
    <w:p w:rsidRDefault="008C79D8" w:rsidP="008C79D8" w:rsidR="008C79D8" w:rsidRPr="008C79D8">
      <w:pPr>
        <w:jc w:val="center"/>
        <w:rPr>
          <w:b/>
        </w:rPr>
      </w:pPr>
      <w:r w:rsidRPr="008C79D8">
        <w:rPr>
          <w:b/>
        </w:rPr>
        <w:t>U</w:t>
      </w:r>
      <w:r>
        <w:rPr>
          <w:b/>
        </w:rPr>
        <w:t xml:space="preserve">  </w:t>
      </w:r>
      <w:r w:rsidRPr="008C79D8">
        <w:rPr>
          <w:b/>
        </w:rPr>
        <w:t xml:space="preserve"> I</w:t>
      </w:r>
      <w:r>
        <w:rPr>
          <w:b/>
        </w:rPr>
        <w:t xml:space="preserve"> </w:t>
      </w:r>
      <w:r w:rsidRPr="008C79D8">
        <w:rPr>
          <w:b/>
        </w:rPr>
        <w:t>M</w:t>
      </w:r>
      <w:r>
        <w:rPr>
          <w:b/>
        </w:rPr>
        <w:t xml:space="preserve"> </w:t>
      </w:r>
      <w:r w:rsidRPr="008C79D8">
        <w:rPr>
          <w:b/>
        </w:rPr>
        <w:t>E</w:t>
      </w:r>
      <w:r>
        <w:rPr>
          <w:b/>
        </w:rPr>
        <w:t xml:space="preserve">  </w:t>
      </w:r>
      <w:r w:rsidRPr="008C79D8">
        <w:rPr>
          <w:b/>
        </w:rPr>
        <w:t xml:space="preserve"> R</w:t>
      </w:r>
      <w:r>
        <w:rPr>
          <w:b/>
        </w:rPr>
        <w:t xml:space="preserve"> </w:t>
      </w:r>
      <w:r w:rsidRPr="008C79D8">
        <w:rPr>
          <w:b/>
        </w:rPr>
        <w:t>E</w:t>
      </w:r>
      <w:r>
        <w:rPr>
          <w:b/>
        </w:rPr>
        <w:t xml:space="preserve"> </w:t>
      </w:r>
      <w:r w:rsidRPr="008C79D8">
        <w:rPr>
          <w:b/>
        </w:rPr>
        <w:t>P</w:t>
      </w:r>
      <w:r>
        <w:rPr>
          <w:b/>
        </w:rPr>
        <w:t xml:space="preserve"> </w:t>
      </w:r>
      <w:r w:rsidRPr="008C79D8">
        <w:rPr>
          <w:b/>
        </w:rPr>
        <w:t>U</w:t>
      </w:r>
      <w:r>
        <w:rPr>
          <w:b/>
        </w:rPr>
        <w:t xml:space="preserve"> </w:t>
      </w:r>
      <w:r w:rsidRPr="008C79D8">
        <w:rPr>
          <w:b/>
        </w:rPr>
        <w:t>B</w:t>
      </w:r>
      <w:r>
        <w:rPr>
          <w:b/>
        </w:rPr>
        <w:t xml:space="preserve"> </w:t>
      </w:r>
      <w:r w:rsidRPr="008C79D8">
        <w:rPr>
          <w:b/>
        </w:rPr>
        <w:t>L</w:t>
      </w:r>
      <w:r>
        <w:rPr>
          <w:b/>
        </w:rPr>
        <w:t xml:space="preserve"> </w:t>
      </w:r>
      <w:r w:rsidRPr="008C79D8">
        <w:rPr>
          <w:b/>
        </w:rPr>
        <w:t>I</w:t>
      </w:r>
      <w:r>
        <w:rPr>
          <w:b/>
        </w:rPr>
        <w:t xml:space="preserve"> </w:t>
      </w:r>
      <w:r w:rsidRPr="008C79D8">
        <w:rPr>
          <w:b/>
        </w:rPr>
        <w:t>K</w:t>
      </w:r>
      <w:r>
        <w:rPr>
          <w:b/>
        </w:rPr>
        <w:t xml:space="preserve"> </w:t>
      </w:r>
      <w:r w:rsidRPr="008C79D8">
        <w:rPr>
          <w:b/>
        </w:rPr>
        <w:t>E</w:t>
      </w:r>
      <w:r>
        <w:rPr>
          <w:b/>
        </w:rPr>
        <w:t xml:space="preserve"> </w:t>
      </w:r>
      <w:r w:rsidRPr="008C79D8">
        <w:rPr>
          <w:b/>
        </w:rPr>
        <w:t xml:space="preserve"> </w:t>
      </w:r>
      <w:r>
        <w:rPr>
          <w:b/>
        </w:rPr>
        <w:t xml:space="preserve"> </w:t>
      </w:r>
      <w:r w:rsidRPr="008C79D8">
        <w:rPr>
          <w:b/>
        </w:rPr>
        <w:t>H</w:t>
      </w:r>
      <w:r>
        <w:rPr>
          <w:b/>
        </w:rPr>
        <w:t xml:space="preserve"> </w:t>
      </w:r>
      <w:r w:rsidRPr="008C79D8">
        <w:rPr>
          <w:b/>
        </w:rPr>
        <w:t>R</w:t>
      </w:r>
      <w:r>
        <w:rPr>
          <w:b/>
        </w:rPr>
        <w:t xml:space="preserve"> </w:t>
      </w:r>
      <w:r w:rsidRPr="008C79D8">
        <w:rPr>
          <w:b/>
        </w:rPr>
        <w:t>V</w:t>
      </w:r>
      <w:r>
        <w:rPr>
          <w:b/>
        </w:rPr>
        <w:t xml:space="preserve"> </w:t>
      </w:r>
      <w:r w:rsidRPr="008C79D8">
        <w:rPr>
          <w:b/>
        </w:rPr>
        <w:t>A</w:t>
      </w:r>
      <w:r>
        <w:rPr>
          <w:b/>
        </w:rPr>
        <w:t xml:space="preserve"> </w:t>
      </w:r>
      <w:r w:rsidRPr="008C79D8">
        <w:rPr>
          <w:b/>
        </w:rPr>
        <w:t>T</w:t>
      </w:r>
      <w:r>
        <w:rPr>
          <w:b/>
        </w:rPr>
        <w:t xml:space="preserve"> </w:t>
      </w:r>
      <w:r w:rsidRPr="008C79D8">
        <w:rPr>
          <w:b/>
        </w:rPr>
        <w:t>S</w:t>
      </w:r>
      <w:r>
        <w:rPr>
          <w:b/>
        </w:rPr>
        <w:t xml:space="preserve"> </w:t>
      </w:r>
      <w:r w:rsidRPr="008C79D8">
        <w:rPr>
          <w:b/>
        </w:rPr>
        <w:t>K</w:t>
      </w:r>
      <w:r>
        <w:rPr>
          <w:b/>
        </w:rPr>
        <w:t xml:space="preserve"> </w:t>
      </w:r>
      <w:r w:rsidRPr="008C79D8">
        <w:rPr>
          <w:b/>
        </w:rPr>
        <w:t>E</w:t>
      </w:r>
    </w:p>
    <w:p w:rsidRDefault="008C79D8" w:rsidP="008C79D8" w:rsidR="008C79D8" w:rsidRPr="008C79D8">
      <w:pPr>
        <w:jc w:val="center"/>
        <w:rPr>
          <w:b/>
        </w:rPr>
      </w:pPr>
    </w:p>
    <w:p w:rsidRDefault="008C79D8" w:rsidP="008C79D8" w:rsidR="008C79D8" w:rsidRPr="008C79D8">
      <w:pPr>
        <w:jc w:val="center"/>
        <w:rPr>
          <w:b/>
        </w:rPr>
      </w:pPr>
      <w:r w:rsidRPr="008C79D8">
        <w:rPr>
          <w:b/>
        </w:rPr>
        <w:t>R</w:t>
      </w:r>
      <w:r>
        <w:rPr>
          <w:b/>
        </w:rPr>
        <w:t xml:space="preserve"> </w:t>
      </w:r>
      <w:r w:rsidRPr="008C79D8">
        <w:rPr>
          <w:b/>
        </w:rPr>
        <w:t>J</w:t>
      </w:r>
      <w:r>
        <w:rPr>
          <w:b/>
        </w:rPr>
        <w:t xml:space="preserve"> </w:t>
      </w:r>
      <w:r w:rsidRPr="008C79D8">
        <w:rPr>
          <w:b/>
        </w:rPr>
        <w:t>E</w:t>
      </w:r>
      <w:r>
        <w:rPr>
          <w:b/>
        </w:rPr>
        <w:t xml:space="preserve"> </w:t>
      </w:r>
      <w:r w:rsidRPr="008C79D8">
        <w:rPr>
          <w:b/>
        </w:rPr>
        <w:t>Š</w:t>
      </w:r>
      <w:r>
        <w:rPr>
          <w:b/>
        </w:rPr>
        <w:t xml:space="preserve"> </w:t>
      </w:r>
      <w:r w:rsidRPr="008C79D8">
        <w:rPr>
          <w:b/>
        </w:rPr>
        <w:t>E</w:t>
      </w:r>
      <w:r>
        <w:rPr>
          <w:b/>
        </w:rPr>
        <w:t xml:space="preserve"> </w:t>
      </w:r>
      <w:r w:rsidRPr="008C79D8">
        <w:rPr>
          <w:b/>
        </w:rPr>
        <w:t>NJ</w:t>
      </w:r>
      <w:r>
        <w:rPr>
          <w:b/>
        </w:rPr>
        <w:t xml:space="preserve"> </w:t>
      </w:r>
      <w:r w:rsidRPr="008C79D8">
        <w:rPr>
          <w:b/>
        </w:rPr>
        <w:t>E</w:t>
      </w:r>
    </w:p>
    <w:p w:rsidRDefault="008C79D8" w:rsidP="008C79D8" w:rsidR="008C79D8"/>
    <w:p w:rsidRDefault="008C79D8" w:rsidP="008C79D8" w:rsidR="008C79D8"/>
    <w:p w:rsidRDefault="008C79D8" w:rsidP="008C79D8" w:rsidR="008C79D8">
      <w:r>
        <w:t>Visoki trgovački sud Republike Hrvatske, u vijeću sastavljenom od sudaca Raoula Dubravca, predsjednika vijeća, Josipa Turkalja, suca izvjestitelja, i Draženke Deladio, članice vijeća, u postupku radi naknadne diobe stečajne mase iza stečajnog dužnika BRAVURA d.o.o., OIB 17044705330, Split, Nazovor prilaz 1/a, odlučujući o žalbi stečajnog upravitelja ZORANA MILETIĆA, Split, Nazorov prilaz 1/1, protiv rješenja Trgovačkog suda u Splitu poslovni broj St-109/2017 od 25. kolovoza 2017., u sjednici vijeća održanoj 12. rujna 2017.</w:t>
      </w:r>
    </w:p>
    <w:p w:rsidRDefault="008C79D8" w:rsidP="008C79D8" w:rsidR="008C79D8"/>
    <w:p w:rsidRDefault="008C79D8" w:rsidP="008C79D8" w:rsidR="008C79D8"/>
    <w:p w:rsidRDefault="008C79D8" w:rsidP="006E59F4" w:rsidR="008C79D8" w:rsidRPr="00D766A8">
      <w:pPr>
        <w:jc w:val="center"/>
      </w:pPr>
      <w:r>
        <w:t>r</w:t>
      </w:r>
      <w:r w:rsidR="006E59F4">
        <w:t xml:space="preserve"> </w:t>
      </w:r>
      <w:r>
        <w:t>i</w:t>
      </w:r>
      <w:r w:rsidR="006E59F4">
        <w:t xml:space="preserve"> </w:t>
      </w:r>
      <w:r>
        <w:t>j</w:t>
      </w:r>
      <w:r w:rsidR="006E59F4">
        <w:t xml:space="preserve"> </w:t>
      </w:r>
      <w:r>
        <w:t>e</w:t>
      </w:r>
      <w:r w:rsidR="006E59F4">
        <w:t xml:space="preserve"> </w:t>
      </w:r>
      <w:r>
        <w:t>š</w:t>
      </w:r>
      <w:r w:rsidR="006E59F4">
        <w:t xml:space="preserve"> </w:t>
      </w:r>
      <w:r>
        <w:t>i</w:t>
      </w:r>
      <w:r w:rsidR="006E59F4">
        <w:t xml:space="preserve"> </w:t>
      </w:r>
      <w:r>
        <w:t>o</w:t>
      </w:r>
      <w:r w:rsidR="006E59F4">
        <w:t xml:space="preserve">  </w:t>
      </w:r>
      <w:r>
        <w:t xml:space="preserve"> j</w:t>
      </w:r>
      <w:r w:rsidR="006E59F4">
        <w:t xml:space="preserve"> </w:t>
      </w:r>
      <w:r>
        <w:t>e</w:t>
      </w:r>
    </w:p>
    <w:p w:rsidRDefault="008C79D8" w:rsidP="008C79D8" w:rsidR="008C79D8" w:rsidRPr="00D766A8"/>
    <w:p w:rsidRDefault="008C79D8" w:rsidP="008C79D8" w:rsidR="008C79D8" w:rsidRPr="00D766A8"/>
    <w:p w:rsidRDefault="006E59F4" w:rsidP="008C79D8" w:rsidR="008C79D8" w:rsidRPr="00D766A8">
      <w:r>
        <w:tab/>
      </w:r>
      <w:r w:rsidR="008C79D8">
        <w:t>O</w:t>
      </w:r>
      <w:r w:rsidR="00771E04">
        <w:t>d</w:t>
      </w:r>
      <w:r w:rsidR="008C79D8">
        <w:t xml:space="preserve">bija se žalba stečajnog upravitelja Zorana Miletića kao neosnovana i potvrđuje rješenje </w:t>
      </w:r>
      <w:r w:rsidR="00B938D5">
        <w:t xml:space="preserve">Trgovačkog suda u Splitu </w:t>
      </w:r>
      <w:r w:rsidR="008C79D8">
        <w:t>poslovni broj St-109/2017 od 25. kolovoza 2017.</w:t>
      </w:r>
    </w:p>
    <w:p w:rsidRDefault="008C79D8" w:rsidP="008C79D8" w:rsidR="008C79D8"/>
    <w:p w:rsidRDefault="006E59F4" w:rsidP="008C79D8" w:rsidR="006E59F4" w:rsidRPr="00D766A8"/>
    <w:p w:rsidRDefault="008C79D8" w:rsidP="006E59F4" w:rsidR="008C79D8">
      <w:pPr>
        <w:jc w:val="center"/>
      </w:pPr>
      <w:r>
        <w:t>Obrazloženje</w:t>
      </w:r>
    </w:p>
    <w:p w:rsidRDefault="008C79D8" w:rsidP="008C79D8" w:rsidR="008C79D8"/>
    <w:p w:rsidRDefault="008C79D8" w:rsidP="008C79D8" w:rsidR="008C79D8"/>
    <w:p w:rsidRDefault="006E59F4" w:rsidP="008C79D8" w:rsidR="008C79D8">
      <w:r>
        <w:tab/>
      </w:r>
      <w:r w:rsidR="008C79D8">
        <w:t>Rješenjem suda prvog stupnja odbijen je zahtjev Zorana Miletića za njegovo razrješenje dužnosti stečajnog upravitelja.</w:t>
      </w:r>
    </w:p>
    <w:p w:rsidRDefault="008C79D8" w:rsidP="008C79D8" w:rsidR="008C79D8"/>
    <w:p w:rsidRDefault="008C79D8" w:rsidP="008C79D8" w:rsidR="008C79D8">
      <w:r>
        <w:tab/>
        <w:t>Protiv ovog rješenja žali se stečajni upravitelj Zoran Miletić bez navođenja zakonom propisanih žalbenih razloga, a iz sadržaja žalbe proizlazi da se žali zbog pogrešno i nepotpuno utvrđenog činjeničnog stanja i pogrešne primjene materijalnog prava.</w:t>
      </w:r>
    </w:p>
    <w:p w:rsidRDefault="008C79D8" w:rsidP="008C79D8" w:rsidR="008C79D8"/>
    <w:p w:rsidRDefault="008C79D8" w:rsidP="008C79D8" w:rsidR="008C79D8">
      <w:r>
        <w:tab/>
        <w:t>Žalba nije osnovana.</w:t>
      </w:r>
    </w:p>
    <w:p w:rsidRDefault="008C79D8" w:rsidP="008C79D8" w:rsidR="008C79D8"/>
    <w:p w:rsidRDefault="008C79D8" w:rsidP="008C79D8" w:rsidR="008C79D8" w:rsidRPr="00D766A8">
      <w:r>
        <w:tab/>
        <w:t xml:space="preserve">Ovaj sud nije našao da bi bila počinjena bitna povreda odredaba parničnog postupka propisana odredbom članka 354. stavak 2. točka 2., 4., 8., 9., 11., 13. i 14. </w:t>
      </w:r>
      <w:r w:rsidRPr="003733E9">
        <w:t>Zakona o parničnom postupku („Narodne novine“ broj</w:t>
      </w:r>
      <w:r>
        <w:t xml:space="preserve"> 148/11-pročišćeni tekst, 25/13 i 89/14; dalje: ZPP) u svezi s odredbom članka 10. Stečajnog zakona („Narodne novine“ broj 71/15; dalje: SZ), a na koje povrede pazi po službenoj dužnosti (članak 365. stavak 2. ZPP-a).</w:t>
      </w:r>
    </w:p>
    <w:p w:rsidRDefault="008C79D8" w:rsidP="008C79D8" w:rsidR="008C79D8" w:rsidRPr="0006680F">
      <w:pPr>
        <w:rPr>
          <w:b/>
        </w:rPr>
      </w:pPr>
    </w:p>
    <w:p w:rsidRDefault="008C79D8" w:rsidP="008C79D8" w:rsidR="008C79D8">
      <w:r>
        <w:lastRenderedPageBreak/>
        <w:tab/>
        <w:t>Odredbom članka 91. stavak 5. SZ-a propisano je da sud može razriješiti stečajnog upravitelja na osobni zahtjev. Dakle, sud prvog stupnja ovlašten je procjenjivati opravdanost razloga stečajnog upravitelja za razrješenje s dužnosti stečajnog upravitelja.</w:t>
      </w:r>
    </w:p>
    <w:p w:rsidRDefault="008C79D8" w:rsidP="008C79D8" w:rsidR="008C79D8"/>
    <w:p w:rsidRDefault="008C79D8" w:rsidP="008C79D8" w:rsidR="008C79D8" w:rsidRPr="00D766A8">
      <w:r>
        <w:tab/>
        <w:t>Sud prvog stupnja odbio je zahtjev stečajnog upravitelja za razrješenje, jer iz medicinske dokumentacije ne proizlazi ind</w:t>
      </w:r>
      <w:r w:rsidR="00236D36">
        <w:t>ikacija za bolničko liječenje,</w:t>
      </w:r>
      <w:r>
        <w:t xml:space="preserve"> iz anamneze </w:t>
      </w:r>
      <w:r w:rsidR="00236D36">
        <w:t xml:space="preserve">povijesti bolesti </w:t>
      </w:r>
      <w:r>
        <w:t>proizlazi da se subjektivno dobro osjeća, a kontrola endokrinologa preporučena je tek za mjesec i pol dana.</w:t>
      </w:r>
    </w:p>
    <w:p w:rsidRDefault="008C79D8" w:rsidP="008C79D8" w:rsidR="008C79D8" w:rsidRPr="00D766A8"/>
    <w:p w:rsidRDefault="008C79D8" w:rsidP="008C79D8" w:rsidR="008C79D8">
      <w:r>
        <w:tab/>
        <w:t xml:space="preserve">Iz priložene povijesti bolesti (list 34. spisa) nije vidljivo da bi stečajnom upravitelju bila preporučeno mirovanje, a niti da ne može obavljati poslove stečajnog upravitelja. Sud nije stručan tumačiti medicinski nalaz </w:t>
      </w:r>
      <w:r w:rsidR="00771E04">
        <w:t>kao sastavni dio</w:t>
      </w:r>
      <w:r>
        <w:t xml:space="preserve"> povijesti bolesti, a iz zaključka ordinirajućeg liječnika se ne predlaže mirovanje, već redovna tjelesna aktivnost radi b</w:t>
      </w:r>
      <w:r w:rsidR="00236D36">
        <w:t>olje regulacije šećerne bolesti, pa za sada, stečajni upravitelj nije učinio vjerojatnim da privremeno nije sposoban obavljati dužnost stečajnog upravitelja.</w:t>
      </w:r>
    </w:p>
    <w:p w:rsidRDefault="008C79D8" w:rsidP="008C79D8" w:rsidR="008C79D8"/>
    <w:p w:rsidRDefault="008C79D8" w:rsidP="008C79D8" w:rsidR="008C79D8">
      <w:r>
        <w:tab/>
        <w:t>Zbog navedenog stečajni upravitelj žalbenim navodima nije doveo u sumnju pravilnost utvrđenog činjeničnog stanja, pa je stoga sud prvog stupnja pravilno primijenio odredbu članka 91. stavak 5. SZ-a kada je zahtjev za razrješenje dužnosti stečajnog upravitelja odbio.</w:t>
      </w:r>
    </w:p>
    <w:p w:rsidRDefault="00E30207" w:rsidP="008C79D8" w:rsidR="00E30207"/>
    <w:p w:rsidRDefault="00E30207" w:rsidP="008C79D8" w:rsidR="00E30207">
      <w:r>
        <w:tab/>
        <w:t xml:space="preserve">Potrebno je napomenuti da u slučaju postojanja opravdanih zdravstvenih razloga za razrješenje dužnosti, stečajni upravitelj treba dostaviti liječničku dokumentaciju ili potvrdu </w:t>
      </w:r>
      <w:r w:rsidR="00B65043">
        <w:t>iz koje je vidljivo da barem kroz određeno vrijeme ne može obnašati dužnost stečajnog upravitelja.</w:t>
      </w:r>
    </w:p>
    <w:p w:rsidRDefault="00B65043" w:rsidP="008C79D8" w:rsidR="00B65043"/>
    <w:p w:rsidRDefault="00B65043" w:rsidP="008C79D8" w:rsidR="00B65043">
      <w:r>
        <w:tab/>
        <w:t>Slijedom navedenog, valjalo je na temelju odredbe članka 380. točka 2. ZPP-a</w:t>
      </w:r>
      <w:r w:rsidR="00BB7691">
        <w:t>, a u vezi s odredbom članka 10. SZ-a, odlučiti kao u izreci ovog drugostupanjskog rješenja.</w:t>
      </w:r>
    </w:p>
    <w:p w:rsidRDefault="008C79D8" w:rsidP="008C79D8" w:rsidR="008C79D8"/>
    <w:p w:rsidRDefault="008C79D8" w:rsidP="006E59F4" w:rsidR="008C79D8">
      <w:pPr>
        <w:jc w:val="center"/>
      </w:pPr>
      <w:r>
        <w:t>U Zagrebu 12. rujna 2017.</w:t>
      </w:r>
    </w:p>
    <w:p w:rsidRDefault="008C79D8" w:rsidP="008C79D8" w:rsidR="008C79D8"/>
    <w:p w:rsidRDefault="00771E04" w:rsidP="008C79D8" w:rsidR="008C79D8">
      <w:r>
        <w:tab/>
      </w:r>
      <w:r>
        <w:tab/>
      </w:r>
      <w:r>
        <w:tab/>
      </w:r>
      <w:r w:rsidR="006E59F4">
        <w:tab/>
      </w:r>
      <w:r w:rsidR="006E59F4">
        <w:tab/>
      </w:r>
      <w:r w:rsidR="006E59F4">
        <w:tab/>
      </w:r>
      <w:r w:rsidR="006E59F4">
        <w:tab/>
      </w:r>
      <w:r w:rsidR="006E59F4">
        <w:tab/>
      </w:r>
      <w:r w:rsidR="008C79D8">
        <w:t>PREDSJEDNIK VIJEĆA</w:t>
      </w:r>
    </w:p>
    <w:p w:rsidRDefault="00771E04" w:rsidP="00424701" w:rsidR="00771E04">
      <w:r>
        <w:tab/>
      </w:r>
      <w:r>
        <w:tab/>
      </w:r>
      <w:r w:rsidR="006E59F4">
        <w:tab/>
      </w:r>
      <w:r w:rsidR="006E59F4">
        <w:tab/>
      </w:r>
      <w:r w:rsidR="006E59F4">
        <w:tab/>
      </w:r>
      <w:r w:rsidR="006E59F4">
        <w:tab/>
      </w:r>
      <w:r w:rsidR="006E59F4">
        <w:tab/>
      </w:r>
      <w:r w:rsidR="006E59F4">
        <w:tab/>
      </w:r>
      <w:r w:rsidR="008C79D8">
        <w:t>RAOUL DUBRAVEC</w:t>
      </w:r>
      <w:r>
        <w:t>, v.r.</w:t>
      </w:r>
    </w:p>
    <w:p w:rsidRDefault="00771E04" w:rsidP="00424701" w:rsidR="00771E04"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771E04" w:rsidP="00424701" w:rsidR="00771E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771E04" w:rsidP="00424701" w:rsidR="00771E04"/>
    <w:p w:rsidRDefault="00771E04" w:rsidP="00424701" w:rsidR="00771E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BRANKICA CURMAN</w:t>
      </w:r>
    </w:p>
    <w:p w:rsidRDefault="008C79D8" w:rsidP="008C79D8" w:rsidR="008C79D8"/>
    <w:p w:rsidRDefault="008C79D8" w:rsidP="008C79D8" w:rsidR="008C79D8"/>
    <w:p w:rsidRDefault="008C79D8" w:rsidP="008C79D8" w:rsidR="008C79D8"/>
    <w:sectPr w:rsidSect="00B938D5" w:rsidR="008C79D8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7EF" w:rsidP="00537B78" w:rsidR="001947EF">
      <w:r>
        <w:separator/>
      </w:r>
    </w:p>
  </w:endnote>
  <w:endnote w:id="0" w:type="continuationSeparator">
    <w:p w:rsidRDefault="001947EF" w:rsidP="00537B78" w:rsidR="00194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937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7EF" w:rsidP="00537B78" w:rsidR="001947EF">
      <w:r>
        <w:separator/>
      </w:r>
    </w:p>
  </w:footnote>
  <w:footnote w:id="0" w:type="continuationSeparator">
    <w:p w:rsidRDefault="001947EF" w:rsidP="00537B78" w:rsidR="001947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257937" w:rsidRPr="00257937">
          <w:rPr>
            <w:rStyle w:val="eSPISCCParagraphDefaultFont"/>
          </w:rPr>
          <w:t>Ref 11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  <w:rFonts w:cstheme="minorBidi"/>
          <w:shd w:fill="CCFFCC" w:color="auto" w:val="clear"/>
        </w:rPr>
      </w:sdtEndPr>
      <w:sdtContent>
        <w:r w:rsidR="00257937" w:rsidRPr="00257937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47EF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36D36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937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80B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BB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59F4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1E04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9D8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043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8D5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B7691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59D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07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4E27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uiPriority="0" w:name="page numb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C79D8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jc w:val="left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jc w:val="left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jc w:val="left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jc w:val="left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jc w:val="left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jc w:val="left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jc w:val="left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jc w:val="left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  <w:jc w:val="left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  <w:jc w:val="left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  <w:jc w:val="left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  <w:jc w:val="left"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  <w:jc w:val="left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  <w:jc w:val="left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  <w:jc w:val="left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  <w:jc w:val="left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  <w:jc w:val="left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  <w:jc w:val="left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  <w:jc w:val="left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  <w:jc w:val="left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  <w:jc w:val="left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pPr>
      <w:jc w:val="left"/>
    </w:pPr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  <w:jc w:val="left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  <w:jc w:val="left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  <w:jc w:val="left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  <w:jc w:val="left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  <w:jc w:val="left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  <w:jc w:val="left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  <w:jc w:val="left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  <w:jc w:val="left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jc w:val="left"/>
    </w:pPr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pPr>
      <w:jc w:val="left"/>
    </w:pPr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  <w:jc w:val="left"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  <w:jc w:val="left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  <w:jc w:val="left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  <w:jc w:val="left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  <w:jc w:val="left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  <w:jc w:val="left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  <w:jc w:val="left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  <w:jc w:val="left"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  <w:jc w:val="left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  <w:jc w:val="left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  <w:jc w:val="left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  <w:jc w:val="left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  <w:jc w:val="left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  <w:jc w:val="left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jc w:val="left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jc w:val="left"/>
    </w:pPr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jc w:val="left"/>
    </w:pPr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jc w:val="left"/>
    </w:pPr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  <w:jc w:val="left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  <w:jc w:val="left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  <w:jc w:val="left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  <w:jc w:val="left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  <w:jc w:val="left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  <w:jc w:val="left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  <w:jc w:val="left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  <w:jc w:val="left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  <w:jc w:val="left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  <w:jc w:val="left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  <w:jc w:val="left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  <w:jc w:val="left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  <w:jc w:val="left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jc w:val="left"/>
    </w:pPr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  <w:jc w:val="left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  <w:jc w:val="left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  <w:jc w:val="left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  <w:jc w:val="left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  <w:jc w:val="left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  <w:jc w:val="left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  <w:jc w:val="left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  <w:jc w:val="left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  <w:jc w:val="left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  <w:jc w:val="left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  <w:jc w:val="left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jc w:val="left"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  <w:jc w:val="left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jc w:val="left"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  <w:jc w:val="left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jc w:val="left"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  <w:jc w:val="left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  <w:jc w:val="left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page numb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C79D8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jc w:val="left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jc w:val="left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jc w:val="left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jc w:val="left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jc w:val="left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jc w:val="left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jc w:val="left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jc w:val="left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  <w:jc w:val="left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  <w:jc w:val="left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  <w:jc w:val="left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  <w:jc w:val="left"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  <w:jc w:val="left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  <w:jc w:val="left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  <w:jc w:val="left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  <w:jc w:val="left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  <w:jc w:val="left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  <w:jc w:val="left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  <w:jc w:val="left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  <w:jc w:val="left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  <w:jc w:val="left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pPr>
      <w:jc w:val="left"/>
    </w:pPr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  <w:jc w:val="left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  <w:jc w:val="left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  <w:jc w:val="left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  <w:jc w:val="left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  <w:jc w:val="left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  <w:jc w:val="left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  <w:jc w:val="left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  <w:jc w:val="left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jc w:val="left"/>
    </w:pPr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pPr>
      <w:jc w:val="left"/>
    </w:pPr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  <w:jc w:val="left"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  <w:jc w:val="left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  <w:jc w:val="left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  <w:jc w:val="left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  <w:jc w:val="left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  <w:jc w:val="left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  <w:jc w:val="left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  <w:jc w:val="left"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  <w:jc w:val="left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  <w:jc w:val="left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  <w:jc w:val="left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  <w:jc w:val="left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  <w:jc w:val="left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  <w:jc w:val="left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  <w:jc w:val="left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jc w:val="left"/>
    </w:pPr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jc w:val="left"/>
    </w:pPr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jc w:val="left"/>
    </w:pPr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jc w:val="left"/>
    </w:pPr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  <w:jc w:val="left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  <w:jc w:val="left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  <w:jc w:val="left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  <w:jc w:val="left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  <w:jc w:val="left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  <w:jc w:val="left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  <w:jc w:val="left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  <w:jc w:val="left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  <w:jc w:val="left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  <w:jc w:val="left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  <w:jc w:val="left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  <w:jc w:val="left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  <w:jc w:val="left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jc w:val="left"/>
    </w:pPr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  <w:jc w:val="left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  <w:jc w:val="left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  <w:jc w:val="left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  <w:jc w:val="left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  <w:jc w:val="left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  <w:jc w:val="left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  <w:jc w:val="left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  <w:jc w:val="left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  <w:jc w:val="left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  <w:jc w:val="left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  <w:jc w:val="left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jc w:val="left"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  <w:jc w:val="left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jc w:val="left"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  <w:jc w:val="left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jc w:val="left"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  <w:jc w:val="left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  <w:jc w:val="left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1721E4"/>
    <w:rsid w:val="002F4839"/>
    <w:rsid w:val="00332B0E"/>
    <w:rsid w:val="003C4670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BRAVURA d.o.o. za proizvodnju i trgovinu u stečaju</izvorni_sadrzaj>
    <derivirana_varijabla naziv="DomainObject.Predmet.ProtustrankaFormated_1">  Stečajna masa iza BRAVURA d.o.o. za proizvodnju i trgovinu u stečaju</derivirana_varijabla>
  </DomainObject.Predmet.ProtustrankaFormated>
  <DomainObject.Predmet.ProtustrankaFormatedOIB>
    <izvorni_sadrzaj>  Stečajna masa iza BRAVURA d.o.o. za proizvodnju i trgovinu u stečaju, OIB 17044705330</izvorni_sadrzaj>
    <derivirana_varijabla naziv="DomainObject.Predmet.ProtustrankaFormatedOIB_1">  Stečajna masa iza BRAVURA d.o.o. za proizvodnju i trgovinu u stečaju, OIB 17044705330</derivirana_varijabla>
  </DomainObject.Predmet.ProtustrankaFormatedOIB>
  <DomainObject.Predmet.ProtustrankaFormatedWithAdress>
    <izvorni_sadrzaj> Stečajna masa iza BRAVURA d.o.o. za proizvodnju i trgovinu u stečaju, Nazorov prilaz 1a, 21000 Split</izvorni_sadrzaj>
    <derivirana_varijabla naziv="DomainObject.Predmet.ProtustrankaFormatedWithAdress_1"> Stečajna masa iza BRAVURA d.o.o. za proizvodnju i trgovinu u stečaju, Nazorov prilaz 1a, 21000 Split</derivirana_varijabla>
  </DomainObject.Predmet.ProtustrankaFormatedWithAdress>
  <DomainObject.Predmet.ProtustrankaFormatedWithAdressOIB>
    <izvorni_sadrzaj> Stečajna masa iza BRAVURA d.o.o. za proizvodnju i trgovinu u stečaju, OIB 17044705330, Nazorov prilaz 1a, 21000 Split</izvorni_sadrzaj>
    <derivirana_varijabla naziv="DomainObject.Predmet.ProtustrankaFormatedWithAdressOIB_1"> Stečajna masa iza BRAVURA d.o.o. za proizvodnju i trgovinu u stečaju, OIB 17044705330, Nazorov prilaz 1a, 21000 Split</derivirana_varijabla>
  </DomainObject.Predmet.ProtustrankaFormatedWithAdressOIB>
  <DomainObject.Predmet.ProtustrankaWithAdress>
    <izvorni_sadrzaj>Stečajna masa iza BRAVURA d.o.o. za proizvodnju i trgovinu u stečaju Nazorov prilaz 1a, 21000 Split</izvorni_sadrzaj>
    <derivirana_varijabla naziv="DomainObject.Predmet.ProtustrankaWithAdress_1">Stečajna masa iza BRAVURA d.o.o. za proizvodnju i trgovinu u stečaju Nazorov prilaz 1a, 21000 Split</derivirana_varijabla>
  </DomainObject.Predmet.ProtustrankaWithAdress>
  <DomainObject.Predmet.ProtustrankaWithAdressOIB>
    <izvorni_sadrzaj>Stečajna masa iza BRAVURA d.o.o. za proizvodnju i trgovinu u stečaju, OIB 17044705330, Nazorov prilaz 1a, 21000 Split</izvorni_sadrzaj>
    <derivirana_varijabla naziv="DomainObject.Predmet.ProtustrankaWithAdressOIB_1">Stečajna masa iza BRAVURA d.o.o. za proizvodnju i trgovinu u stečaju, OIB 17044705330, Nazorov prilaz 1a, 21000 Split</derivirana_varijabla>
  </DomainObject.Predmet.ProtustrankaWithAdressOIB>
  <DomainObject.Predmet.ProtustrankaNazivFormated>
    <izvorni_sadrzaj>Stečajna masa iza BRAVURA d.o.o. za proizvodnju i trgovinu u stečaju</izvorni_sadrzaj>
    <derivirana_varijabla naziv="DomainObject.Predmet.ProtustrankaNazivFormated_1">Stečajna masa iza BRAVURA d.o.o. za proizvodnju i trgovinu u stečaju</derivirana_varijabla>
    <derivirana_varijabla naziv="Padez">Stečajna masa iza BRAVURA d.o.o. za proizvodnju i trgovinu u stečaju</derivirana_varijabla>
  </DomainObject.Predmet.ProtustrankaNazivFormated>
  <DomainObject.Predmet.ProtustrankaNazivFormatedOIB>
    <izvorni_sadrzaj>Stečajna masa iza BRAVURA d.o.o. za proizvodnju i trgovinu u stečaju, OIB 17044705330</izvorni_sadrzaj>
    <derivirana_varijabla naziv="DomainObject.Predmet.ProtustrankaNazivFormatedOIB_1">Stečajna masa iza BRAVURA d.o.o. za proizvodnju i trgovinu u stečaju, OIB 17044705330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  <derivirana_varijabla naziv="Padez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  <derivirana_varijabla naziv="Padez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BRAVURA d.o.o. za proizvodnju i trgovinu u stečaju</item>
    </izvorni_sadrzaj>
    <derivirana_varijabla naziv="DomainObject.Predmet.ProtuStrankaListFormated_1">
      <item>Stečajna masa iza BRAVURA d.o.o. za proizvodnju i trgovinu u stečaju</item>
    </derivirana_varijabla>
  </DomainObject.Predmet.ProtuStrankaListFormated>
  <DomainObject.Predmet.ProtuStrankaListFormatedOIB>
    <izvorni_sadrzaj>
      <item>Stečajna masa iza BRAVURA d.o.o. za proizvodnju i trgovinu u stečaju, OIB 17044705330</item>
    </izvorni_sadrzaj>
    <derivirana_varijabla naziv="DomainObject.Predmet.ProtuStrankaListFormatedOIB_1">
      <item>Stečajna masa iza BRAVURA d.o.o. za proizvodnju i trgovinu u stečaju, OIB 17044705330</item>
    </derivirana_varijabla>
  </DomainObject.Predmet.ProtuStrankaListFormatedOIB>
  <DomainObject.Predmet.ProtuStrankaListFormatedWithAdress>
    <izvorni_sadrzaj>
      <item>Stečajna masa iza BRAVURA d.o.o. za proizvodnju i trgovinu u stečaju, Nazorov prilaz 1a, 21000 Split</item>
    </izvorni_sadrzaj>
    <derivirana_varijabla naziv="DomainObject.Predmet.ProtuStrankaListFormatedWithAdress_1">
      <item>Stečajna masa iza BRAVURA d.o.o. za proizvodnju i trgovinu u stečaju, Nazorov prilaz 1a, 21000 Split</item>
    </derivirana_varijabla>
  </DomainObject.Predmet.ProtuStrankaListFormatedWithAdress>
  <DomainObject.Predmet.ProtuStrankaListFormatedWithAdressOIB>
    <izvorni_sadrzaj>
      <item>Stečajna masa iza BRAVURA d.o.o. za proizvodnju i trgovinu u stečaju, OIB 17044705330, Nazorov prilaz 1a, 21000 Split</item>
    </izvorni_sadrzaj>
    <derivirana_varijabla naziv="DomainObject.Predmet.ProtuStrankaListFormatedWithAdressOIB_1">
      <item>Stečajna masa iza BRAVURA d.o.o. za proizvodnju i trgovinu u stečaju, OIB 17044705330, Nazorov prilaz 1a, 21000 Split</item>
    </derivirana_varijabla>
  </DomainObject.Predmet.ProtuStrankaListFormatedWithAdressOIB>
  <DomainObject.Predmet.ProtuStrankaListNazivFormated>
    <izvorni_sadrzaj>
      <item>Stečajna masa iza BRAVURA d.o.o. za proizvodnju i trgovinu u stečaju</item>
    </izvorni_sadrzaj>
    <derivirana_varijabla naziv="DomainObject.Predmet.ProtuStrankaListNazivFormated_1">
      <item>Stečajna masa iza BRAVURA d.o.o. za proizvodnju i trgovinu u stečaju</item>
    </derivirana_varijabla>
  </DomainObject.Predmet.ProtuStrankaListNazivFormated>
  <DomainObject.Predmet.ProtuStrankaListNazivFormatedOIB>
    <izvorni_sadrzaj>
      <item>Stečajna masa iza BRAVURA d.o.o. za proizvodnju i trgovinu u stečaju, OIB 17044705330</item>
    </izvorni_sadrzaj>
    <derivirana_varijabla naziv="DomainObject.Predmet.ProtuStrankaListNazivFormatedOIB_1">
      <item>Stečajna masa iza BRAVURA d.o.o. za proizvodnju i trgovinu u stečaju, OIB 17044705330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BRAVURA d.o.o. za proizvodnju i trgovinu u stečaju</izvorni_sadrzaj>
    <derivirana_varijabla naziv="DomainObject.Predmet.ProtustrankaIDrugi_1">Stečajna masa iza BRAVURA d.o.o. za proizvodnju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BRAVURA d.o.o. za proizvodnju i trgovinu u stečaju, OIB 17044705330, Nazorov prilaz 1a, 21000 Split</izvorni_sadrzaj>
    <derivirana_varijabla naziv="DomainObject.Predmet.ProtustrankaIDrugiAdressOIB_1">Stečajna masa iza BRAVURA d.o.o. za proizvodnju i trgovinu u stečaju, OIB 17044705330,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BRAVURA d.o.o. za proizvodnju i trgovinu u stečaju</item>
      <item>FINANCIJSKA AGENCIJA, RC SPLIT</item>
    </izvorni_sadrzaj>
    <derivirana_varijabla naziv="DomainObject.Predmet.SudioniciListNaziv_1">
      <item>Stečajna masa iza BRAVURA d.o.o. za proizvodnju i trgovinu u stečaju</item>
      <item>FINANCIJSKA AGENCIJA, RC SPLIT</item>
    </derivirana_varijabla>
    <derivirana_varijabla naziv="OstaliSudionici">
      <item>Stečajna masa iza BRAVURA d.o.o. za proizvodnju i trgovinu u stečaju</item>
      <item>FINANCIJSKA AGENCIJA, RC SPLIT</item>
    </derivirana_varijabla>
  </DomainObject.Predmet.SudioniciListNaziv>
  <DomainObject.Predmet.SudioniciListAdressOIB>
    <izvorni_sadrzaj>
      <item>Stečajna masa iza BRAVURA d.o.o. za proizvodnju i trgovinu u stečaju, OIB 17044705330, Nazorov prilaz 1a,21000 Split</item>
      <item>FINANCIJSKA AGENCIJA, RC SPLIT, OIB 85821130368, Mažuranićevo šetalište 24 b,21000 Split</item>
    </izvorni_sadrzaj>
    <derivirana_varijabla naziv="DomainObject.Predmet.SudioniciListAdressOIB_1">
      <item>Stečajna masa iza BRAVURA d.o.o. za proizvodnju i trgovinu u stečaju, OIB 17044705330, Nazorov prilaz 1a,21000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17044705330</item>
      <item>, OIB 85821130368</item>
    </izvorni_sadrzaj>
    <derivirana_varijabla naziv="DomainObject.Predmet.SudioniciListNazivOIB_1">
      <item>, OIB 17044705330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38094-99E0-4DEB-82FB-56F9D3924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517</properties:Words>
  <properties:Characters>2977</properties:Characters>
  <properties:Lines>85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2017-10-16T11:59:00Z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2017-10-10T13:50:00Z</cp:lastPrinted>
  <dcterms:modified xmlns:xsi="http://www.w3.org/2001/XMLSchema-instance" xsi:type="dcterms:W3CDTF">2017-10-16T12:01:00Z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eSPIS_CC_ID" pid="5" fmtid="{D5CDD505-2E9C-101B-9397-08002B2CF9AE}">
    <vt:lpwstr>265122315</vt:lpwstr>
  </prop:property>
  <prop:property name="Naslov" pid="6" fmtid="{D5CDD505-2E9C-101B-9397-08002B2CF9AE}">
    <vt:lpwstr>Novi sadržaj dokumenta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