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4f7df" w14:paraId="674f7df" w:rsidRDefault="00AB4602" w:rsidP="004B7AE0" w:rsidR="004B7AE0" w:rsidRPr="004B7AE0">
      <w:pPr>
        <w:pStyle w:val="NormaleSPIS"/>
        <w:ind w:firstLine="0"/>
        <w15:collapsed w:val="false"/>
        <w:rPr>
          <w:rFonts w:cs="Times New Roman"/>
        </w:rPr>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4B7AE0" w:rsidRPr="004B7AE0">
        <w:rPr>
          <w:rFonts w:cs="Times New Roman"/>
        </w:rPr>
        <w:t xml:space="preserve">      REPUBLIKA HRVATSKA</w:t>
      </w:r>
    </w:p>
    <w:p w:rsidRDefault="004B7AE0" w:rsidP="004B7AE0" w:rsidR="004B7AE0" w:rsidRPr="004B7AE0">
      <w:pPr>
        <w:spacing w:after="0"/>
        <w:rPr>
          <w:rFonts w:cs="Times New Roman" w:eastAsia="Times New Roman"/>
          <w:lang w:eastAsia="hr-HR"/>
        </w:rPr>
      </w:pPr>
      <w:r w:rsidRPr="004B7AE0">
        <w:rPr>
          <w:rFonts w:cs="Times New Roman" w:eastAsia="Times New Roman"/>
          <w:lang w:eastAsia="hr-HR"/>
        </w:rPr>
        <w:t xml:space="preserve"> TRGOVAČKI SUD U ZAGREBU</w:t>
      </w:r>
    </w:p>
    <w:p w:rsidRDefault="004B7AE0" w:rsidP="004B7AE0" w:rsidR="004B7AE0" w:rsidRPr="004B7AE0">
      <w:pPr>
        <w:spacing w:after="0"/>
        <w:rPr>
          <w:rFonts w:cs="Times New Roman" w:eastAsia="Times New Roman"/>
          <w:lang w:eastAsia="hr-HR"/>
        </w:rPr>
      </w:pPr>
      <w:r w:rsidRPr="004B7AE0">
        <w:rPr>
          <w:rFonts w:cs="Times New Roman" w:eastAsia="Times New Roman"/>
          <w:lang w:eastAsia="hr-HR"/>
        </w:rPr>
        <w:t xml:space="preserve">       Stalna služba u Karlovcu </w:t>
      </w:r>
    </w:p>
    <w:p w:rsidRDefault="004B7AE0" w:rsidP="004B7AE0" w:rsidR="004B7AE0" w:rsidRPr="004B7AE0">
      <w:pPr>
        <w:spacing w:after="0"/>
        <w:rPr>
          <w:rFonts w:cs="Times New Roman" w:eastAsia="Times New Roman"/>
          <w:lang w:eastAsia="hr-HR"/>
        </w:rPr>
      </w:pPr>
      <w:r w:rsidRPr="004B7AE0">
        <w:rPr>
          <w:rFonts w:cs="Times New Roman" w:eastAsia="Times New Roman"/>
          <w:lang w:eastAsia="hr-HR"/>
        </w:rPr>
        <w:t>Karlovac, Trg hrvatskih branitelja 1/II</w:t>
      </w:r>
    </w:p>
    <w:p w:rsidRDefault="004B7AE0" w:rsidP="004B7AE0" w:rsidR="004B7AE0" w:rsidRPr="004B7AE0">
      <w:pPr>
        <w:spacing w:after="0"/>
        <w:rPr>
          <w:rFonts w:cs="Times New Roman" w:eastAsia="Times New Roman"/>
          <w:lang w:eastAsia="hr-HR"/>
        </w:rPr>
      </w:pPr>
    </w:p>
    <w:p w:rsidRDefault="004B7AE0" w:rsidP="004B7AE0" w:rsidR="004B7AE0" w:rsidRPr="004B7AE0">
      <w:pPr>
        <w:spacing w:after="0"/>
        <w:jc w:val="center"/>
        <w:rPr>
          <w:rFonts w:cs="Times New Roman" w:eastAsia="Times New Roman"/>
          <w:lang w:eastAsia="hr-HR"/>
        </w:rPr>
      </w:pPr>
      <w:r w:rsidRPr="004B7AE0">
        <w:rPr>
          <w:rFonts w:cs="Times New Roman" w:eastAsia="Times New Roman"/>
          <w:lang w:eastAsia="hr-HR"/>
        </w:rPr>
        <w:t>R E P U B L I K A   H R V A T S  K A</w:t>
      </w:r>
    </w:p>
    <w:p w:rsidRDefault="004B7AE0" w:rsidP="004B7AE0" w:rsidR="004B7AE0" w:rsidRPr="004B7AE0">
      <w:pPr>
        <w:spacing w:after="0"/>
        <w:jc w:val="center"/>
        <w:rPr>
          <w:rFonts w:cs="Times New Roman" w:eastAsia="Times New Roman"/>
          <w:lang w:eastAsia="hr-HR"/>
        </w:rPr>
      </w:pPr>
    </w:p>
    <w:p w:rsidRDefault="004B7AE0" w:rsidP="004B7AE0" w:rsidR="004B7AE0" w:rsidRPr="004B7AE0">
      <w:pPr>
        <w:tabs>
          <w:tab w:pos="4050" w:val="left"/>
        </w:tabs>
        <w:spacing w:after="0"/>
        <w:rPr>
          <w:rFonts w:cs="Times New Roman" w:eastAsia="Times New Roman"/>
          <w:lang w:eastAsia="hr-HR"/>
        </w:rPr>
      </w:pPr>
      <w:r w:rsidRPr="004B7AE0">
        <w:rPr>
          <w:rFonts w:cs="Times New Roman" w:eastAsia="Times New Roman"/>
          <w:lang w:eastAsia="hr-HR"/>
        </w:rPr>
        <w:tab/>
        <w:t>R J E Š E N J E</w:t>
      </w:r>
    </w:p>
    <w:p w:rsidRDefault="004B7AE0" w:rsidP="004B7AE0" w:rsidR="004B7AE0" w:rsidRPr="004B7AE0">
      <w:pPr>
        <w:spacing w:after="0"/>
        <w:rPr>
          <w:rFonts w:cs="Times New Roman" w:eastAsia="Times New Roman"/>
          <w:lang w:eastAsia="hr-HR"/>
        </w:rPr>
      </w:pPr>
    </w:p>
    <w:p w:rsidRDefault="004B7AE0" w:rsidP="004B7AE0" w:rsidR="004B7AE0" w:rsidRPr="004B7AE0">
      <w:pPr>
        <w:spacing w:after="0"/>
        <w:jc w:val="both"/>
        <w:rPr>
          <w:rFonts w:cs="Times New Roman" w:eastAsia="Times New Roman"/>
          <w:lang w:eastAsia="hr-HR"/>
        </w:rPr>
      </w:pPr>
      <w:r w:rsidRPr="004B7AE0">
        <w:rPr>
          <w:rFonts w:cs="Times New Roman" w:eastAsia="Times New Roman"/>
          <w:lang w:eastAsia="hr-HR"/>
        </w:rPr>
        <w:tab/>
        <w:t>TRGOVAČKI SUD U ZAGREBU, Stalna služba u Karlovcu, po sucu Jadranki Mađeruh, kao stečajnom sucu, u stečajnom postupku nad stečajnim dužnikom Stečajna masa iza PLAYHOUSE d.o.o. u stečaju, Zagreb, Kralja Držislava 10, OIB: 55434649942, 21. siječnja 2019.</w:t>
      </w:r>
    </w:p>
    <w:p w:rsidRDefault="004B7AE0" w:rsidP="004B7AE0" w:rsidR="004B7AE0" w:rsidRPr="004B7AE0">
      <w:pPr>
        <w:spacing w:after="0"/>
        <w:rPr>
          <w:rFonts w:cs="Times New Roman" w:eastAsia="Times New Roman"/>
          <w:lang w:eastAsia="hr-HR"/>
        </w:rPr>
      </w:pPr>
    </w:p>
    <w:p w:rsidRDefault="004B7AE0" w:rsidP="004B7AE0" w:rsidR="004B7AE0" w:rsidRPr="004B7AE0">
      <w:pPr>
        <w:spacing w:after="0"/>
        <w:jc w:val="center"/>
        <w:rPr>
          <w:rFonts w:cs="Times New Roman" w:eastAsia="Times New Roman"/>
          <w:lang w:eastAsia="hr-HR"/>
        </w:rPr>
      </w:pPr>
      <w:r w:rsidRPr="004B7AE0">
        <w:rPr>
          <w:rFonts w:cs="Times New Roman" w:eastAsia="Times New Roman"/>
          <w:lang w:eastAsia="hr-HR"/>
        </w:rPr>
        <w:t>r i j e š i o   j e</w:t>
      </w:r>
    </w:p>
    <w:p w:rsidRDefault="004B7AE0" w:rsidP="004B7AE0" w:rsidR="004B7AE0" w:rsidRPr="004B7AE0">
      <w:pPr>
        <w:spacing w:after="0"/>
        <w:jc w:val="center"/>
        <w:rPr>
          <w:rFonts w:cs="Times New Roman" w:eastAsia="Times New Roman"/>
          <w:lang w:eastAsia="hr-HR"/>
        </w:rPr>
      </w:pPr>
    </w:p>
    <w:p w:rsidRDefault="004B7AE0" w:rsidP="004B7AE0" w:rsidR="004B7AE0" w:rsidRPr="004B7AE0">
      <w:pPr>
        <w:spacing w:after="0"/>
        <w:ind w:left="1068"/>
        <w:contextualSpacing/>
        <w:jc w:val="both"/>
        <w:rPr>
          <w:rFonts w:cs="Times New Roman" w:eastAsia="Times New Roman"/>
          <w:lang w:eastAsia="hr-HR"/>
        </w:rPr>
      </w:pPr>
    </w:p>
    <w:p w:rsidRDefault="004B7AE0" w:rsidP="004B7AE0" w:rsidR="004B7AE0" w:rsidRPr="004B7AE0">
      <w:pPr>
        <w:numPr>
          <w:ilvl w:val="0"/>
          <w:numId w:val="47"/>
        </w:numPr>
        <w:spacing w:after="0"/>
        <w:contextualSpacing/>
        <w:jc w:val="both"/>
        <w:rPr>
          <w:rFonts w:cs="Times New Roman" w:eastAsia="Times New Roman"/>
          <w:b/>
          <w:lang w:eastAsia="hr-HR"/>
        </w:rPr>
      </w:pPr>
      <w:r w:rsidRPr="004B7AE0">
        <w:rPr>
          <w:rFonts w:cs="Times New Roman" w:eastAsia="Times New Roman"/>
          <w:lang w:eastAsia="hr-HR"/>
        </w:rPr>
        <w:t xml:space="preserve">Stečajnom upravitelju Nini Markovinović Belamarić, Zagreb, Kralja Držislava 10, OIB: 49920167790, određuje se nagrada u iznosu od 8.936,70 kn bruto.  </w:t>
      </w:r>
    </w:p>
    <w:p w:rsidRDefault="004B7AE0" w:rsidP="004B7AE0" w:rsidR="004B7AE0" w:rsidRPr="004B7AE0">
      <w:pPr>
        <w:spacing w:after="0"/>
        <w:ind w:left="1062"/>
        <w:contextualSpacing/>
        <w:jc w:val="both"/>
        <w:rPr>
          <w:rFonts w:cs="Times New Roman" w:eastAsia="Times New Roman"/>
          <w:b/>
          <w:lang w:eastAsia="hr-HR"/>
        </w:rPr>
      </w:pPr>
    </w:p>
    <w:p w:rsidRDefault="004B7AE0" w:rsidP="004B7AE0" w:rsidR="004B7AE0" w:rsidRPr="004B7AE0">
      <w:pPr>
        <w:numPr>
          <w:ilvl w:val="0"/>
          <w:numId w:val="47"/>
        </w:numPr>
        <w:spacing w:after="0"/>
        <w:ind w:left="1068"/>
        <w:contextualSpacing/>
        <w:jc w:val="both"/>
        <w:rPr>
          <w:rFonts w:cs="Times New Roman" w:eastAsia="Times New Roman"/>
          <w:b/>
          <w:lang w:eastAsia="hr-HR"/>
        </w:rPr>
      </w:pPr>
      <w:r w:rsidRPr="004B7AE0">
        <w:rPr>
          <w:rFonts w:cs="Times New Roman" w:eastAsia="Times New Roman"/>
          <w:lang w:eastAsia="hr-HR"/>
        </w:rPr>
        <w:t>Odobravaju se troškovi stečajnog postupka u iznosu od 1.317,00 kn.</w:t>
      </w:r>
    </w:p>
    <w:p w:rsidRDefault="004B7AE0" w:rsidP="004B7AE0" w:rsidR="004B7AE0" w:rsidRPr="004B7AE0">
      <w:pPr>
        <w:spacing w:after="0"/>
        <w:ind w:left="1068"/>
        <w:contextualSpacing/>
        <w:jc w:val="both"/>
        <w:rPr>
          <w:rFonts w:cs="Times New Roman" w:eastAsia="Times New Roman"/>
          <w:b/>
          <w:lang w:eastAsia="hr-HR"/>
        </w:rPr>
      </w:pPr>
    </w:p>
    <w:p w:rsidRDefault="004B7AE0" w:rsidP="004B7AE0" w:rsidR="004B7AE0" w:rsidRPr="004B7AE0">
      <w:pPr>
        <w:spacing w:after="0"/>
        <w:jc w:val="center"/>
        <w:rPr>
          <w:rFonts w:cs="Times New Roman" w:eastAsia="Times New Roman"/>
          <w:b/>
          <w:lang w:eastAsia="hr-HR"/>
        </w:rPr>
      </w:pPr>
    </w:p>
    <w:p w:rsidRDefault="004B7AE0" w:rsidP="004B7AE0" w:rsidR="004B7AE0" w:rsidRPr="004B7AE0">
      <w:pPr>
        <w:spacing w:after="0"/>
        <w:jc w:val="center"/>
        <w:rPr>
          <w:rFonts w:cs="Times New Roman" w:eastAsia="Times New Roman"/>
          <w:lang w:eastAsia="hr-HR"/>
        </w:rPr>
      </w:pPr>
      <w:r w:rsidRPr="004B7AE0">
        <w:rPr>
          <w:rFonts w:cs="Times New Roman" w:eastAsia="Times New Roman"/>
          <w:lang w:eastAsia="hr-HR"/>
        </w:rPr>
        <w:t>Obrazloženje</w:t>
      </w:r>
    </w:p>
    <w:p w:rsidRDefault="004B7AE0" w:rsidP="004B7AE0" w:rsidR="004B7AE0" w:rsidRPr="004B7AE0">
      <w:pPr>
        <w:spacing w:after="0"/>
        <w:jc w:val="center"/>
        <w:rPr>
          <w:rFonts w:cs="Times New Roman" w:eastAsia="Times New Roman"/>
          <w:b/>
          <w:lang w:eastAsia="hr-HR"/>
        </w:rPr>
      </w:pPr>
    </w:p>
    <w:p w:rsidRDefault="004B7AE0" w:rsidP="004B7AE0" w:rsidR="004B7AE0" w:rsidRPr="004B7AE0">
      <w:pPr>
        <w:spacing w:after="0"/>
        <w:jc w:val="center"/>
        <w:rPr>
          <w:rFonts w:cs="Times New Roman" w:eastAsia="Times New Roman"/>
          <w:b/>
          <w:lang w:eastAsia="hr-HR"/>
        </w:rPr>
      </w:pPr>
    </w:p>
    <w:p w:rsidRDefault="004B7AE0" w:rsidP="004B7AE0" w:rsidR="004B7AE0" w:rsidRPr="004B7AE0">
      <w:pPr>
        <w:spacing w:after="0"/>
        <w:ind w:firstLine="708"/>
        <w:jc w:val="both"/>
        <w:rPr>
          <w:rFonts w:cs="Times New Roman" w:eastAsia="Times New Roman"/>
          <w:lang w:eastAsia="hr-HR"/>
        </w:rPr>
      </w:pPr>
      <w:r w:rsidRPr="004B7AE0">
        <w:rPr>
          <w:rFonts w:cs="Times New Roman" w:eastAsia="Times New Roman"/>
          <w:lang w:eastAsia="hr-HR"/>
        </w:rPr>
        <w:t xml:space="preserve">Stečajni upravitelj je podneskom od 16. siječnja 2019. stavio zahtjev za određivanje nagrade za rad stečajnom upravitelju s obzirom da se stečajna masa odnosi isključivo na novčana sredstva u iznosu od 55.854,43 kn, pa predlaže da joj se sukladno Uredbi o kriterijima i načinu obračuna i plaćanja nagrade stečajnim upraviteljima (Narodne novine broj 105/15, dalje: Uredba) odredi nagrada u iznosu od 8.936,70 kn bruto. </w:t>
      </w:r>
    </w:p>
    <w:p w:rsidRDefault="004B7AE0" w:rsidP="004B7AE0" w:rsidR="004B7AE0" w:rsidRPr="004B7AE0">
      <w:pPr>
        <w:spacing w:after="0"/>
        <w:ind w:firstLine="708"/>
        <w:jc w:val="both"/>
        <w:rPr>
          <w:rFonts w:cs="Times New Roman" w:eastAsia="Times New Roman"/>
          <w:lang w:eastAsia="hr-HR"/>
        </w:rPr>
      </w:pPr>
    </w:p>
    <w:p w:rsidRDefault="004B7AE0" w:rsidP="004B7AE0" w:rsidR="004B7AE0" w:rsidRPr="004B7AE0">
      <w:pPr>
        <w:spacing w:after="0"/>
        <w:ind w:firstLine="708"/>
        <w:jc w:val="both"/>
        <w:rPr>
          <w:rFonts w:cs="Times New Roman" w:eastAsia="Times New Roman"/>
          <w:lang w:eastAsia="hr-HR"/>
        </w:rPr>
      </w:pPr>
      <w:r w:rsidRPr="004B7AE0">
        <w:rPr>
          <w:rFonts w:cs="Times New Roman" w:eastAsia="Times New Roman"/>
          <w:lang w:eastAsia="hr-HR"/>
        </w:rPr>
        <w:t>S obzirom na osnovu vrijednosti od 55.854,43 kn, primjenom tablice za izračun nagrade stečajnom upravitelju u smislu odredbe čl. 7. Uredbe, stečajni upravitelj osnovano potražuje nagradu u bruto iznosu od 8.936,70 kn, pa je odlučeno kao u točki 1. izreke ovog rješenja, a temeljem čl.94. st.1. i 2. Stečajnog zakona (Narodne novine broj 71715, 104/107, dalje: SZ-a).</w:t>
      </w:r>
    </w:p>
    <w:p w:rsidRDefault="004B7AE0" w:rsidP="004B7AE0" w:rsidR="004B7AE0" w:rsidRPr="004B7AE0">
      <w:pPr>
        <w:spacing w:after="0"/>
        <w:ind w:firstLine="708"/>
        <w:jc w:val="both"/>
        <w:rPr>
          <w:rFonts w:cs="Times New Roman" w:eastAsia="Times New Roman"/>
          <w:lang w:eastAsia="hr-HR"/>
        </w:rPr>
      </w:pPr>
    </w:p>
    <w:p w:rsidRDefault="004B7AE0" w:rsidP="004B7AE0" w:rsidR="004B7AE0" w:rsidRPr="004B7AE0">
      <w:pPr>
        <w:spacing w:after="0"/>
        <w:ind w:firstLine="708"/>
        <w:jc w:val="both"/>
        <w:rPr>
          <w:rFonts w:cs="Times New Roman" w:eastAsia="Times New Roman"/>
          <w:lang w:eastAsia="hr-HR"/>
        </w:rPr>
      </w:pPr>
      <w:r w:rsidRPr="004B7AE0">
        <w:rPr>
          <w:rFonts w:cs="Times New Roman" w:eastAsia="Times New Roman"/>
          <w:lang w:eastAsia="hr-HR"/>
        </w:rPr>
        <w:t>Podneskom od 16. siječnja 2019</w:t>
      </w:r>
      <w:r>
        <w:rPr>
          <w:rFonts w:cs="Times New Roman" w:eastAsia="Times New Roman"/>
          <w:lang w:eastAsia="hr-HR"/>
        </w:rPr>
        <w:t>.</w:t>
      </w:r>
      <w:r w:rsidRPr="004B7AE0">
        <w:rPr>
          <w:rFonts w:cs="Times New Roman" w:eastAsia="Times New Roman"/>
          <w:lang w:eastAsia="hr-HR"/>
        </w:rPr>
        <w:t xml:space="preserve"> stečajni upravitelj je predložio odobrenje troškova koji se odnose na putni trošak u iznosu od 820,00 kn (dva dolaska na sud u Karlovac), poštarinu u iznosu od 70,00 kn, izradu pečata u iznosu od 139,00 kn, trošak telefona, uredskog materijala i automobila u iznosu od 300,00 kn, naknadu za otvaranje, vođenje i zatvaranje računa  i transakcije po računu u iznosu od 328,00 kn (račun je otvoren u prosincu 2018., te je predviđeno vođenje računa za pet mjeseci), odnosno ukupno 1.657,00 kn.</w:t>
      </w:r>
    </w:p>
    <w:p w:rsidRDefault="004B7AE0" w:rsidP="004B7AE0" w:rsidR="004B7AE0" w:rsidRPr="004B7AE0">
      <w:pPr>
        <w:spacing w:after="0"/>
        <w:ind w:firstLine="708"/>
        <w:jc w:val="both"/>
        <w:rPr>
          <w:rFonts w:cs="Times New Roman" w:eastAsia="Times New Roman"/>
          <w:lang w:eastAsia="hr-HR"/>
        </w:rPr>
      </w:pPr>
      <w:r w:rsidRPr="004B7AE0">
        <w:rPr>
          <w:rFonts w:cs="Times New Roman" w:eastAsia="Times New Roman"/>
          <w:lang w:eastAsia="hr-HR"/>
        </w:rPr>
        <w:t xml:space="preserve"> </w:t>
      </w:r>
    </w:p>
    <w:p w:rsidRDefault="004B7AE0" w:rsidP="004B7AE0" w:rsidR="004B7AE0" w:rsidRPr="004B7AE0">
      <w:pPr>
        <w:spacing w:after="0"/>
        <w:ind w:firstLine="708"/>
        <w:jc w:val="both"/>
        <w:rPr>
          <w:rFonts w:cs="Times New Roman" w:eastAsia="Times New Roman"/>
          <w:lang w:eastAsia="hr-HR"/>
        </w:rPr>
      </w:pPr>
    </w:p>
    <w:p w:rsidRDefault="004B7AE0" w:rsidP="004B7AE0" w:rsidR="004B7AE0" w:rsidRPr="004B7AE0">
      <w:pPr>
        <w:spacing w:after="0"/>
        <w:ind w:firstLine="708"/>
        <w:jc w:val="both"/>
        <w:rPr>
          <w:rFonts w:cs="Times New Roman" w:eastAsia="Times New Roman"/>
          <w:lang w:eastAsia="hr-HR"/>
        </w:rPr>
      </w:pPr>
    </w:p>
    <w:p w:rsidRDefault="004B7AE0" w:rsidP="004B7AE0" w:rsidR="004B7AE0" w:rsidRPr="004B7AE0">
      <w:pPr>
        <w:spacing w:after="0"/>
        <w:ind w:firstLine="708"/>
        <w:jc w:val="both"/>
        <w:rPr>
          <w:rFonts w:cs="Times New Roman" w:eastAsia="Times New Roman"/>
          <w:lang w:eastAsia="hr-HR"/>
        </w:rPr>
      </w:pPr>
      <w:r w:rsidRPr="004B7AE0">
        <w:rPr>
          <w:rFonts w:cs="Times New Roman" w:eastAsia="Times New Roman"/>
          <w:lang w:eastAsia="hr-HR"/>
        </w:rPr>
        <w:t xml:space="preserve">Sud zahtjev za odobrenje troškova koji se odnose na putni trošak u iznosu od 480,00 kn (dva dolaska na sud u Karlovac), poštarinu u iznosu od 70,00 kn, izradu pečata u iznosu od 139,00 kn, trošak telefona, uredskog materijala i automobila u iznosu od 300,00 kn, naknadu za otvaranje, vođenje i zatvaranje računa  i transakcije po računu u iznosu od 328,00 kn (račun je otvoren u prosincu 2018., te je predviđeno vođenje računa za pet mjeseci), smatra potrebnim, opravdanim te </w:t>
      </w:r>
      <w:r>
        <w:rPr>
          <w:rFonts w:cs="Times New Roman" w:eastAsia="Times New Roman"/>
          <w:lang w:eastAsia="hr-HR"/>
        </w:rPr>
        <w:t>većim dijelom i dokumentiranim</w:t>
      </w:r>
      <w:r w:rsidRPr="004B7AE0">
        <w:rPr>
          <w:rFonts w:cs="Times New Roman" w:eastAsia="Times New Roman"/>
          <w:lang w:eastAsia="hr-HR"/>
        </w:rPr>
        <w:t>, pa je taj trošak odobren u ukupnom iznosu od 1.317,00 kn.</w:t>
      </w:r>
    </w:p>
    <w:p w:rsidRDefault="004B7AE0" w:rsidP="004B7AE0" w:rsidR="004B7AE0" w:rsidRPr="004B7AE0">
      <w:pPr>
        <w:spacing w:after="0"/>
        <w:ind w:firstLine="708"/>
        <w:jc w:val="both"/>
        <w:rPr>
          <w:rFonts w:cs="Times New Roman" w:eastAsia="Times New Roman"/>
          <w:lang w:eastAsia="hr-HR"/>
        </w:rPr>
      </w:pPr>
    </w:p>
    <w:p w:rsidRDefault="004B7AE0" w:rsidP="004B7AE0" w:rsidR="004B7AE0" w:rsidRPr="004B7AE0">
      <w:pPr>
        <w:spacing w:after="0"/>
        <w:ind w:firstLine="708"/>
        <w:jc w:val="both"/>
        <w:rPr>
          <w:rFonts w:cs="Times New Roman" w:eastAsia="Times New Roman"/>
          <w:lang w:eastAsia="hr-HR"/>
        </w:rPr>
      </w:pPr>
      <w:r w:rsidRPr="004B7AE0">
        <w:rPr>
          <w:rFonts w:cs="Times New Roman" w:eastAsia="Times New Roman"/>
          <w:lang w:eastAsia="hr-HR"/>
        </w:rPr>
        <w:t>Slijedom navedenog, a temeljem čl.94. st.3. SZ-a odlučeno je kao u točki 2. izreke ovog rješenja.</w:t>
      </w:r>
    </w:p>
    <w:p w:rsidRDefault="004B7AE0" w:rsidP="004B7AE0" w:rsidR="004B7AE0" w:rsidRPr="004B7AE0">
      <w:pPr>
        <w:spacing w:after="0"/>
        <w:ind w:firstLine="708"/>
        <w:jc w:val="both"/>
        <w:rPr>
          <w:rFonts w:cs="Times New Roman" w:eastAsia="Times New Roman"/>
          <w:lang w:eastAsia="hr-HR"/>
        </w:rPr>
      </w:pPr>
    </w:p>
    <w:p w:rsidRDefault="004B7AE0" w:rsidP="004B7AE0" w:rsidR="004B7AE0" w:rsidRPr="004B7AE0">
      <w:pPr>
        <w:spacing w:after="0"/>
        <w:ind w:firstLine="708"/>
        <w:jc w:val="both"/>
        <w:rPr>
          <w:rFonts w:cs="Times New Roman" w:eastAsia="Times New Roman"/>
          <w:lang w:eastAsia="hr-HR"/>
        </w:rPr>
      </w:pPr>
      <w:r w:rsidRPr="004B7AE0">
        <w:rPr>
          <w:rFonts w:cs="Times New Roman" w:eastAsia="Times New Roman"/>
          <w:lang w:eastAsia="hr-HR"/>
        </w:rPr>
        <w:t>Sud nije odobrio troškove koji se odnose na trošak dnevnice u ukupnom iznosu od 340,00 kn, za dolazak na sud 15. siječnja 2019. na ispitno i izvještajno ročište koje je ukupno s putom trajalo tri i pol sata u iznosu od 170,00 kn i za još jednu dnevnicu za dolazak na sud koji je izvjestan za završno ročište u iznosu od 170,00 kn. Naime, pravo na dnevnicu ostvaruje se tek nakon provedenih više od 12 sati na putovanju, dok se pravo na pola dnevnice ostvaruje za više od osam sati na putovanju. U konkretnom slučaju stečajna upraviteljica provela je na putu ukupno tri i pol sata, a izvjesno je da ni na završnom ročištu neće provesti sigurno više vremena, pa slijedom toga nije niti ostvarila pravo na dnevnicu, niti je dnevnica uračunata u troškove postupka.</w:t>
      </w:r>
    </w:p>
    <w:p w:rsidRDefault="004B7AE0" w:rsidP="004B7AE0" w:rsidR="004B7AE0">
      <w:pPr>
        <w:spacing w:after="0"/>
        <w:jc w:val="both"/>
        <w:rPr>
          <w:rFonts w:cs="Times New Roman" w:eastAsia="Times New Roman"/>
          <w:lang w:eastAsia="hr-HR"/>
        </w:rPr>
      </w:pPr>
    </w:p>
    <w:p w:rsidRDefault="004B7AE0" w:rsidP="004B7AE0" w:rsidR="004B7AE0" w:rsidRPr="004B7AE0">
      <w:pPr>
        <w:spacing w:after="0"/>
        <w:jc w:val="both"/>
        <w:rPr>
          <w:rFonts w:cs="Times New Roman" w:eastAsia="Times New Roman"/>
          <w:lang w:eastAsia="hr-HR"/>
        </w:rPr>
      </w:pPr>
    </w:p>
    <w:p w:rsidRDefault="004B7AE0" w:rsidP="004B7AE0" w:rsidR="004B7AE0" w:rsidRPr="004B7AE0">
      <w:pPr>
        <w:spacing w:after="0"/>
        <w:jc w:val="center"/>
        <w:rPr>
          <w:rFonts w:cs="Times New Roman" w:eastAsia="Times New Roman"/>
          <w:lang w:eastAsia="hr-HR"/>
        </w:rPr>
      </w:pPr>
      <w:r w:rsidRPr="004B7AE0">
        <w:rPr>
          <w:rFonts w:cs="Times New Roman" w:eastAsia="Times New Roman"/>
          <w:lang w:eastAsia="hr-HR"/>
        </w:rPr>
        <w:t>U Karlovcu 21. siječnja 2019.</w:t>
      </w:r>
    </w:p>
    <w:p w:rsidRDefault="004B7AE0" w:rsidP="004B7AE0" w:rsidR="004B7AE0" w:rsidRPr="004B7AE0">
      <w:pPr>
        <w:spacing w:after="0"/>
        <w:jc w:val="both"/>
        <w:rPr>
          <w:rFonts w:cs="Times New Roman" w:eastAsia="Times New Roman"/>
          <w:lang w:eastAsia="hr-HR"/>
        </w:rPr>
      </w:pPr>
    </w:p>
    <w:p w:rsidRDefault="004B7AE0" w:rsidP="004B7AE0" w:rsidR="004B7AE0" w:rsidRPr="004B7AE0">
      <w:pPr>
        <w:spacing w:after="0"/>
        <w:ind w:left="7080"/>
        <w:jc w:val="both"/>
        <w:rPr>
          <w:rFonts w:cs="Times New Roman" w:eastAsia="Times New Roman"/>
          <w:lang w:eastAsia="hr-HR"/>
        </w:rPr>
      </w:pPr>
      <w:r w:rsidRPr="004B7AE0">
        <w:rPr>
          <w:rFonts w:cs="Times New Roman" w:eastAsia="Times New Roman"/>
          <w:lang w:eastAsia="hr-HR"/>
        </w:rPr>
        <w:t xml:space="preserve">   Stečajni sudac:</w:t>
      </w:r>
    </w:p>
    <w:p w:rsidRDefault="004B7AE0" w:rsidP="004B7AE0" w:rsidR="004B7AE0" w:rsidRPr="004B7AE0">
      <w:pPr>
        <w:spacing w:after="0"/>
        <w:jc w:val="both"/>
        <w:rPr>
          <w:rFonts w:cs="Times New Roman" w:eastAsia="Times New Roman"/>
          <w:lang w:eastAsia="hr-HR"/>
        </w:rPr>
      </w:pPr>
      <w:r w:rsidRPr="004B7AE0">
        <w:rPr>
          <w:rFonts w:cs="Times New Roman" w:eastAsia="Times New Roman"/>
          <w:lang w:eastAsia="hr-HR"/>
        </w:rPr>
        <w:t xml:space="preserve">                                                                                                             Jadranka Mađeruh,v.r.</w:t>
      </w:r>
    </w:p>
    <w:p w:rsidRDefault="004B7AE0" w:rsidP="004B7AE0" w:rsidR="004B7AE0" w:rsidRPr="004B7AE0">
      <w:pPr>
        <w:spacing w:after="0"/>
        <w:jc w:val="both"/>
        <w:rPr>
          <w:rFonts w:cs="Times New Roman" w:eastAsia="Times New Roman"/>
          <w:lang w:eastAsia="hr-HR"/>
        </w:rPr>
      </w:pPr>
    </w:p>
    <w:p w:rsidRDefault="004B7AE0" w:rsidP="004B7AE0" w:rsidR="004B7AE0" w:rsidRPr="004B7AE0">
      <w:pPr>
        <w:spacing w:after="0"/>
        <w:jc w:val="right"/>
        <w:rPr>
          <w:rFonts w:cs="Times New Roman" w:eastAsia="Times New Roman"/>
          <w:lang w:eastAsia="hr-HR"/>
        </w:rPr>
      </w:pPr>
      <w:r w:rsidRPr="004B7AE0">
        <w:rPr>
          <w:rFonts w:cs="Times New Roman" w:eastAsia="Times New Roman"/>
          <w:lang w:eastAsia="hr-HR"/>
        </w:rPr>
        <w:t>Za točnost otpravka-ovlašteni službenik:</w:t>
      </w:r>
    </w:p>
    <w:p w:rsidRDefault="004B7AE0" w:rsidP="004B7AE0" w:rsidR="004B7AE0" w:rsidRPr="004B7AE0">
      <w:pPr>
        <w:spacing w:after="0"/>
        <w:ind w:firstLine="708" w:left="4248"/>
        <w:jc w:val="center"/>
        <w:rPr>
          <w:rFonts w:cs="Times New Roman" w:eastAsia="Times New Roman"/>
          <w:lang w:eastAsia="hr-HR"/>
        </w:rPr>
      </w:pPr>
      <w:r w:rsidRPr="004B7AE0">
        <w:rPr>
          <w:rFonts w:cs="Times New Roman" w:eastAsia="Times New Roman"/>
          <w:lang w:eastAsia="hr-HR"/>
        </w:rPr>
        <w:t>Draženka Prpić</w:t>
      </w:r>
    </w:p>
    <w:p w:rsidRDefault="004B7AE0" w:rsidP="004B7AE0" w:rsidR="004B7AE0" w:rsidRPr="004B7AE0">
      <w:pPr>
        <w:spacing w:after="0"/>
        <w:ind w:firstLine="708" w:left="4248"/>
        <w:jc w:val="center"/>
        <w:rPr>
          <w:rFonts w:cs="Times New Roman" w:eastAsia="Times New Roman"/>
          <w:lang w:eastAsia="hr-HR"/>
        </w:rPr>
      </w:pPr>
    </w:p>
    <w:p w:rsidRDefault="004B7AE0" w:rsidP="004B7AE0" w:rsidR="004B7AE0" w:rsidRPr="004B7AE0">
      <w:pPr>
        <w:tabs>
          <w:tab w:pos="6420" w:val="left"/>
        </w:tabs>
        <w:spacing w:after="0"/>
        <w:jc w:val="both"/>
        <w:rPr>
          <w:rFonts w:cs="Times New Roman" w:eastAsia="Times New Roman"/>
          <w:lang w:eastAsia="hr-HR"/>
        </w:rPr>
      </w:pPr>
      <w:r w:rsidRPr="004B7AE0">
        <w:rPr>
          <w:rFonts w:cs="Times New Roman" w:eastAsia="Times New Roman"/>
          <w:lang w:eastAsia="hr-HR"/>
        </w:rPr>
        <w:t>PRAVNA POUKA:</w:t>
      </w:r>
    </w:p>
    <w:p w:rsidRDefault="004B7AE0" w:rsidP="004B7AE0" w:rsidR="004B7AE0" w:rsidRPr="004B7AE0">
      <w:pPr>
        <w:tabs>
          <w:tab w:pos="6420" w:val="left"/>
        </w:tabs>
        <w:spacing w:after="0"/>
        <w:jc w:val="both"/>
        <w:rPr>
          <w:rFonts w:cs="Times New Roman" w:eastAsia="Times New Roman"/>
          <w:lang w:eastAsia="hr-HR"/>
        </w:rPr>
      </w:pPr>
      <w:r w:rsidRPr="004B7AE0">
        <w:rPr>
          <w:rFonts w:cs="Times New Roman" w:eastAsia="Times New Roman"/>
          <w:lang w:eastAsia="hr-HR"/>
        </w:rPr>
        <w:t>Protiv ovog rješenja dopuštena je žalba Visokom trgovačkom sudu RH u Zagrebu. Žalba se podnosi putem ovog suda, u 3 primjerka, u roku 8 dana od dana dostave prijepisa ovog rješenja.</w:t>
      </w:r>
    </w:p>
    <w:p w:rsidRDefault="004B7AE0" w:rsidP="004B7AE0" w:rsidR="004B7AE0" w:rsidRPr="004B7AE0">
      <w:pPr>
        <w:spacing w:after="0"/>
        <w:ind w:firstLine="708" w:left="4248"/>
        <w:jc w:val="center"/>
        <w:rPr>
          <w:rFonts w:cs="Times New Roman" w:eastAsia="Times New Roman"/>
          <w:lang w:eastAsia="hr-HR"/>
        </w:rPr>
      </w:pPr>
    </w:p>
    <w:sectPr w:rsidSect="0032366B" w:rsidR="004B7AE0" w:rsidRPr="004B7AE0">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09304921"/>
      <w:docPartObj>
        <w:docPartGallery w:val="Page Numbers (Top of Page)"/>
        <w:docPartUnique/>
      </w:docPartObj>
    </w:sdtPr>
    <w:sdtContent>
      <w:p w:rsidRDefault="004B7AE0" w:rsidR="004B7AE0">
        <w:pPr>
          <w:pStyle w:val="Zaglavlje"/>
          <w:jc w:val="center"/>
        </w:pPr>
        <w:r>
          <w:fldChar w:fldCharType="begin"/>
        </w:r>
        <w:r>
          <w:instrText>PAGE   \* MERGEFORMAT</w:instrText>
        </w:r>
        <w:r>
          <w:fldChar w:fldCharType="separate"/>
        </w:r>
        <w:r>
          <w:t>1</w:t>
        </w:r>
        <w:r>
          <w:fldChar w:fldCharType="end"/>
        </w:r>
      </w:p>
    </w:sdtContent>
  </w:sdt>
  <w:p w:rsidRDefault="004B7AE0" w:rsidR="008333A9">
    <w:pPr>
      <w:pStyle w:val="Zaglavlje"/>
    </w:pPr>
    <w:r>
      <w:t>1 St-1413/2018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3D40E5"/>
    <w:multiLevelType w:val="hybridMultilevel"/>
    <w:tmpl w:val="2CB22C32"/>
    <w:lvl w:tplc="6FBE3C4A" w:ilvl="0">
      <w:start w:val="1"/>
      <w:numFmt w:val="decimal"/>
      <w:lvlText w:val="%1."/>
      <w:lvlJc w:val="left"/>
      <w:pPr>
        <w:ind w:hanging="360" w:left="1062"/>
      </w:pPr>
      <w:rPr>
        <w:b w:val="false"/>
      </w:rPr>
    </w:lvl>
    <w:lvl w:tplc="041A0019" w:ilvl="1">
      <w:start w:val="1"/>
      <w:numFmt w:val="lowerLetter"/>
      <w:lvlText w:val="%2."/>
      <w:lvlJc w:val="left"/>
      <w:pPr>
        <w:ind w:hanging="360" w:left="1782"/>
      </w:pPr>
    </w:lvl>
    <w:lvl w:tplc="041A001B" w:ilvl="2">
      <w:start w:val="1"/>
      <w:numFmt w:val="lowerRoman"/>
      <w:lvlText w:val="%3."/>
      <w:lvlJc w:val="right"/>
      <w:pPr>
        <w:ind w:hanging="180" w:left="2502"/>
      </w:pPr>
    </w:lvl>
    <w:lvl w:tplc="041A000F" w:ilvl="3">
      <w:start w:val="1"/>
      <w:numFmt w:val="decimal"/>
      <w:lvlText w:val="%4."/>
      <w:lvlJc w:val="left"/>
      <w:pPr>
        <w:ind w:hanging="360" w:left="3222"/>
      </w:pPr>
    </w:lvl>
    <w:lvl w:tplc="041A0019" w:ilvl="4">
      <w:start w:val="1"/>
      <w:numFmt w:val="lowerLetter"/>
      <w:lvlText w:val="%5."/>
      <w:lvlJc w:val="left"/>
      <w:pPr>
        <w:ind w:hanging="360" w:left="3942"/>
      </w:pPr>
    </w:lvl>
    <w:lvl w:tplc="041A001B" w:ilvl="5">
      <w:start w:val="1"/>
      <w:numFmt w:val="lowerRoman"/>
      <w:lvlText w:val="%6."/>
      <w:lvlJc w:val="right"/>
      <w:pPr>
        <w:ind w:hanging="180" w:left="4662"/>
      </w:pPr>
    </w:lvl>
    <w:lvl w:tplc="041A000F" w:ilvl="6">
      <w:start w:val="1"/>
      <w:numFmt w:val="decimal"/>
      <w:lvlText w:val="%7."/>
      <w:lvlJc w:val="left"/>
      <w:pPr>
        <w:ind w:hanging="360" w:left="5382"/>
      </w:pPr>
    </w:lvl>
    <w:lvl w:tplc="041A0019" w:ilvl="7">
      <w:start w:val="1"/>
      <w:numFmt w:val="lowerLetter"/>
      <w:lvlText w:val="%8."/>
      <w:lvlJc w:val="left"/>
      <w:pPr>
        <w:ind w:hanging="360" w:left="6102"/>
      </w:pPr>
    </w:lvl>
    <w:lvl w:tplc="041A001B" w:ilvl="8">
      <w:start w:val="1"/>
      <w:numFmt w:val="lowerRoman"/>
      <w:lvlText w:val="%9."/>
      <w:lvlJc w:val="right"/>
      <w:pPr>
        <w:ind w:hanging="180" w:left="6822"/>
      </w:p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6FC52D1D"/>
    <w:multiLevelType w:val="hybridMultilevel"/>
    <w:tmpl w:val="1354F970"/>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B7AE0"/>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8226467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siječnja 2019.</izvorni_sadrzaj>
    <derivirana_varijabla naziv="DomainObject.DatumDonosenjaOdluke_1">21.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naknada troškova</izvorni_sadrzaj>
    <derivirana_varijabla naziv="DomainObject.Primjedba_1">i naknada troškova</derivirana_varijabla>
  </DomainObject.Primjedba>
  <DomainObject.Oznaka>
    <izvorni_sadrzaj>St-1413/2018-32</izvorni_sadrzaj>
    <derivirana_varijabla naziv="DomainObject.Oznaka_1">St-1413/2018-32</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1413</izvorni_sadrzaj>
    <derivirana_varijabla naziv="DomainObject.Predmet.Broj_1">1413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2018.</izvorni_sadrzaj>
    <derivirana_varijabla naziv="DomainObject.Predmet.DatumOsnivanja_1">1.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St-1413/2018</izvorni_sadrzaj>
    <derivirana_varijabla naziv="DomainObject.Predmet.OznakaBroj_1">St-1413/2018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PLAYHOUSE d.o.o.u stečaju</izvorni_sadrzaj>
    <derivirana_varijabla naziv="DomainObject.Predmet.ProtustrankaFormated_1">  Stečajna masa iza PLAYHOUSE d.o.o.u stečaju</derivirana_varijabla>
  </DomainObject.Predmet.ProtustrankaFormated>
  <DomainObject.Predmet.ProtustrankaFormatedOIB>
    <izvorni_sadrzaj>  Stečajna masa iza PLAYHOUSE d.o.o.u stečaju, OIB 55434649942</izvorni_sadrzaj>
    <derivirana_varijabla naziv="DomainObject.Predmet.ProtustrankaFormatedOIB_1">  Stečajna masa iza PLAYHOUSE d.o.o.u stečaju, OIB 55434649942</derivirana_varijabla>
  </DomainObject.Predmet.ProtustrankaFormatedOIB>
  <DomainObject.Predmet.ProtustrankaFormatedWithAdress>
    <izvorni_sadrzaj> Stečajna masa iza PLAYHOUSE d.o.o.u stečaju, Kralja Držislava 10, 10000 Zagreb</izvorni_sadrzaj>
    <derivirana_varijabla naziv="DomainObject.Predmet.ProtustrankaFormatedWithAdress_1"> Stečajna masa iza PLAYHOUSE d.o.o.u stečaju, Kralja Držislava 10, 10000 Zagreb</derivirana_varijabla>
  </DomainObject.Predmet.ProtustrankaFormatedWithAdress>
  <DomainObject.Predmet.ProtustrankaFormatedWithAdressOIB>
    <izvorni_sadrzaj> Stečajna masa iza PLAYHOUSE d.o.o.u stečaju, OIB 55434649942, Kralja Držislava 10, 10000 Zagreb</izvorni_sadrzaj>
    <derivirana_varijabla naziv="DomainObject.Predmet.ProtustrankaFormatedWithAdressOIB_1"> Stečajna masa iza PLAYHOUSE d.o.o.u stečaju, OIB 55434649942, Kralja Držislava 10, 10000 Zagreb</derivirana_varijabla>
  </DomainObject.Predmet.ProtustrankaFormatedWithAdressOIB>
  <DomainObject.Predmet.ProtustrankaWithAdress>
    <izvorni_sadrzaj>Stečajna masa iza PLAYHOUSE d.o.o.u stečaju Kralja Držislava 10, 10000 Zagreb</izvorni_sadrzaj>
    <derivirana_varijabla naziv="DomainObject.Predmet.ProtustrankaWithAdress_1">Stečajna masa iza PLAYHOUSE d.o.o.u stečaju Kralja Držislava 10, 10000 Zagreb</derivirana_varijabla>
  </DomainObject.Predmet.ProtustrankaWithAdress>
  <DomainObject.Predmet.ProtustrankaWithAdressOIB>
    <izvorni_sadrzaj>Stečajna masa iza PLAYHOUSE d.o.o.u stečaju, OIB 55434649942, Kralja Držislava 10, 10000 Zagreb</izvorni_sadrzaj>
    <derivirana_varijabla naziv="DomainObject.Predmet.ProtustrankaWithAdressOIB_1">Stečajna masa iza PLAYHOUSE d.o.o.u stečaju, OIB 55434649942, Kralja Držislava 10, 10000 Zagreb</derivirana_varijabla>
  </DomainObject.Predmet.ProtustrankaWithAdressOIB>
  <DomainObject.Predmet.ProtustrankaNazivFormated>
    <izvorni_sadrzaj>Stečajna masa iza PLAYHOUSE d.o.o.u stečaju</izvorni_sadrzaj>
    <derivirana_varijabla naziv="DomainObject.Predmet.ProtustrankaNazivFormated_1">Stečajna masa iza PLAYHOUSE d.o.o.u stečaju</derivirana_varijabla>
  </DomainObject.Predmet.ProtustrankaNazivFormated>
  <DomainObject.Predmet.ProtustrankaNazivFormatedOIB>
    <izvorni_sadrzaj>Stečajna masa iza PLAYHOUSE d.o.o.u stečaju, OIB 55434649942</izvorni_sadrzaj>
    <derivirana_varijabla naziv="DomainObject.Predmet.ProtustrankaNazivFormatedOIB_1">Stečajna masa iza PLAYHOUSE d.o.o.u stečaju, OIB 55434649942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Stečajna masa iza PLAYHOUSE d.o.o.u stečaju</item>
    </izvorni_sadrzaj>
    <derivirana_varijabla naziv="DomainObject.Predmet.ProtuStrankaListFormated_1">
      <item>Stečajna masa iza PLAYHOUSE d.o.o.u stečaju</item>
    </derivirana_varijabla>
  </DomainObject.Predmet.ProtuStrankaListFormated>
  <DomainObject.Predmet.ProtuStrankaListFormatedOIB>
    <izvorni_sadrzaj>
      <item>Stečajna masa iza PLAYHOUSE d.o.o.u stečaju, OIB 55434649942</item>
    </izvorni_sadrzaj>
    <derivirana_varijabla naziv="DomainObject.Predmet.ProtuStrankaListFormatedOIB_1">
      <item>Stečajna masa iza PLAYHOUSE d.o.o.u stečaju, OIB 55434649942</item>
    </derivirana_varijabla>
  </DomainObject.Predmet.ProtuStrankaListFormatedOIB>
  <DomainObject.Predmet.ProtuStrankaListFormatedWithAdress>
    <izvorni_sadrzaj>
      <item>Stečajna masa iza PLAYHOUSE d.o.o.u stečaju, Kralja Držislava 10, 10000 Zagreb</item>
    </izvorni_sadrzaj>
    <derivirana_varijabla naziv="DomainObject.Predmet.ProtuStrankaListFormatedWithAdress_1">
      <item>Stečajna masa iza PLAYHOUSE d.o.o.u stečaju, Kralja Držislava 10, 10000 Zagreb</item>
    </derivirana_varijabla>
  </DomainObject.Predmet.ProtuStrankaListFormatedWithAdress>
  <DomainObject.Predmet.ProtuStrankaListFormatedWithAdressOIB>
    <izvorni_sadrzaj>
      <item>Stečajna masa iza PLAYHOUSE d.o.o.u stečaju, OIB 55434649942, Kralja Držislava 10, 10000 Zagreb</item>
    </izvorni_sadrzaj>
    <derivirana_varijabla naziv="DomainObject.Predmet.ProtuStrankaListFormatedWithAdressOIB_1">
      <item>Stečajna masa iza PLAYHOUSE d.o.o.u stečaju, OIB 55434649942, Kralja Držislava 10, 10000 Zagreb</item>
    </derivirana_varijabla>
  </DomainObject.Predmet.ProtuStrankaListFormatedWithAdressOIB>
  <DomainObject.Predmet.ProtuStrankaListNazivFormated>
    <izvorni_sadrzaj>
      <item>Stečajna masa iza PLAYHOUSE d.o.o.u stečaju</item>
    </izvorni_sadrzaj>
    <derivirana_varijabla naziv="DomainObject.Predmet.ProtuStrankaListNazivFormated_1">
      <item>Stečajna masa iza PLAYHOUSE d.o.o.u stečaju</item>
    </derivirana_varijabla>
  </DomainObject.Predmet.ProtuStrankaListNazivFormated>
  <DomainObject.Predmet.ProtuStrankaListNazivFormatedOIB>
    <izvorni_sadrzaj>
      <item>Stečajna masa iza PLAYHOUSE d.o.o.u stečaju, OIB 55434649942</item>
    </izvorni_sadrzaj>
    <derivirana_varijabla naziv="DomainObject.Predmet.ProtuStrankaListNazivFormatedOIB_1">
      <item>Stečajna masa iza PLAYHOUSE d.o.o.u stečaju, OIB 55434649942</item>
    </derivirana_varijabla>
  </DomainObject.Predmet.ProtuStrankaListNazivFormatedOIB>
  <DomainObject.Predmet.OstaliListFormated>
    <izvorni_sadrzaj>
      <item>Ivan Bačić</item>
    </izvorni_sadrzaj>
    <derivirana_varijabla naziv="DomainObject.Predmet.OstaliListFormated_1">
      <item>Ivan Bačić</item>
    </derivirana_varijabla>
  </DomainObject.Predmet.OstaliListFormated>
  <DomainObject.Predmet.OstaliListFormatedOIB>
    <izvorni_sadrzaj>
      <item>Ivan Bačić, OIB 47689964108</item>
    </izvorni_sadrzaj>
    <derivirana_varijabla naziv="DomainObject.Predmet.OstaliListFormatedOIB_1">
      <item>Ivan Bačić, OIB 47689964108</item>
    </derivirana_varijabla>
  </DomainObject.Predmet.OstaliListFormatedOIB>
  <DomainObject.Predmet.OstaliListFormatedWithAdress>
    <izvorni_sadrzaj>
      <item>Ivan Bačić, Antuna Stipančića 14, 10000 Zagreb</item>
    </izvorni_sadrzaj>
    <derivirana_varijabla naziv="DomainObject.Predmet.OstaliListFormatedWithAdress_1">
      <item>Ivan Bačić, Antuna Stipančića 14, 10000 Zagreb</item>
    </derivirana_varijabla>
  </DomainObject.Predmet.OstaliListFormatedWithAdress>
  <DomainObject.Predmet.OstaliListFormatedWithAdressOIB>
    <izvorni_sadrzaj>
      <item>Ivan Bačić, OIB 47689964108, Antuna Stipančića 14, 10000 Zagreb</item>
    </izvorni_sadrzaj>
    <derivirana_varijabla naziv="DomainObject.Predmet.OstaliListFormatedWithAdressOIB_1">
      <item>Ivan Bačić, OIB 47689964108, Antuna Stipančića 14, 10000 Zagreb</item>
    </derivirana_varijabla>
  </DomainObject.Predmet.OstaliListFormatedWithAdressOIB>
  <DomainObject.Predmet.OstaliListNazivFormated>
    <izvorni_sadrzaj>
      <item>Ivan Bačić</item>
    </izvorni_sadrzaj>
    <derivirana_varijabla naziv="DomainObject.Predmet.OstaliListNazivFormated_1">
      <item>Ivan Bačić</item>
    </derivirana_varijabla>
  </DomainObject.Predmet.OstaliListNazivFormated>
  <DomainObject.Predmet.OstaliListNazivFormatedOIB>
    <izvorni_sadrzaj>
      <item>Ivan Bačić, OIB 47689964108</item>
    </izvorni_sadrzaj>
    <derivirana_varijabla naziv="DomainObject.Predmet.OstaliListNazivFormatedOIB_1">
      <item>Ivan Bačić, OIB 47689964108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siječnja 2019.</izvorni_sadrzaj>
    <derivirana_varijabla naziv="DomainObject.Datum_1">21. siječnja 2019.</derivirana_varijabla>
  </DomainObject.Datum>
  <DomainObject.PoslovniBrojDokumenta>
    <izvorni_sadrzaj>St-1413/2018-32</izvorni_sadrzaj>
    <derivirana_varijabla naziv="DomainObject.PoslovniBrojDokumenta_1">St-1413/2018-32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Stečajna masa iza PLAYHOUSE d.o.o.u stečaju</izvorni_sadrzaj>
    <derivirana_varijabla naziv="DomainObject.Predmet.ProtustrankaIDrugi_1">Stečajna masa iza PLAYHOUSE d.o.o.u stečaju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Stečajna masa iza PLAYHOUSE d.o.o.u stečaju, OIB 55434649942, Kralja Držislava 10, 10000 Zagreb</izvorni_sadrzaj>
    <derivirana_varijabla naziv="DomainObject.Predmet.ProtustrankaIDrugiAdressOIB_1">Stečajna masa iza PLAYHOUSE d.o.o.u stečaju, OIB 55434649942, Kralja Držislava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PLAYHOUSE d.o.o.u stečaju</item>
      <item>FINA Regionalni centar Zagreb</item>
      <item>Ivan Bačić</item>
    </izvorni_sadrzaj>
    <derivirana_varijabla naziv="DomainObject.Predmet.SudioniciListNaziv_1">
      <item>Stečajna masa iza PLAYHOUSE d.o.o.u stečaju</item>
      <item>FINA Regionalni centar Zagreb</item>
      <item>Ivan Bačić</item>
    </derivirana_varijabla>
  </DomainObject.Predmet.SudioniciListNaziv>
  <DomainObject.Predmet.SudioniciListAdressOIB>
    <izvorni_sadrzaj>
      <item>Stečajna masa iza PLAYHOUSE d.o.o.u stečaju, OIB 55434649942, Kralja Držislava 10,10000 Zagreb</item>
      <item>FINA Regionalni centar Zagreb, OIB 85821130368, Trg svibanjskih žrtava 1995. 1,10000 Zagreb</item>
      <item>Ivan Bačić, OIB 47689964108, Antuna Stipančića 14,10000 Zagreb</item>
    </izvorni_sadrzaj>
    <derivirana_varijabla naziv="DomainObject.Predmet.SudioniciListAdressOIB_1">
      <item>Stečajna masa iza PLAYHOUSE d.o.o.u stečaju, OIB 55434649942, Kralja Držislava 10,10000 Zagreb</item>
      <item>FINA Regionalni centar Zagreb, OIB 85821130368, Trg svibanjskih žrtava 1995. 1,10000 Zagreb</item>
      <item>Ivan Bačić, OIB 47689964108, Antuna Stipančića 14,10000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1D9B964-8A49-44F5-96DF-97D4CC96BB2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620</properties:Words>
  <properties:Characters>3095</properties:Characters>
  <properties:Lines>81</properties:Lines>
  <properties:Paragraphs>24</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3831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Draženka Prpić</cp:lastModifiedBy>
  <cp:lastPrinted>2019-01-21T09:23:00Z</cp:lastPrinted>
  <dcterms:modified xmlns:xsi="http://www.w3.org/2001/XMLSchema-instance" xsi:type="dcterms:W3CDTF">2019-01-21T09:23:00Z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St-1413/2018-32 / Odluka - Rješenje - određivanje nagrade stečajnom upravitelju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