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2022d" w14:paraId="012022d" w:rsidRDefault="00484EA8" w:rsidR="00EB1963">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484EA8" w:rsidR="00EB1963">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EB1963" w:rsidR="00EB1963">
      <w:pPr>
        <w:jc w:val="center"/>
        <w:rPr>
          <w:rFonts w:hAnsi="Times New Roman" w:ascii="Times New Roman"/>
          <w:sz w:val="24"/>
        </w:rPr>
      </w:pPr>
    </w:p>
    <w:p w:rsidRDefault="00484EA8" w:rsidR="00EB1963">
      <w:pPr>
        <w:jc w:val="both"/>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rPr>
        <w:t xml:space="preserve"> </w:t>
      </w:r>
      <w:r>
        <w:rPr>
          <w:rFonts w:hAnsi="Times New Roman" w:ascii="Times New Roman"/>
          <w:sz w:val="24"/>
          <w:szCs w:val="24"/>
          <w:lang w:val="pl-PL"/>
        </w:rPr>
        <w:t>sud</w:t>
      </w:r>
      <w:r>
        <w:rPr>
          <w:rFonts w:hAnsi="Times New Roman" w:ascii="Times New Roman"/>
          <w:sz w:val="24"/>
        </w:rPr>
        <w:t xml:space="preserve"> u Zagrebu</w:t>
      </w:r>
    </w:p>
    <w:p w:rsidRDefault="00484EA8" w:rsidR="00EB1963">
      <w:pPr>
        <w:jc w:val="both"/>
      </w:pPr>
      <w:r>
        <w:rPr>
          <w:rFonts w:hAnsi="Times New Roman" w:ascii="Times New Roman"/>
          <w:sz w:val="24"/>
          <w:szCs w:val="24"/>
          <w:lang w:val="pl-PL"/>
        </w:rPr>
        <w:t>Poslovni broj spisa St-399/15</w:t>
      </w:r>
    </w:p>
    <w:p w:rsidRDefault="00484EA8" w:rsidR="00EB1963">
      <w:r>
        <w:rPr>
          <w:rFonts w:hAnsi="Times New Roman" w:ascii="Times New Roman"/>
          <w:sz w:val="24"/>
          <w:szCs w:val="24"/>
          <w:lang w:val="pl-PL"/>
        </w:rPr>
        <w:t>Dužnik:  Absum d.o.o. u stečaju iz Karlovca, Jana Masaryka 2, OIB: 08992234375</w:t>
      </w:r>
    </w:p>
    <w:p w:rsidRDefault="00EB1963" w:rsidR="00EB1963">
      <w:pPr>
        <w:jc w:val="center"/>
        <w:rPr>
          <w:rFonts w:hAnsi="Times New Roman" w:ascii="Times New Roman"/>
          <w:sz w:val="24"/>
          <w:szCs w:val="24"/>
          <w:lang w:val="pl-PL"/>
        </w:rPr>
      </w:pPr>
    </w:p>
    <w:p w:rsidRDefault="00484EA8" w:rsidR="00EB1963">
      <w:r>
        <w:rPr>
          <w:rFonts w:hAnsi="Times New Roman" w:ascii="Times New Roman"/>
          <w:sz w:val="24"/>
          <w:szCs w:val="24"/>
          <w:lang w:val="pl-PL"/>
        </w:rPr>
        <w:t>I.  TIJEK STEČAJNOGA POSTUPKA U RAZDOBLJU OD 09.02.2016.DO 08.08.2018.g.</w:t>
      </w:r>
    </w:p>
    <w:p w:rsidRDefault="00484EA8" w:rsidR="00EB1963">
      <w:pPr>
        <w:jc w:val="both"/>
      </w:pPr>
      <w:r>
        <w:rPr>
          <w:rFonts w:hAnsi="Times New Roman" w:ascii="Times New Roman"/>
          <w:sz w:val="24"/>
          <w:szCs w:val="24"/>
          <w:lang w:val="pl-PL"/>
        </w:rPr>
        <w:t>U navedenom razdoblju stečajna upraviteljica je poduzela radnje radi unovčenja imovine stečajnog dužnika.</w:t>
      </w:r>
    </w:p>
    <w:p w:rsidRDefault="00484EA8" w:rsidR="00EB1963">
      <w:pPr>
        <w:jc w:val="both"/>
      </w:pPr>
      <w:r>
        <w:rPr>
          <w:rFonts w:hAnsi="Times New Roman" w:ascii="Times New Roman"/>
          <w:sz w:val="24"/>
          <w:szCs w:val="24"/>
          <w:lang w:val="pl-PL"/>
        </w:rPr>
        <w:t>Unovčen je teretni automobil FIAT FIORINO 1.4 T, Godina proizvodnje: 1998 za iznos od 500,00 kuna + pdv.</w:t>
      </w:r>
    </w:p>
    <w:p w:rsidRDefault="00484EA8" w:rsidR="00EB1963">
      <w:pPr>
        <w:jc w:val="both"/>
      </w:pPr>
      <w:r>
        <w:rPr>
          <w:rFonts w:hAnsi="Times New Roman" w:ascii="Times New Roman"/>
          <w:sz w:val="24"/>
          <w:szCs w:val="24"/>
          <w:lang w:val="pl-PL"/>
        </w:rPr>
        <w:t>Na navedenom vozilu je postojalo razlučno pravo za korist Ministarstva financija koje je dalo suglasnost da se predmetno vozilo unovči u sklopu stečajnog postupka.</w:t>
      </w:r>
    </w:p>
    <w:p w:rsidRDefault="00484EA8" w:rsidR="00EB1963">
      <w:pPr>
        <w:jc w:val="both"/>
      </w:pPr>
      <w:r>
        <w:rPr>
          <w:rFonts w:hAnsi="Times New Roman" w:ascii="Times New Roman"/>
          <w:sz w:val="24"/>
          <w:szCs w:val="24"/>
          <w:lang w:val="pl-PL"/>
        </w:rPr>
        <w:t>Stečajna upraviteljica je od dana otvaranja stečajnog postupka pokušavala unovčiti vjenčanice knjigovodstvene vrijednosti 358,684.96  kn koje su se nalazile u vlasništvu stečajnog dužnika, a na kojim vječanicama je također bilo zasnovano založno pravo za korist Ministarstva financija. Unovčenje je ostalo bezuspješno budući su u pitanju bile vjenčanice iz kolekcija 2008.-2012.g. i iste su smatrane zastarijelim, te stoga nisu uspjele naći kupce usprkos zadnjoj cijeni od oko 100,00 kuna po komadu. U skladu są odobrenjem razlučnog vjerovnika, stečajna upraviteljica je predmetne vjenčanice donirala socijalnoj zadruzi Humana Nova , OIB: 15792761433 koja je o primitku donacije izdala pisanu potvrdu.</w:t>
      </w:r>
    </w:p>
    <w:p w:rsidRDefault="00484EA8" w:rsidR="00EB1963">
      <w:pPr>
        <w:jc w:val="both"/>
      </w:pPr>
      <w:r>
        <w:rPr>
          <w:rFonts w:hAnsi="Times New Roman" w:ascii="Times New Roman"/>
          <w:sz w:val="24"/>
          <w:szCs w:val="24"/>
          <w:lang w:val="pl-PL"/>
        </w:rPr>
        <w:t>U ovom trenutku se pred Trgovačkim sudom u Zagrebu vodi postupak pod posl.br. Povrv-4424/2017 protiv stečajnog dužnika, a na prijedlog društva Vipnet d.o.o., radi isplate iznosa od 1.086,10 kn za usluge koje stečajni dužnik nikada nije koristio.</w:t>
      </w:r>
    </w:p>
    <w:p w:rsidRDefault="00484EA8" w:rsidR="00EB1963">
      <w:pPr>
        <w:jc w:val="both"/>
      </w:pPr>
      <w:r>
        <w:rPr>
          <w:rFonts w:hAnsi="Times New Roman" w:ascii="Times New Roman"/>
          <w:sz w:val="24"/>
          <w:szCs w:val="24"/>
          <w:lang w:val="pl-PL"/>
        </w:rPr>
        <w:t>Od dana otvaranja stečajnog postupka pa do danas Općinski sud u Karlovcu je u više  predmeta (P-340/14, Pr-12/15, P-578/14) donio rješenje kojim se stečajnom dužniku nalaže da plati sudsku pristojbu koja se odnosi na razdoblje prije otvaranja stečajnog postupka. Protiv tih rješenja stečajna upraviteljica je uložila žalbe koje su u nekim predmetima prihavaćene, a u pojedinim predmetima odbijene, te je zbog toga są računa stečajnog dužnika zaplijenjen iznos od 3,724.94 kn koji je prenesen na račun Državnog proračuna i fine za trošak prisilne naplate.</w:t>
      </w:r>
    </w:p>
    <w:p w:rsidRDefault="00484EA8" w:rsidR="00EB1963">
      <w:pPr>
        <w:jc w:val="both"/>
      </w:pPr>
      <w:r>
        <w:rPr>
          <w:rFonts w:hAnsi="Times New Roman" w:ascii="Times New Roman"/>
          <w:sz w:val="24"/>
          <w:szCs w:val="24"/>
          <w:lang w:val="pl-PL"/>
        </w:rPr>
        <w:t>Hrvatska radiotelevizija je putem javnog bilježnika pokrenula ovrhu protiv stečajnog dužnika radi podmirenja tražbine koja se odnosi nakon otvaranja postupka predstečajne nagodbe. Javni bilježnik je predmeto rješenje pokušao dostaviti na adresu stečajnog dužnika koja je upisana u sudskom registru, ali ta je dostava ostala bezuspješna, te je javni bilježnik dostavu izvršio putem oglasne ploče. Budući stečajna upraviteljica do trenutka blokade nije znala za predmetnu ovrhu, ista nije mogla uložiti prigovor, te je zbog ovrhe HRT-a i Državnog proračuna, račun stečajnog dužnika na dan 30.07.2018.g. blokiran za iznos od 1.335,00 kuna.</w:t>
      </w:r>
    </w:p>
    <w:p w:rsidRDefault="00484EA8" w:rsidR="00EB1963">
      <w:pPr>
        <w:jc w:val="both"/>
      </w:pPr>
      <w:r>
        <w:rPr>
          <w:rFonts w:hAnsi="Times New Roman" w:ascii="Times New Roman"/>
          <w:sz w:val="24"/>
          <w:szCs w:val="24"/>
          <w:lang w:val="pl-PL"/>
        </w:rPr>
        <w:t>Stečajni dužnik nije nastavio svoje poslovanje pa samim time nema niti zaposlenih radnika.</w:t>
      </w:r>
    </w:p>
    <w:p w:rsidRDefault="00EB1963" w:rsidR="00EB1963">
      <w:pPr>
        <w:rPr>
          <w:rFonts w:hAnsi="Times New Roman" w:ascii="Times New Roman"/>
          <w:sz w:val="24"/>
          <w:szCs w:val="24"/>
          <w:lang w:val="pl-PL"/>
        </w:rPr>
      </w:pPr>
    </w:p>
    <w:p w:rsidRDefault="00484EA8" w:rsidR="00EB1963">
      <w:pPr>
        <w:rPr>
          <w:rFonts w:hAnsi="Times New Roman" w:ascii="Times New Roman"/>
          <w:sz w:val="24"/>
          <w:szCs w:val="24"/>
          <w:lang w:val="pl-PL"/>
        </w:rPr>
      </w:pPr>
      <w:r>
        <w:rPr>
          <w:rFonts w:hAnsi="Times New Roman" w:ascii="Times New Roman"/>
          <w:sz w:val="24"/>
          <w:szCs w:val="24"/>
          <w:lang w:val="pl-PL"/>
        </w:rPr>
        <w:t>II. STANJE STEČAJNE MASE</w:t>
      </w:r>
    </w:p>
    <w:p w:rsidRDefault="00484EA8" w:rsidR="00EB1963">
      <w:pPr>
        <w:jc w:val="both"/>
      </w:pPr>
      <w:r>
        <w:rPr>
          <w:rFonts w:hAnsi="Times New Roman" w:ascii="Times New Roman"/>
          <w:sz w:val="24"/>
          <w:szCs w:val="24"/>
          <w:lang w:val="pl-PL"/>
        </w:rPr>
        <w:t>Prema uvjerenju Ministarstva unutarnjih poslova, policijska uprava Karlovac proizlazi da je društvo vlasnik slijedećih vozila:</w:t>
      </w:r>
    </w:p>
    <w:p w:rsidRDefault="00EB1963" w:rsidR="00EB1963">
      <w:pPr>
        <w:jc w:val="both"/>
        <w:rPr>
          <w:rFonts w:hAnsi="Times New Roman" w:ascii="Times New Roman"/>
          <w:sz w:val="24"/>
          <w:szCs w:val="24"/>
          <w:lang w:val="pl-PL"/>
        </w:rPr>
      </w:pPr>
    </w:p>
    <w:p w:rsidRDefault="00484EA8" w:rsidR="00EB1963">
      <w:pPr>
        <w:jc w:val="both"/>
      </w:pPr>
      <w:r>
        <w:rPr>
          <w:rFonts w:hAnsi="Times New Roman" w:ascii="Times New Roman"/>
          <w:sz w:val="24"/>
          <w:szCs w:val="24"/>
          <w:lang w:val="pl-PL"/>
        </w:rPr>
        <w:t>1. L1 marke Gilera Runner 50 SP, godina proizvodnje 2007, broj šasije: ZAPC4610000022820, reg.oznake KA 736 FT, odjavljeno 2.7.2015. Za vozilo je evidentirana zabrana otuđenja.</w:t>
      </w:r>
    </w:p>
    <w:p w:rsidRDefault="00484EA8" w:rsidR="00EB1963">
      <w:pPr>
        <w:jc w:val="both"/>
      </w:pPr>
      <w:r>
        <w:rPr>
          <w:rFonts w:hAnsi="Times New Roman" w:ascii="Times New Roman"/>
          <w:sz w:val="24"/>
          <w:szCs w:val="24"/>
          <w:lang w:val="pl-PL"/>
        </w:rPr>
        <w:t>2. N1 marke Volkswage Caddy 1.4. Furgon, godina proizvodnje 1996., broj šasije WV1ZZZ9KZTR516310, reg.oznake KA 782 BB, odjavljeno 10.7.2015. Za vozilo je evidentirana zabrana otuđenja.</w:t>
      </w:r>
    </w:p>
    <w:p w:rsidRDefault="00484EA8" w:rsidR="00EB1963">
      <w:pPr>
        <w:jc w:val="both"/>
      </w:pPr>
      <w:r>
        <w:rPr>
          <w:rFonts w:hAnsi="Times New Roman" w:ascii="Times New Roman"/>
          <w:sz w:val="24"/>
          <w:szCs w:val="24"/>
          <w:lang w:val="pl-PL"/>
        </w:rPr>
        <w:t>3. M1 marke Fiat Punto 1.2. 60SX, godina proizvodnje 2003., broj šasije ZFA18800000627619, reg.oznake KA 719 FD, odjavljeno 21.4.2015. Za vozilo je evidentirana zabrana otuđenja.</w:t>
      </w:r>
    </w:p>
    <w:p w:rsidRDefault="00484EA8" w:rsidR="00EB1963">
      <w:pPr>
        <w:jc w:val="both"/>
      </w:pPr>
      <w:r>
        <w:rPr>
          <w:rFonts w:hAnsi="Times New Roman" w:ascii="Times New Roman"/>
          <w:sz w:val="24"/>
          <w:szCs w:val="24"/>
          <w:lang w:val="pl-PL"/>
        </w:rPr>
        <w:t>4.    N1, marke Fiat Fiorino 1.4l, godina proizvodnje 1998., broj šasije: ZFA14600008627897, reg.oznake KA 848 DS. Za vozilo je evidentirana zabrana otuđenja.</w:t>
      </w:r>
    </w:p>
    <w:p w:rsidRDefault="00484EA8" w:rsidR="00EB1963">
      <w:pPr>
        <w:jc w:val="both"/>
      </w:pPr>
      <w:r>
        <w:rPr>
          <w:rFonts w:hAnsi="Times New Roman" w:ascii="Times New Roman"/>
          <w:sz w:val="24"/>
          <w:szCs w:val="24"/>
          <w:lang w:val="pl-PL"/>
        </w:rPr>
        <w:t>5. M1, marke Honda FR-V BE 3, godina proizvodnje 2005, broj šasije JHMBE37806S200506, reg.oznake KA 380 FN. Za vozilo je evidentirana zabrana otuđenja</w:t>
      </w:r>
    </w:p>
    <w:p w:rsidRDefault="00484EA8" w:rsidR="00EB1963">
      <w:pPr>
        <w:jc w:val="both"/>
      </w:pPr>
      <w:r>
        <w:rPr>
          <w:rFonts w:hAnsi="Times New Roman" w:ascii="Times New Roman"/>
          <w:sz w:val="24"/>
          <w:szCs w:val="24"/>
          <w:lang w:val="pl-PL"/>
        </w:rPr>
        <w:t>Vozilo pod rednim brojem 2. je predano razlučnom vjerovniku Ministarstvu financija, porezna uprava, prije otvaranja stečajnog postupka, dok je vozilo pod rb.4. stečajna upraviteljica unovčila, a sve kako je navedeno u ovom izvješću.</w:t>
      </w:r>
    </w:p>
    <w:p w:rsidRDefault="00484EA8" w:rsidR="00EB1963">
      <w:pPr>
        <w:jc w:val="both"/>
      </w:pPr>
      <w:r>
        <w:rPr>
          <w:rFonts w:hAnsi="Times New Roman" w:ascii="Times New Roman"/>
          <w:sz w:val="24"/>
          <w:szCs w:val="24"/>
          <w:lang w:val="pl-PL"/>
        </w:rPr>
        <w:t>Ministarstvo financija je razlučno pravo steklo na temelju rješenja o ovrsi Porezne uprave, Područni ured Središnja Hrvatska, Klasa: UP/I-415-02/14-01/1380, Ur.broj: 513-07-25-01/2015-06 od dana 27.01.2015.g., koje je postalo ovršno dana 03.02.2015g.</w:t>
      </w:r>
    </w:p>
    <w:p w:rsidRDefault="00484EA8" w:rsidR="00EB1963">
      <w:pPr>
        <w:jc w:val="both"/>
      </w:pPr>
      <w:r>
        <w:rPr>
          <w:rFonts w:hAnsi="Times New Roman" w:ascii="Times New Roman"/>
          <w:sz w:val="24"/>
          <w:szCs w:val="24"/>
          <w:lang w:val="pl-PL"/>
        </w:rPr>
        <w:t>Vozila pod rednim brojem 1.,3. I 5. su prema navodima bivšeg zakonskog zastupnika još 2013.g. prodana društvu Mirna Victus d.o.o. iz Karlovca, čiji je osnivač Jasmina Stojković i stečajna upraviteljica nije u posjedu tih vozila.</w:t>
      </w:r>
    </w:p>
    <w:p w:rsidRDefault="00484EA8" w:rsidR="00EB1963">
      <w:pPr>
        <w:jc w:val="both"/>
      </w:pPr>
      <w:r>
        <w:rPr>
          <w:rFonts w:hAnsi="Times New Roman" w:ascii="Times New Roman"/>
          <w:sz w:val="24"/>
          <w:szCs w:val="24"/>
          <w:lang w:val="pl-PL"/>
        </w:rPr>
        <w:t>Od imovine stečajnog dužnika ostali su neunovčeni strojevi za poizvodnju kolača i sitni inventar knjigovodstvene vrijednosti  604,421.71 kn. Stečajna upraviteljica ističe da je vrijednost te opreme značajno manja nego što je to navedeno u poslovnim knjigama dužnika.</w:t>
      </w:r>
    </w:p>
    <w:p w:rsidRDefault="00484EA8" w:rsidR="00EB1963">
      <w:pPr>
        <w:jc w:val="both"/>
      </w:pPr>
      <w:r>
        <w:rPr>
          <w:rFonts w:hAnsi="Times New Roman" w:ascii="Times New Roman"/>
          <w:sz w:val="24"/>
          <w:szCs w:val="24"/>
          <w:lang w:val="pl-PL"/>
        </w:rPr>
        <w:t>Na toj imovini je razlučno pravo prijavilo društvo Korana d.d. koje isto izvodi za prava zadržaja sukladno odrebama Zakona o obveznim odnosima.</w:t>
      </w:r>
    </w:p>
    <w:p w:rsidRDefault="00484EA8" w:rsidR="00EB1963">
      <w:pPr>
        <w:jc w:val="both"/>
      </w:pPr>
      <w:r>
        <w:rPr>
          <w:rFonts w:hAnsi="Times New Roman" w:ascii="Times New Roman"/>
          <w:sz w:val="24"/>
          <w:szCs w:val="24"/>
          <w:lang w:val="pl-PL"/>
        </w:rPr>
        <w:t>Izlučnih prava nema.</w:t>
      </w:r>
    </w:p>
    <w:p w:rsidRDefault="00484EA8" w:rsidR="00EB1963">
      <w:pPr>
        <w:jc w:val="both"/>
        <w:rPr>
          <w:rFonts w:hAnsi="Times New Roman" w:ascii="Times New Roman"/>
          <w:sz w:val="24"/>
          <w:szCs w:val="24"/>
          <w:lang w:val="pl-PL"/>
        </w:rPr>
      </w:pPr>
      <w:r>
        <w:rPr>
          <w:rFonts w:hAnsi="Times New Roman" w:ascii="Times New Roman"/>
          <w:sz w:val="24"/>
          <w:szCs w:val="24"/>
          <w:lang w:val="pl-PL"/>
        </w:rPr>
        <w:t>Očekuje se podmirenje obveza stečajne masę i djelomično podmirenje razlučnih vjerovnika.</w:t>
      </w:r>
    </w:p>
    <w:p w:rsidRDefault="00EB1963" w:rsidR="00EB1963">
      <w:pPr>
        <w:jc w:val="both"/>
        <w:rPr>
          <w:rFonts w:hAnsi="Times New Roman" w:ascii="Times New Roman"/>
          <w:sz w:val="24"/>
          <w:szCs w:val="24"/>
          <w:lang w:val="pl-PL"/>
        </w:rPr>
      </w:pPr>
    </w:p>
    <w:p w:rsidRDefault="00484EA8" w:rsidR="00EB1963">
      <w:pPr>
        <w:jc w:val="both"/>
        <w:rPr>
          <w:rFonts w:hAnsi="Times New Roman" w:ascii="Times New Roman"/>
          <w:sz w:val="24"/>
          <w:szCs w:val="24"/>
          <w:lang w:val="pl-PL"/>
        </w:rPr>
      </w:pPr>
      <w:r>
        <w:rPr>
          <w:rFonts w:hAnsi="Times New Roman" w:ascii="Times New Roman"/>
          <w:sz w:val="24"/>
          <w:szCs w:val="24"/>
          <w:lang w:val="pl-PL"/>
        </w:rPr>
        <w:t>III. PRIHODI I RASHODI</w:t>
      </w:r>
    </w:p>
    <w:p w:rsidRDefault="00EB1963" w:rsidR="00EB1963">
      <w:pPr>
        <w:jc w:val="both"/>
        <w:rPr>
          <w:rFonts w:hAnsi="Times New Roman" w:ascii="Times New Roman"/>
          <w:sz w:val="24"/>
          <w:szCs w:val="24"/>
          <w:lang w:val="pl-PL"/>
        </w:rPr>
      </w:pPr>
    </w:p>
    <w:p w:rsidRDefault="00484EA8" w:rsidR="00EB1963">
      <w:pPr>
        <w:jc w:val="both"/>
        <w:rPr>
          <w:rFonts w:hAnsi="Times New Roman" w:ascii="Times New Roman"/>
          <w:sz w:val="24"/>
          <w:szCs w:val="24"/>
          <w:lang w:val="pl-PL"/>
        </w:rPr>
      </w:pPr>
      <w:r>
        <w:rPr>
          <w:rFonts w:hAnsi="Times New Roman" w:ascii="Times New Roman"/>
          <w:sz w:val="24"/>
          <w:szCs w:val="24"/>
          <w:lang w:val="pl-PL"/>
        </w:rPr>
        <w:t>Pregled svih prihoda</w:t>
      </w:r>
    </w:p>
    <w:p w:rsidRDefault="00EB1963" w:rsidR="00EB1963">
      <w:pPr>
        <w:jc w:val="both"/>
        <w:rPr>
          <w:rFonts w:hAnsi="Times New Roman" w:ascii="Times New Roman"/>
          <w:sz w:val="24"/>
          <w:szCs w:val="24"/>
          <w:lang w:val="pl-PL"/>
        </w:rPr>
      </w:pPr>
    </w:p>
    <w:tbl>
      <w:tblPr>
        <w:tblW w:type="dxa" w:w="8260"/>
        <w:tblInd w:type="dxa" w:w="108"/>
        <w:tblBorders>
          <w:top w:space="0" w:sz="8" w:color="00000A" w:val="single"/>
          <w:left w:space="0" w:sz="8" w:color="00000A" w:val="single"/>
          <w:right w:space="0" w:sz="4" w:color="00000A" w:val="single"/>
          <w:insideV w:space="0" w:sz="4" w:color="00000A" w:val="single"/>
        </w:tblBorders>
        <w:tblCellMar>
          <w:left w:type="dxa" w:w="98"/>
        </w:tblCellMar>
        <w:tblLook w:val="04A0" w:noVBand="1" w:noHBand="0" w:lastColumn="0" w:firstColumn="1" w:lastRow="0" w:firstRow="1"/>
      </w:tblPr>
      <w:tblGrid>
        <w:gridCol w:w="1101"/>
        <w:gridCol w:w="5160"/>
        <w:gridCol w:w="1999"/>
      </w:tblGrid>
      <w:tr w:rsidR="00EB1963">
        <w:trPr>
          <w:trHeight w:val="450"/>
        </w:trPr>
        <w:tc>
          <w:tcPr>
            <w:tcW w:type="dxa" w:w="1101"/>
            <w:vMerge w:val="restart"/>
            <w:tcBorders>
              <w:top w:space="0" w:sz="8" w:color="00000A" w:val="single"/>
              <w:left w:space="0" w:sz="8" w:color="00000A" w:val="single"/>
              <w:right w:space="0" w:sz="4" w:color="00000A" w:val="single"/>
            </w:tcBorders>
            <w:shd w:fill="auto" w:color="auto" w:val="clear"/>
            <w:tcMar>
              <w:left w:type="dxa" w:w="98"/>
            </w:tcMar>
            <w:vAlign w:val="bottom"/>
          </w:tcPr>
          <w:p w:rsidRDefault="00484EA8" w:rsidR="00EB1963">
            <w:pPr>
              <w:spacing w:after="0"/>
              <w:jc w:val="center"/>
              <w:rPr>
                <w:rFonts w:hAnsi="Times New Roman" w:ascii="Times New Roman"/>
                <w:sz w:val="24"/>
                <w:szCs w:val="24"/>
              </w:rPr>
            </w:pPr>
            <w:r>
              <w:rPr>
                <w:rFonts w:eastAsia="Times New Roman" w:hAnsi="Times New Roman" w:ascii="Times New Roman"/>
                <w:sz w:val="24"/>
                <w:szCs w:val="24"/>
                <w:lang w:eastAsia="hr-HR"/>
              </w:rPr>
              <w:t>R. B.</w:t>
            </w:r>
          </w:p>
        </w:tc>
        <w:tc>
          <w:tcPr>
            <w:tcW w:type="dxa" w:w="5160"/>
            <w:vMerge w:val="restart"/>
            <w:tcBorders>
              <w:top w:space="0" w:sz="8" w:color="00000A" w:val="single"/>
              <w:left w:space="0" w:sz="4" w:color="00000A" w:val="single"/>
              <w:right w:space="0" w:sz="4" w:color="00000A" w:val="single"/>
            </w:tcBorders>
            <w:shd w:fill="auto" w:color="auto" w:val="clear"/>
            <w:tcMar>
              <w:left w:type="dxa" w:w="103"/>
            </w:tcMar>
            <w:vAlign w:val="center"/>
          </w:tcPr>
          <w:p w:rsidRDefault="00484EA8" w:rsidR="00EB1963">
            <w:pPr>
              <w:spacing w:after="0"/>
              <w:rPr>
                <w:rFonts w:hAnsi="Times New Roman" w:ascii="Times New Roman"/>
                <w:sz w:val="24"/>
                <w:szCs w:val="24"/>
              </w:rPr>
            </w:pPr>
            <w:r>
              <w:rPr>
                <w:rFonts w:eastAsia="Times New Roman" w:hAnsi="Times New Roman" w:ascii="Times New Roman"/>
                <w:sz w:val="24"/>
                <w:szCs w:val="24"/>
                <w:lang w:eastAsia="hr-HR"/>
              </w:rPr>
              <w:t xml:space="preserve">Pojedinačne stavke prihoda u stečajnom postupku </w:t>
            </w:r>
          </w:p>
        </w:tc>
        <w:tc>
          <w:tcPr>
            <w:tcW w:type="dxa" w:w="1999"/>
            <w:vMerge w:val="restart"/>
            <w:tcBorders>
              <w:top w:space="0" w:sz="8" w:color="00000A" w:val="single"/>
              <w:left w:space="0" w:sz="4" w:color="00000A" w:val="single"/>
              <w:right w:space="0" w:sz="8" w:color="00000A" w:val="single"/>
            </w:tcBorders>
            <w:shd w:fill="auto" w:color="auto" w:val="clear"/>
            <w:tcMar>
              <w:left w:type="dxa" w:w="103"/>
            </w:tcMar>
            <w:vAlign w:val="bottom"/>
          </w:tcPr>
          <w:p w:rsidRDefault="00EB1963" w:rsidR="00EB1963">
            <w:pPr>
              <w:spacing w:after="0"/>
              <w:rPr>
                <w:rFonts w:eastAsia="Times New Roman" w:hAnsi="Times New Roman" w:ascii="Times New Roman"/>
                <w:sz w:val="24"/>
                <w:szCs w:val="24"/>
                <w:lang w:eastAsia="hr-HR"/>
              </w:rPr>
            </w:pPr>
          </w:p>
        </w:tc>
      </w:tr>
      <w:tr w:rsidR="00EB1963">
        <w:trPr>
          <w:trHeight w:hRule="exact" w:val="225"/>
        </w:trPr>
        <w:tc>
          <w:tcPr>
            <w:tcW w:type="dxa" w:w="1101"/>
            <w:vMerge/>
            <w:tcBorders>
              <w:top w:space="0" w:sz="8" w:color="00000A" w:val="single"/>
              <w:left w:space="0" w:sz="8" w:color="00000A" w:val="single"/>
              <w:right w:space="0" w:sz="4" w:color="00000A" w:val="single"/>
            </w:tcBorders>
            <w:shd w:fill="auto" w:color="auto" w:val="clear"/>
            <w:tcMar>
              <w:left w:type="dxa" w:w="98"/>
            </w:tcMar>
            <w:vAlign w:val="center"/>
          </w:tcPr>
          <w:p w:rsidRDefault="00EB1963" w:rsidR="00EB1963">
            <w:pPr>
              <w:spacing w:after="0"/>
              <w:rPr>
                <w:rFonts w:eastAsia="Times New Roman" w:hAnsi="Times New Roman" w:ascii="Times New Roman"/>
                <w:sz w:val="24"/>
                <w:szCs w:val="24"/>
                <w:lang w:eastAsia="hr-HR"/>
              </w:rPr>
            </w:pPr>
          </w:p>
        </w:tc>
        <w:tc>
          <w:tcPr>
            <w:tcW w:type="dxa" w:w="5160"/>
            <w:vMerge/>
            <w:tcBorders>
              <w:top w:space="0" w:sz="8" w:color="00000A" w:val="single"/>
              <w:left w:space="0" w:sz="4" w:color="00000A" w:val="single"/>
              <w:right w:space="0" w:sz="4" w:color="00000A" w:val="single"/>
            </w:tcBorders>
            <w:shd w:fill="auto" w:color="auto" w:val="clear"/>
            <w:tcMar>
              <w:left w:type="dxa" w:w="103"/>
            </w:tcMar>
            <w:vAlign w:val="center"/>
          </w:tcPr>
          <w:p w:rsidRDefault="00EB1963" w:rsidR="00EB1963">
            <w:pPr>
              <w:spacing w:after="0"/>
              <w:rPr>
                <w:rFonts w:eastAsia="Times New Roman" w:hAnsi="Times New Roman" w:ascii="Times New Roman"/>
                <w:sz w:val="24"/>
                <w:szCs w:val="24"/>
                <w:lang w:eastAsia="hr-HR"/>
              </w:rPr>
            </w:pPr>
          </w:p>
        </w:tc>
        <w:tc>
          <w:tcPr>
            <w:tcW w:type="dxa" w:w="1999"/>
            <w:vMerge/>
            <w:tcBorders>
              <w:top w:space="0" w:sz="8" w:color="00000A" w:val="single"/>
              <w:left w:space="0" w:sz="4" w:color="00000A" w:val="single"/>
              <w:right w:space="0" w:sz="8" w:color="00000A" w:val="single"/>
            </w:tcBorders>
            <w:shd w:fill="auto" w:color="auto" w:val="clear"/>
            <w:tcMar>
              <w:left w:type="dxa" w:w="103"/>
            </w:tcMar>
            <w:vAlign w:val="center"/>
          </w:tcPr>
          <w:p w:rsidRDefault="00EB1963" w:rsidR="00EB1963">
            <w:pPr>
              <w:spacing w:after="0"/>
              <w:rPr>
                <w:rFonts w:eastAsia="Times New Roman" w:hAnsi="Times New Roman" w:ascii="Times New Roman"/>
                <w:sz w:val="24"/>
                <w:szCs w:val="24"/>
                <w:lang w:eastAsia="hr-HR"/>
              </w:rPr>
            </w:pPr>
          </w:p>
        </w:tc>
      </w:tr>
      <w:tr w:rsidR="00EB1963">
        <w:trPr>
          <w:trHeight w:val="270"/>
        </w:trPr>
        <w:tc>
          <w:tcPr>
            <w:tcW w:type="dxa" w:w="1101"/>
            <w:tcBorders>
              <w:top w:space="0" w:sz="8" w:color="00000A" w:val="single"/>
              <w:left w:space="0" w:sz="8" w:color="00000A" w:val="single"/>
              <w:bottom w:space="0" w:sz="4" w:color="00000A" w:val="single"/>
              <w:right w:space="0" w:sz="4" w:color="00000A" w:val="single"/>
            </w:tcBorders>
            <w:shd w:fill="auto" w:color="auto" w:val="clear"/>
            <w:tcMar>
              <w:left w:type="dxa" w:w="98"/>
            </w:tcMar>
            <w:vAlign w:val="bottom"/>
          </w:tcPr>
          <w:p w:rsidRDefault="00484EA8" w:rsidR="00EB1963">
            <w:pPr>
              <w:spacing w:after="0"/>
              <w:jc w:val="center"/>
              <w:rPr>
                <w:rFonts w:hAnsi="Times New Roman" w:ascii="Times New Roman"/>
                <w:sz w:val="24"/>
                <w:szCs w:val="24"/>
              </w:rPr>
            </w:pPr>
            <w:r>
              <w:rPr>
                <w:rFonts w:eastAsia="Times New Roman" w:hAnsi="Times New Roman" w:ascii="Times New Roman"/>
                <w:sz w:val="24"/>
                <w:szCs w:val="24"/>
                <w:lang w:eastAsia="hr-HR"/>
              </w:rPr>
              <w:t>1</w:t>
            </w:r>
          </w:p>
        </w:tc>
        <w:tc>
          <w:tcPr>
            <w:tcW w:type="dxa" w:w="5160"/>
            <w:tcBorders>
              <w:top w:space="0" w:sz="8" w:color="00000A" w:val="single"/>
              <w:bottom w:space="0" w:sz="4" w:color="00000A" w:val="single"/>
              <w:right w:space="0" w:sz="4" w:color="00000A" w:val="single"/>
            </w:tcBorders>
            <w:shd w:fill="auto" w:color="auto" w:val="clear"/>
            <w:vAlign w:val="bottom"/>
          </w:tcPr>
          <w:p w:rsidRDefault="00484EA8" w:rsidR="00EB1963">
            <w:pPr>
              <w:spacing w:after="0"/>
              <w:rPr>
                <w:rFonts w:hAnsi="Times New Roman" w:ascii="Times New Roman"/>
                <w:sz w:val="24"/>
                <w:szCs w:val="24"/>
              </w:rPr>
            </w:pPr>
            <w:r>
              <w:rPr>
                <w:rFonts w:eastAsia="Times New Roman" w:hAnsi="Times New Roman" w:ascii="Times New Roman"/>
                <w:sz w:val="24"/>
                <w:szCs w:val="24"/>
                <w:lang w:eastAsia="hr-HR"/>
              </w:rPr>
              <w:t>Naplaćena potraživanja od dužnika stečajnog dužnika</w:t>
            </w:r>
          </w:p>
        </w:tc>
        <w:tc>
          <w:tcPr>
            <w:tcW w:type="dxa" w:w="1999"/>
            <w:tcBorders>
              <w:top w:space="0" w:sz="8" w:color="00000A" w:val="single"/>
              <w:bottom w:space="0" w:sz="4" w:color="00000A" w:val="single"/>
              <w:right w:space="0" w:sz="8" w:color="00000A" w:val="single"/>
            </w:tcBorders>
            <w:shd w:fill="auto" w:color="auto" w:val="clear"/>
            <w:vAlign w:val="bottom"/>
          </w:tcPr>
          <w:p w:rsidRDefault="00484EA8" w:rsidR="00EB1963">
            <w:pPr>
              <w:spacing w:after="0"/>
              <w:jc w:val="right"/>
              <w:rPr>
                <w:rFonts w:hAnsi="Times New Roman" w:ascii="Times New Roman"/>
                <w:sz w:val="24"/>
                <w:szCs w:val="24"/>
              </w:rPr>
            </w:pPr>
            <w:r>
              <w:rPr>
                <w:rFonts w:eastAsia="Times New Roman" w:hAnsi="Times New Roman" w:ascii="Times New Roman"/>
                <w:sz w:val="24"/>
                <w:szCs w:val="24"/>
                <w:lang w:eastAsia="hr-HR"/>
              </w:rPr>
              <w:t>4,458.37  kn</w:t>
            </w:r>
          </w:p>
        </w:tc>
      </w:tr>
      <w:tr w:rsidR="00EB1963">
        <w:trPr>
          <w:trHeight w:val="616"/>
        </w:trPr>
        <w:tc>
          <w:tcPr>
            <w:tcW w:type="dxa" w:w="1101"/>
            <w:tcBorders>
              <w:left w:space="0" w:sz="8" w:color="00000A" w:val="single"/>
              <w:bottom w:space="0" w:sz="4" w:color="00000A" w:val="single"/>
              <w:right w:space="0" w:sz="4" w:color="00000A" w:val="single"/>
            </w:tcBorders>
            <w:shd w:fill="auto" w:color="auto" w:val="clear"/>
            <w:tcMar>
              <w:left w:type="dxa" w:w="98"/>
            </w:tcMar>
            <w:vAlign w:val="bottom"/>
          </w:tcPr>
          <w:p w:rsidRDefault="00484EA8" w:rsidR="00EB1963">
            <w:pPr>
              <w:spacing w:after="0"/>
              <w:jc w:val="center"/>
              <w:rPr>
                <w:rFonts w:hAnsi="Times New Roman" w:ascii="Times New Roman"/>
                <w:sz w:val="24"/>
                <w:szCs w:val="24"/>
              </w:rPr>
            </w:pPr>
            <w:r>
              <w:rPr>
                <w:rFonts w:hAnsi="Times New Roman" w:ascii="Times New Roman"/>
                <w:sz w:val="24"/>
                <w:szCs w:val="24"/>
              </w:rPr>
              <w:t>2</w:t>
            </w:r>
          </w:p>
        </w:tc>
        <w:tc>
          <w:tcPr>
            <w:tcW w:type="dxa" w:w="5160"/>
            <w:tcBorders>
              <w:bottom w:space="0" w:sz="4" w:color="00000A" w:val="single"/>
              <w:right w:space="0" w:sz="4" w:color="00000A" w:val="single"/>
            </w:tcBorders>
            <w:shd w:fill="auto" w:color="auto" w:val="clear"/>
            <w:vAlign w:val="bottom"/>
          </w:tcPr>
          <w:p w:rsidRDefault="00484EA8" w:rsidR="00EB1963">
            <w:pPr>
              <w:spacing w:after="0"/>
              <w:rPr>
                <w:rFonts w:hAnsi="Times New Roman" w:ascii="Times New Roman"/>
                <w:sz w:val="24"/>
                <w:szCs w:val="24"/>
              </w:rPr>
            </w:pPr>
            <w:r>
              <w:rPr>
                <w:rFonts w:hAnsi="Times New Roman" w:ascii="Times New Roman"/>
                <w:sz w:val="24"/>
                <w:szCs w:val="24"/>
              </w:rPr>
              <w:t>Prihod od unovčenja vozila</w:t>
            </w:r>
          </w:p>
        </w:tc>
        <w:tc>
          <w:tcPr>
            <w:tcW w:type="dxa" w:w="1999"/>
            <w:tcBorders>
              <w:bottom w:space="0" w:sz="4" w:color="00000A" w:val="single"/>
              <w:right w:space="0" w:sz="8" w:color="00000A" w:val="single"/>
            </w:tcBorders>
            <w:shd w:fill="auto" w:color="auto" w:val="clear"/>
            <w:vAlign w:val="bottom"/>
          </w:tcPr>
          <w:p w:rsidRDefault="00484EA8" w:rsidR="00EB1963">
            <w:pPr>
              <w:spacing w:after="0"/>
              <w:jc w:val="right"/>
              <w:rPr>
                <w:rFonts w:hAnsi="Times New Roman" w:ascii="Times New Roman"/>
                <w:sz w:val="24"/>
                <w:szCs w:val="24"/>
              </w:rPr>
            </w:pPr>
            <w:r>
              <w:rPr>
                <w:rFonts w:hAnsi="Times New Roman" w:ascii="Times New Roman"/>
                <w:sz w:val="24"/>
                <w:szCs w:val="24"/>
              </w:rPr>
              <w:t>625,00 kn</w:t>
            </w:r>
          </w:p>
        </w:tc>
      </w:tr>
      <w:tr w:rsidR="00EB1963">
        <w:trPr>
          <w:trHeight w:val="370"/>
        </w:trPr>
        <w:tc>
          <w:tcPr>
            <w:tcW w:type="dxa" w:w="6261"/>
            <w:gridSpan w:val="2"/>
            <w:tcBorders>
              <w:left w:space="0" w:sz="8" w:color="00000A" w:val="single"/>
              <w:bottom w:space="0" w:sz="8" w:color="00000A" w:val="single"/>
            </w:tcBorders>
            <w:shd w:fill="auto" w:color="auto" w:val="clear"/>
            <w:tcMar>
              <w:left w:type="dxa" w:w="98"/>
            </w:tcMar>
            <w:vAlign w:val="bottom"/>
          </w:tcPr>
          <w:p w:rsidRDefault="00484EA8" w:rsidR="00EB1963">
            <w:pPr>
              <w:spacing w:after="0"/>
              <w:rPr>
                <w:rFonts w:hAnsi="Times New Roman" w:ascii="Times New Roman"/>
                <w:sz w:val="24"/>
                <w:szCs w:val="24"/>
              </w:rPr>
            </w:pPr>
            <w:r>
              <w:rPr>
                <w:rFonts w:eastAsia="Times New Roman" w:hAnsi="Times New Roman" w:ascii="Times New Roman"/>
                <w:sz w:val="24"/>
                <w:szCs w:val="24"/>
                <w:lang w:eastAsia="hr-HR"/>
              </w:rPr>
              <w:t>Ukupno:</w:t>
            </w:r>
          </w:p>
        </w:tc>
        <w:tc>
          <w:tcPr>
            <w:tcW w:type="dxa" w:w="1999"/>
            <w:tcBorders>
              <w:left w:space="0" w:sz="4" w:color="00000A" w:val="single"/>
              <w:bottom w:space="0" w:sz="8" w:color="00000A" w:val="single"/>
              <w:right w:space="0" w:sz="8" w:color="00000A" w:val="single"/>
            </w:tcBorders>
            <w:shd w:fill="auto" w:color="auto" w:val="clear"/>
            <w:tcMar>
              <w:left w:type="dxa" w:w="103"/>
            </w:tcMar>
            <w:vAlign w:val="bottom"/>
          </w:tcPr>
          <w:p w:rsidRDefault="00484EA8" w:rsidR="00EB1963">
            <w:pPr>
              <w:spacing w:after="0"/>
              <w:jc w:val="right"/>
              <w:rPr>
                <w:rFonts w:hAnsi="Times New Roman" w:ascii="Times New Roman"/>
                <w:sz w:val="24"/>
                <w:szCs w:val="24"/>
              </w:rPr>
            </w:pPr>
            <w:r>
              <w:rPr>
                <w:rFonts w:eastAsia="Times New Roman" w:hAnsi="Times New Roman" w:ascii="Times New Roman"/>
                <w:sz w:val="24"/>
                <w:szCs w:val="24"/>
                <w:lang w:eastAsia="hr-HR"/>
              </w:rPr>
              <w:t>5,083.37 kn</w:t>
            </w:r>
          </w:p>
        </w:tc>
      </w:tr>
    </w:tbl>
    <w:p w:rsidRDefault="00EB1963" w:rsidR="00EB1963">
      <w:pPr>
        <w:jc w:val="both"/>
        <w:rPr>
          <w:rFonts w:hAnsi="Times New Roman" w:ascii="Times New Roman"/>
          <w:sz w:val="24"/>
          <w:szCs w:val="24"/>
          <w:lang w:val="pl-PL"/>
        </w:rPr>
      </w:pPr>
    </w:p>
    <w:p w:rsidRDefault="00EB1963" w:rsidR="00EB1963">
      <w:pPr>
        <w:jc w:val="both"/>
        <w:rPr>
          <w:rFonts w:hAnsi="Times New Roman" w:ascii="Times New Roman"/>
          <w:sz w:val="24"/>
          <w:szCs w:val="24"/>
          <w:lang w:val="pl-PL"/>
        </w:rPr>
      </w:pPr>
    </w:p>
    <w:p w:rsidRDefault="00484EA8" w:rsidR="00EB1963">
      <w:r>
        <w:rPr>
          <w:rFonts w:hAnsi="Times New Roman" w:ascii="Times New Roman"/>
          <w:sz w:val="24"/>
          <w:szCs w:val="24"/>
          <w:lang w:val="pl-PL"/>
        </w:rPr>
        <w:t>Pregled plaćenih rashoda</w:t>
      </w:r>
    </w:p>
    <w:p w:rsidRDefault="00EB1963" w:rsidR="00EB1963">
      <w:pPr>
        <w:rPr>
          <w:rFonts w:hAnsi="Times New Roman" w:ascii="Times New Roman"/>
          <w:sz w:val="24"/>
          <w:szCs w:val="24"/>
          <w:lang w:val="pl-PL"/>
        </w:rPr>
      </w:pPr>
    </w:p>
    <w:tbl>
      <w:tblPr>
        <w:tblW w:type="dxa" w:w="8245"/>
        <w:tblInd w:type="dxa" w:w="108"/>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103"/>
        </w:tblCellMar>
        <w:tblLook w:val="04A0" w:noVBand="1" w:noHBand="0" w:lastColumn="0" w:firstColumn="1" w:lastRow="0" w:firstRow="1"/>
      </w:tblPr>
      <w:tblGrid>
        <w:gridCol w:w="1260"/>
        <w:gridCol w:w="5000"/>
        <w:gridCol w:w="1985"/>
      </w:tblGrid>
      <w:tr w:rsidR="00EB1963">
        <w:trPr>
          <w:trHeight w:val="375"/>
        </w:trPr>
        <w:tc>
          <w:tcPr>
            <w:tcW w:type="dxa" w:w="1260"/>
            <w:tcBorders>
              <w:top w:space="0" w:sz="4" w:color="00000A" w:val="single"/>
              <w:left w:space="0" w:sz="4" w:color="00000A" w:val="single"/>
              <w:bottom w:space="0" w:sz="4" w:color="00000A" w:val="single"/>
              <w:right w:space="0" w:sz="4" w:color="00000A" w:val="single"/>
            </w:tcBorders>
            <w:shd w:fill="auto" w:color="auto" w:val="clear"/>
            <w:tcMar>
              <w:left w:type="dxa" w:w="103"/>
            </w:tcMar>
            <w:vAlign w:val="bottom"/>
          </w:tcPr>
          <w:p w:rsidRDefault="00484EA8" w:rsidR="00EB1963">
            <w:pPr>
              <w:spacing w:after="0"/>
              <w:jc w:val="center"/>
            </w:pPr>
            <w:r>
              <w:rPr>
                <w:rFonts w:eastAsia="Times New Roman" w:hAnsi="Times New Roman" w:ascii="Times New Roman"/>
                <w:sz w:val="24"/>
                <w:szCs w:val="24"/>
                <w:lang w:eastAsia="hr-HR"/>
              </w:rPr>
              <w:t>1</w:t>
            </w:r>
          </w:p>
        </w:tc>
        <w:tc>
          <w:tcPr>
            <w:tcW w:type="dxa" w:w="5000"/>
            <w:tcBorders>
              <w:top w:space="0" w:sz="4" w:color="00000A" w:val="single"/>
              <w:bottom w:space="0" w:sz="4" w:color="00000A" w:val="single"/>
              <w:right w:space="0" w:sz="4" w:color="00000A" w:val="single"/>
            </w:tcBorders>
            <w:shd w:fill="auto" w:color="auto" w:val="clear"/>
            <w:vAlign w:val="bottom"/>
          </w:tcPr>
          <w:p w:rsidRDefault="00484EA8" w:rsidR="00EB1963">
            <w:pPr>
              <w:spacing w:after="0"/>
            </w:pPr>
            <w:r>
              <w:rPr>
                <w:rFonts w:eastAsia="Times New Roman" w:hAnsi="Times New Roman" w:ascii="Times New Roman"/>
                <w:sz w:val="24"/>
                <w:szCs w:val="24"/>
                <w:lang w:eastAsia="hr-HR"/>
              </w:rPr>
              <w:t xml:space="preserve">Troškovi vođenja računa  </w:t>
            </w:r>
          </w:p>
        </w:tc>
        <w:tc>
          <w:tcPr>
            <w:tcW w:type="dxa" w:w="1985"/>
            <w:tcBorders>
              <w:top w:space="0" w:sz="4" w:color="00000A" w:val="single"/>
              <w:bottom w:space="0" w:sz="4" w:color="00000A" w:val="single"/>
              <w:right w:space="0" w:sz="4" w:color="00000A" w:val="single"/>
            </w:tcBorders>
            <w:shd w:fill="auto" w:color="auto" w:val="clear"/>
            <w:vAlign w:val="bottom"/>
          </w:tcPr>
          <w:p w:rsidRDefault="00484EA8" w:rsidR="00EB1963">
            <w:pPr>
              <w:spacing w:after="0"/>
              <w:jc w:val="right"/>
            </w:pPr>
            <w:r>
              <w:rPr>
                <w:rFonts w:eastAsia="Times New Roman" w:hAnsi="Times New Roman" w:ascii="Times New Roman"/>
                <w:sz w:val="24"/>
                <w:szCs w:val="24"/>
                <w:lang w:eastAsia="hr-HR"/>
              </w:rPr>
              <w:t>275.88 kn</w:t>
            </w:r>
          </w:p>
        </w:tc>
      </w:tr>
      <w:tr w:rsidR="00EB1963">
        <w:trPr>
          <w:trHeight w:val="255"/>
        </w:trPr>
        <w:tc>
          <w:tcPr>
            <w:tcW w:type="dxa" w:w="1260"/>
            <w:tcBorders>
              <w:top w:space="0" w:sz="4" w:color="00000A" w:val="single"/>
              <w:left w:space="0" w:sz="4" w:color="00000A" w:val="single"/>
              <w:bottom w:space="0" w:sz="4" w:color="00000A" w:val="single"/>
              <w:right w:space="0" w:sz="4" w:color="00000A" w:val="single"/>
            </w:tcBorders>
            <w:shd w:fill="auto" w:color="auto" w:val="clear"/>
            <w:tcMar>
              <w:left w:type="dxa" w:w="103"/>
            </w:tcMar>
            <w:vAlign w:val="bottom"/>
          </w:tcPr>
          <w:p w:rsidRDefault="00484EA8" w:rsidR="00EB1963">
            <w:pPr>
              <w:spacing w:after="0"/>
              <w:jc w:val="center"/>
            </w:pPr>
            <w:r>
              <w:rPr>
                <w:rFonts w:eastAsia="Times New Roman" w:hAnsi="Times New Roman" w:ascii="Times New Roman"/>
                <w:sz w:val="24"/>
                <w:szCs w:val="24"/>
                <w:lang w:eastAsia="hr-HR"/>
              </w:rPr>
              <w:t>2</w:t>
            </w:r>
          </w:p>
        </w:tc>
        <w:tc>
          <w:tcPr>
            <w:tcW w:type="dxa" w:w="5000"/>
            <w:tcBorders>
              <w:top w:space="0" w:sz="4" w:color="00000A" w:val="single"/>
              <w:bottom w:space="0" w:sz="4" w:color="00000A" w:val="single"/>
              <w:right w:space="0" w:sz="4" w:color="00000A" w:val="single"/>
            </w:tcBorders>
            <w:shd w:fill="auto" w:color="auto" w:val="clear"/>
            <w:vAlign w:val="bottom"/>
          </w:tcPr>
          <w:p w:rsidRDefault="00484EA8" w:rsidR="00EB1963">
            <w:pPr>
              <w:spacing w:after="0"/>
            </w:pPr>
            <w:r>
              <w:rPr>
                <w:rFonts w:eastAsia="Times New Roman" w:hAnsi="Times New Roman" w:ascii="Times New Roman"/>
                <w:sz w:val="24"/>
                <w:szCs w:val="24"/>
                <w:lang w:eastAsia="hr-HR"/>
              </w:rPr>
              <w:t>Troškovi prisilne naplate (fina), te naplaćena potraživanja prisilnim putem u korist Državnog proračuna i HRT.</w:t>
            </w:r>
          </w:p>
        </w:tc>
        <w:tc>
          <w:tcPr>
            <w:tcW w:type="dxa" w:w="1985"/>
            <w:tcBorders>
              <w:top w:space="0" w:sz="4" w:color="00000A" w:val="single"/>
              <w:bottom w:space="0" w:sz="4" w:color="00000A" w:val="single"/>
              <w:right w:space="0" w:sz="4" w:color="00000A" w:val="single"/>
            </w:tcBorders>
            <w:shd w:fill="auto" w:color="auto" w:val="clear"/>
            <w:vAlign w:val="bottom"/>
          </w:tcPr>
          <w:p w:rsidRDefault="00484EA8" w:rsidR="00EB1963">
            <w:pPr>
              <w:spacing w:after="0"/>
              <w:jc w:val="right"/>
            </w:pPr>
            <w:r>
              <w:rPr>
                <w:rFonts w:eastAsia="Times New Roman" w:hAnsi="Times New Roman" w:ascii="Times New Roman"/>
                <w:sz w:val="24"/>
                <w:szCs w:val="24"/>
                <w:lang w:eastAsia="hr-HR"/>
              </w:rPr>
              <w:t>4,807.49kn</w:t>
            </w:r>
          </w:p>
        </w:tc>
      </w:tr>
      <w:tr w:rsidR="00EB1963">
        <w:trPr>
          <w:trHeight w:val="540"/>
        </w:trPr>
        <w:tc>
          <w:tcPr>
            <w:tcW w:type="dxa" w:w="1260"/>
            <w:tcBorders>
              <w:left w:space="0" w:sz="8" w:color="00000A" w:val="single"/>
              <w:bottom w:space="0" w:sz="8" w:color="00000A" w:val="single"/>
            </w:tcBorders>
            <w:shd w:fill="auto" w:color="auto" w:val="clear"/>
            <w:tcMar>
              <w:left w:type="dxa" w:w="98"/>
            </w:tcMar>
            <w:vAlign w:val="bottom"/>
          </w:tcPr>
          <w:p w:rsidRDefault="00484EA8" w:rsidR="00EB1963">
            <w:pPr>
              <w:spacing w:after="0"/>
            </w:pPr>
            <w:r>
              <w:rPr>
                <w:rFonts w:eastAsia="Times New Roman" w:hAnsi="Times New Roman" w:ascii="Times New Roman"/>
                <w:sz w:val="24"/>
                <w:szCs w:val="24"/>
                <w:lang w:eastAsia="hr-HR"/>
              </w:rPr>
              <w:t>Ukupno:</w:t>
            </w:r>
          </w:p>
        </w:tc>
        <w:tc>
          <w:tcPr>
            <w:tcW w:type="dxa" w:w="5000"/>
            <w:tcBorders>
              <w:bottom w:space="0" w:sz="8" w:color="00000A" w:val="single"/>
            </w:tcBorders>
            <w:shd w:fill="auto" w:color="auto" w:val="clear"/>
            <w:vAlign w:val="bottom"/>
          </w:tcPr>
          <w:p w:rsidRDefault="00484EA8" w:rsidR="00EB1963">
            <w:pPr>
              <w:spacing w:after="0"/>
            </w:pPr>
            <w:r>
              <w:rPr>
                <w:rFonts w:eastAsia="Times New Roman" w:hAnsi="Times New Roman" w:ascii="Times New Roman"/>
                <w:sz w:val="24"/>
                <w:szCs w:val="24"/>
                <w:lang w:eastAsia="hr-HR"/>
              </w:rPr>
              <w:t> </w:t>
            </w:r>
          </w:p>
        </w:tc>
        <w:tc>
          <w:tcPr>
            <w:tcW w:type="dxa" w:w="1985"/>
            <w:tcBorders>
              <w:left w:space="0" w:sz="4" w:color="00000A" w:val="single"/>
              <w:bottom w:space="0" w:sz="8" w:color="00000A" w:val="single"/>
              <w:right w:space="0" w:sz="8" w:color="00000A" w:val="single"/>
            </w:tcBorders>
            <w:shd w:fill="auto" w:color="auto" w:val="clear"/>
            <w:tcMar>
              <w:left w:type="dxa" w:w="103"/>
            </w:tcMar>
            <w:vAlign w:val="bottom"/>
          </w:tcPr>
          <w:p w:rsidRDefault="00484EA8" w:rsidR="00EB1963">
            <w:pPr>
              <w:spacing w:after="0"/>
              <w:jc w:val="right"/>
            </w:pPr>
            <w:r>
              <w:rPr>
                <w:rFonts w:eastAsia="Times New Roman" w:hAnsi="Times New Roman" w:ascii="Times New Roman"/>
                <w:sz w:val="24"/>
                <w:szCs w:val="24"/>
                <w:lang w:eastAsia="hr-HR"/>
              </w:rPr>
              <w:t>5.083.37kn</w:t>
            </w:r>
          </w:p>
        </w:tc>
      </w:tr>
    </w:tbl>
    <w:p w:rsidRDefault="00EB1963" w:rsidR="00EB1963">
      <w:pPr>
        <w:rPr>
          <w:rFonts w:hAnsi="Times New Roman" w:ascii="Times New Roman"/>
          <w:sz w:val="24"/>
          <w:szCs w:val="24"/>
          <w:lang w:val="pl-PL"/>
        </w:rPr>
      </w:pPr>
    </w:p>
    <w:p w:rsidRDefault="00EB1963" w:rsidR="00EB1963">
      <w:pPr>
        <w:rPr>
          <w:rFonts w:hAnsi="Times New Roman" w:ascii="Times New Roman"/>
          <w:sz w:val="24"/>
          <w:szCs w:val="24"/>
          <w:lang w:val="pl-PL"/>
        </w:rPr>
      </w:pPr>
    </w:p>
    <w:p w:rsidRDefault="00484EA8" w:rsidR="00EB1963">
      <w:r>
        <w:rPr>
          <w:rFonts w:hAnsi="Times New Roman" w:ascii="Times New Roman"/>
          <w:sz w:val="24"/>
          <w:szCs w:val="24"/>
          <w:lang w:val="pl-PL"/>
        </w:rPr>
        <w:t>IV. RADNJE KOJE ĆE SE PODUZETI U NAREDNOM RAZDOBLJU</w:t>
      </w:r>
    </w:p>
    <w:p w:rsidRDefault="00484EA8" w:rsidR="00EB1963">
      <w:pPr>
        <w:jc w:val="both"/>
      </w:pPr>
      <w:r>
        <w:rPr>
          <w:rFonts w:hAnsi="Times New Roman" w:ascii="Times New Roman"/>
          <w:sz w:val="24"/>
          <w:szCs w:val="24"/>
          <w:lang w:val="pl-PL"/>
        </w:rPr>
        <w:t>Naznačiti radnje koje će se poduzeti u naredom razdoblju od 08.08.2018. do 08.11.2018.g.</w:t>
      </w:r>
    </w:p>
    <w:p w:rsidRDefault="00EB1963" w:rsidR="00EB1963">
      <w:pPr>
        <w:jc w:val="both"/>
        <w:rPr>
          <w:rFonts w:hAnsi="Times New Roman" w:ascii="Times New Roman"/>
          <w:sz w:val="24"/>
          <w:szCs w:val="24"/>
          <w:lang w:val="pl-PL"/>
        </w:rPr>
      </w:pPr>
    </w:p>
    <w:p w:rsidRDefault="00484EA8" w:rsidR="00EB1963">
      <w:pPr>
        <w:jc w:val="both"/>
      </w:pPr>
      <w:r>
        <w:rPr>
          <w:rFonts w:hAnsi="Times New Roman" w:ascii="Times New Roman"/>
          <w:sz w:val="24"/>
          <w:szCs w:val="24"/>
          <w:lang w:val="pl-PL"/>
        </w:rPr>
        <w:t>Poduzet će se potrebne radnje radi unovčenja preostale imovine stečajnog dužnika.</w:t>
      </w:r>
    </w:p>
    <w:p w:rsidRDefault="00EB1963" w:rsidR="00EB1963">
      <w:pPr>
        <w:ind w:left="360"/>
        <w:rPr>
          <w:rFonts w:hAnsi="Times New Roman" w:ascii="Times New Roman"/>
          <w:sz w:val="24"/>
          <w:szCs w:val="24"/>
          <w:lang w:val="pl-PL"/>
        </w:rPr>
      </w:pPr>
    </w:p>
    <w:p w:rsidRDefault="00484EA8" w:rsidR="00EB1963">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484EA8" w:rsidR="00EB1963">
      <w:r>
        <w:rPr>
          <w:rFonts w:hAnsi="Times New Roman" w:ascii="Times New Roman"/>
          <w:sz w:val="24"/>
          <w:szCs w:val="24"/>
          <w:lang w:val="pl-PL"/>
        </w:rPr>
        <w:t>Zagreb, 08.08.2018.g.</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w:t>
      </w:r>
    </w:p>
    <w:p w:rsidRDefault="00EB1963" w:rsidR="00EB1963">
      <w:pPr>
        <w:ind w:left="360"/>
        <w:rPr>
          <w:rFonts w:hAnsi="Times New Roman" w:ascii="Times New Roman"/>
          <w:sz w:val="24"/>
          <w:szCs w:val="24"/>
          <w:lang w:val="pl-PL"/>
        </w:rPr>
      </w:pPr>
    </w:p>
    <w:p w:rsidRDefault="00EB1963" w:rsidR="00EB1963"/>
    <w:sectPr w:rsidR="00EB1963">
      <w:pgSz w:h="16838" w:w="11906"/>
      <w:pgMar w:gutter="0" w:footer="0" w:header="0" w:left="1417" w:bottom="1417" w:right="1417" w:top="1417"/>
      <w:cols w:space="720"/>
      <w:formProt w:val="false"/>
      <w:docGrid w:charSpace="-2049"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imes New Roman">
    <w:panose1 w:val="02020603050405020304"/>
    <w:charset w:val="EE"/>
    <w:family w:val="roman"/>
    <w:pitch w:val="variable"/>
    <w:sig w:csb1="00000000" w:csb0="000001FF" w:usb3="00000000" w:usb2="00000009" w:usb1="C0007841" w:usb0="E0002AFF"/>
  </w:font>
  <w:font w:name="Liberation Sans">
    <w:altName w:val="Arial"/>
    <w:charset w:val="EE"/>
    <w:family w:val="roman"/>
    <w:pitch w:val="variable"/>
  </w:font>
  <w:font w:name="Microsoft YaHei">
    <w:panose1 w:val="020B0503020204020204"/>
    <w:charset w:val="86"/>
    <w:family w:val="swiss"/>
    <w:pitch w:val="variable"/>
    <w:sig w:csb1="00000000" w:csb0="0004001F" w:usb3="00000000" w:usb2="00000016" w:usb1="280F3C52" w:usb0="8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963"/>
    <w:rsid w:val="00484EA8"/>
    <w:rsid w:val="00EB1963"/>
    <w:rsid w:val="00F6273F"/>
  </w:rsids>
  <m:mathPr>
    <m:mathFont m:val="Cambria Math"/>
    <m:brkBin m:val="before"/>
    <m:brkBinSub m:val="--"/>
    <m:smallFrac m:val="0"/>
    <m:dispDef/>
    <m:lMargin m:val="0"/>
    <m:rMargin m:val="0"/>
    <m:defJc m:val="centerGroup"/>
    <m:wrapIndent m:val="1440"/>
    <m:intLim m:val="subSup"/>
    <m:naryLim m:val="undOvr"/>
  </m:mathPr>
  <w:themeFontLang w:bidi=""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Cs w:val="22"/>
        <w:lang w:bidi="ar-SA" w:eastAsia="zh-CN"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cs="Times New Roman" w:eastAsia="Calibri"/>
      <w:color w:val="00000A"/>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qFormat/>
    <w:rPr>
      <w:rFonts w:cs="Times New Roman" w:hAnsi="Times New Roman" w:ascii="Times New Roman"/>
      <w:sz w:val="24"/>
    </w:rPr>
  </w:style>
  <w:style w:customStyle="true" w:styleId="ListLabel2" w:type="character">
    <w:name w:val="ListLabel 2"/>
    <w:qFormat/>
    <w:rPr>
      <w:rFonts w:cs="Times New Roman"/>
    </w:rPr>
  </w:style>
  <w:style w:customStyle="true" w:styleId="ListLabel3" w:type="character">
    <w:name w:val="ListLabel 3"/>
    <w:qFormat/>
    <w:rPr>
      <w:rFonts w:cs="Times New Roman"/>
    </w:rPr>
  </w:style>
  <w:style w:customStyle="true" w:styleId="ListLabel4" w:type="character">
    <w:name w:val="ListLabel 4"/>
    <w:qFormat/>
    <w:rPr>
      <w:rFonts w:cs="Times New Roman"/>
    </w:rPr>
  </w:style>
  <w:style w:customStyle="true" w:styleId="ListLabel5" w:type="character">
    <w:name w:val="ListLabel 5"/>
    <w:qFormat/>
    <w:rPr>
      <w:rFonts w:cs="Times New Roman"/>
    </w:rPr>
  </w:style>
  <w:style w:customStyle="true" w:styleId="ListLabel6" w:type="character">
    <w:name w:val="ListLabel 6"/>
    <w:qFormat/>
    <w:rPr>
      <w:rFonts w:cs="Times New Roman"/>
    </w:rPr>
  </w:style>
  <w:style w:customStyle="true" w:styleId="ListLabel7" w:type="character">
    <w:name w:val="ListLabel 7"/>
    <w:qFormat/>
    <w:rPr>
      <w:rFonts w:cs="Times New Roman"/>
    </w:rPr>
  </w:style>
  <w:style w:customStyle="true" w:styleId="ListLabel8" w:type="character">
    <w:name w:val="ListLabel 8"/>
    <w:qFormat/>
    <w:rPr>
      <w:rFonts w:cs="Times New Roman"/>
    </w:rPr>
  </w:style>
  <w:style w:customStyle="true" w:styleId="ListLabel9" w:type="character">
    <w:name w:val="ListLabel 9"/>
    <w:qFormat/>
    <w:rPr>
      <w:rFonts w:cs="Times New Roman"/>
    </w:rPr>
  </w:style>
  <w:style w:customStyle="true" w:styleId="Heading" w:type="paragraph">
    <w:name w:val="Heading"/>
    <w:basedOn w:val="Normal"/>
    <w:next w:val="Tijeloteksta"/>
    <w:qFormat/>
    <w:pPr>
      <w:keepNext/>
      <w:spacing w:after="120" w:before="240"/>
    </w:pPr>
    <w:rPr>
      <w:rFonts w:cs="Arial"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true" w:styleId="Index" w:type="paragraph">
    <w:name w:val="Index"/>
    <w:basedOn w:val="Normal"/>
    <w:qFormat/>
    <w:pPr>
      <w:suppressLineNumbers/>
    </w:pPr>
    <w:rPr>
      <w:rFonts w:cs="Arial"/>
    </w:rPr>
  </w:style>
  <w:style w:customStyle="true" w:styleId="TableContents" w:type="paragraph">
    <w:name w:val="Table Contents"/>
    <w:basedOn w:val="Normal"/>
    <w:qFormat/>
  </w:style>
  <w:style w:customStyle="true" w:styleId="TableHeading" w:type="paragraph">
    <w:name w:val="Table Heading"/>
    <w:basedOn w:val="TableContents"/>
    <w:qFormat/>
  </w:style>
  <w:style w:styleId="Tekstrezerviranogmjesta" w:type="character">
    <w:name w:val="Placeholder Text"/>
    <w:basedOn w:val="Zadanifontodlomka"/>
    <w:uiPriority w:val="99"/>
    <w:semiHidden/>
    <w:rsid w:val="00F6273F"/>
    <w:rPr>
      <w:color w:val="808080"/>
      <w:bdr w:space="0" w:sz="0" w:color="auto" w:val="none"/>
      <w:shd w:fill="auto" w:color="auto" w:val="clear"/>
    </w:rPr>
  </w:style>
  <w:style w:customStyle="true" w:styleId="eSPISCCParagraphDefaultFont" w:type="character">
    <w:name w:val="eSPIS_CC_Paragraph Default Font"/>
    <w:basedOn w:val="Zadanifontodlomka"/>
    <w:rsid w:val="00F627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273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6273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6273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Cs w:val="22"/>
        <w:lang w:bidi="ar-SA" w:eastAsia="zh-CN"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cs="Times New Roman" w:eastAsia="Calibri"/>
      <w:color w:val="00000A"/>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qFormat/>
    <w:rPr>
      <w:rFonts w:ascii="Times New Roman" w:cs="Times New Roman" w:hAnsi="Times New Roman"/>
      <w:sz w:val="24"/>
    </w:rPr>
  </w:style>
  <w:style w:customStyle="1" w:styleId="ListLabel2" w:type="character">
    <w:name w:val="ListLabel 2"/>
    <w:qFormat/>
    <w:rPr>
      <w:rFonts w:cs="Times New Roman"/>
    </w:rPr>
  </w:style>
  <w:style w:customStyle="1" w:styleId="ListLabel3" w:type="character">
    <w:name w:val="ListLabel 3"/>
    <w:qFormat/>
    <w:rPr>
      <w:rFonts w:cs="Times New Roman"/>
    </w:rPr>
  </w:style>
  <w:style w:customStyle="1" w:styleId="ListLabel4" w:type="character">
    <w:name w:val="ListLabel 4"/>
    <w:qFormat/>
    <w:rPr>
      <w:rFonts w:cs="Times New Roman"/>
    </w:rPr>
  </w:style>
  <w:style w:customStyle="1" w:styleId="ListLabel5" w:type="character">
    <w:name w:val="ListLabel 5"/>
    <w:qFormat/>
    <w:rPr>
      <w:rFonts w:cs="Times New Roman"/>
    </w:rPr>
  </w:style>
  <w:style w:customStyle="1" w:styleId="ListLabel6" w:type="character">
    <w:name w:val="ListLabel 6"/>
    <w:qFormat/>
    <w:rPr>
      <w:rFonts w:cs="Times New Roman"/>
    </w:rPr>
  </w:style>
  <w:style w:customStyle="1" w:styleId="ListLabel7" w:type="character">
    <w:name w:val="ListLabel 7"/>
    <w:qFormat/>
    <w:rPr>
      <w:rFonts w:cs="Times New Roman"/>
    </w:rPr>
  </w:style>
  <w:style w:customStyle="1" w:styleId="ListLabel8" w:type="character">
    <w:name w:val="ListLabel 8"/>
    <w:qFormat/>
    <w:rPr>
      <w:rFonts w:cs="Times New Roman"/>
    </w:rPr>
  </w:style>
  <w:style w:customStyle="1" w:styleId="ListLabel9" w:type="character">
    <w:name w:val="ListLabel 9"/>
    <w:qFormat/>
    <w:rPr>
      <w:rFonts w:cs="Times New Roman"/>
    </w:rPr>
  </w:style>
  <w:style w:customStyle="1" w:styleId="Heading" w:type="paragraph">
    <w:name w:val="Heading"/>
    <w:basedOn w:val="Normal"/>
    <w:next w:val="Tijeloteksta"/>
    <w:qFormat/>
    <w:pPr>
      <w:keepNext/>
      <w:spacing w:after="120" w:before="240"/>
    </w:pPr>
    <w:rPr>
      <w:rFonts w:ascii="Liberation Sans" w:cs="Arial"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1" w:styleId="Index" w:type="paragraph">
    <w:name w:val="Index"/>
    <w:basedOn w:val="Normal"/>
    <w:qFormat/>
    <w:pPr>
      <w:suppressLineNumbers/>
    </w:pPr>
    <w:rPr>
      <w:rFonts w:cs="Arial"/>
    </w:rPr>
  </w:style>
  <w:style w:customStyle="1" w:styleId="TableContents" w:type="paragraph">
    <w:name w:val="Table Contents"/>
    <w:basedOn w:val="Normal"/>
    <w:qFormat/>
  </w:style>
  <w:style w:customStyle="1" w:styleId="TableHeading" w:type="paragraph">
    <w:name w:val="Table Heading"/>
    <w:basedOn w:val="TableContents"/>
    <w:qFormat/>
  </w:style>
  <w:style w:styleId="Tekstrezerviranogmjesta" w:type="character">
    <w:name w:val="Placeholder Text"/>
    <w:basedOn w:val="Zadanifontodlomka"/>
    <w:uiPriority w:val="99"/>
    <w:semiHidden/>
    <w:rsid w:val="00F6273F"/>
    <w:rPr>
      <w:color w:val="808080"/>
      <w:bdr w:color="auto" w:space="0" w:sz="0" w:val="none"/>
      <w:shd w:color="auto" w:fill="auto" w:val="clear"/>
    </w:rPr>
  </w:style>
  <w:style w:customStyle="1" w:styleId="eSPISCCParagraphDefaultFont" w:type="character">
    <w:name w:val="eSPIS_CC_Paragraph Default Font"/>
    <w:basedOn w:val="Zadanifontodlomka"/>
    <w:rsid w:val="00F627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273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6273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6273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832</properties:Words>
  <properties:Characters>5043</properties:Characters>
  <properties:Lines>120</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2018-09-03T07:36:00Z</dcterms:created>
  <dc:creator>ADMINIBM</dc:creator>
  <dc:language>en-GB</dc:language>
  <cp:lastModifiedBy>Ivana Stampf</cp:lastModifiedBy>
  <cp:lastPrinted>2018-08-07T14:47:00Z</cp:lastPrinted>
  <dcterms:modified xmlns:xsi="http://www.w3.org/2001/XMLSchema-instance" xsi:type="dcterms:W3CDTF">2018-09-03T07:37:00Z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St-399/2015-44 / Podnesak - Izvješće stečajnog upravitelja (Absum- Izvješće stečajnoga upravitelja o tijeku stečajnoga postupka i o stanju stečajne mase.docx)</vt:lpwstr>
  </prop:property>
  <prop:property name="CC_coloring" pid="11" fmtid="{D5CDD505-2E9C-101B-9397-08002B2CF9AE}">
    <vt:bool>false</vt:bool>
  </prop:property>
  <prop:property name="BrojStranica" pid="12" fmtid="{D5CDD505-2E9C-101B-9397-08002B2CF9AE}">
    <vt:i4>3</vt:i4>
  </prop:property>
</prop:Properties>
</file>