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9591" w14:paraId="d649591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9509D5">
        <w:t>59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509D5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D32DA8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7/1000, etažno vlasništvo E-27, </w:t>
      </w:r>
      <w:r w:rsidRPr="006D3068">
        <w:t>Stan, S 1B 3.5. na  3. Katu koji se sastoji od dnevnog boravka, blagovaone, ulaz, kuhinje, sobe, garderobe, kupaonice, ukupne netto korisne površine 49,57 m2, s pripatkom: balkonom netto korisne površine 3,66 m2 u elaboratu etažiranja- diobe označen  crvenom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9509D5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9509D5">
        <w:rPr>
          <w:b/>
          <w:u w:val="single"/>
        </w:rPr>
        <w:t>5</w:t>
      </w:r>
      <w:r w:rsidR="00D32DA8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509D5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622507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622507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22507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509D5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2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St-5/2018-157</izvorni_sadrzaj>
    <derivirana_varijabla naziv="DomainObject.PredzadnjaOdlukaIzPredmeta.Oznaka_1">St-5/2018-157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216</properties:Words>
  <properties:Characters>1040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2019-01-02T13:56:00Z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(1st-5-18-164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