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1fd7c" w14:paraId="901fd7c" w:rsidRDefault="00AE649C" w:rsidP="00FA5B5E" w:rsidR="00AE649C" w:rsidRPr="00B76F3C">
      <w:pPr>
        <w:pStyle w:val="Naslov3"/>
        <w15:collapsed w:val="false"/>
      </w:pPr>
      <w:bookmarkStart w:name="_GoBack" w:id="0"/>
      <w:bookmarkEnd w:id="0"/>
    </w:p>
    <w:p w:rsidRDefault="0087504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75045" w:rsidP="00875045" w:rsidR="00875045" w:rsidRPr="00875045">
      <w:pPr>
        <w:spacing w:after="0"/>
        <w:jc w:val="right"/>
        <w:rPr>
          <w:rFonts w:cs="Times New Roman" w:eastAsia="Times New Roman"/>
          <w:b/>
          <w:lang w:eastAsia="hr-HR"/>
        </w:rPr>
      </w:pPr>
    </w:p>
    <w:p w:rsidRDefault="00875045" w:rsidP="00875045" w:rsidR="00875045" w:rsidRPr="00875045">
      <w:pPr>
        <w:spacing w:after="0"/>
        <w:jc w:val="right"/>
        <w:rPr>
          <w:rFonts w:cs="Times New Roman" w:eastAsia="Times New Roman"/>
          <w:lang w:eastAsia="hr-HR"/>
        </w:rPr>
      </w:pPr>
      <w:r w:rsidRPr="00875045">
        <w:rPr>
          <w:rFonts w:cs="Times New Roman" w:eastAsia="Times New Roman"/>
          <w:lang w:eastAsia="hr-HR"/>
        </w:rPr>
        <w:t xml:space="preserve">  Poslovni broj 1 St-543/16-15</w:t>
      </w:r>
    </w:p>
    <w:p w:rsidRDefault="00875045" w:rsidP="00875045" w:rsidR="00875045" w:rsidRPr="00875045">
      <w:pPr>
        <w:spacing w:after="0"/>
        <w:rPr>
          <w:rFonts w:cs="Times New Roman" w:eastAsia="Times New Roman"/>
          <w:lang w:eastAsia="hr-HR"/>
        </w:rPr>
      </w:pPr>
    </w:p>
    <w:p w:rsidRDefault="00875045" w:rsidP="00875045" w:rsidR="00875045" w:rsidRPr="00875045">
      <w:pPr>
        <w:spacing w:after="0"/>
        <w:rPr>
          <w:rFonts w:cs="Times New Roman" w:eastAsia="Times New Roman"/>
          <w:lang w:eastAsia="hr-HR"/>
        </w:rPr>
      </w:pPr>
      <w:r w:rsidRPr="00875045">
        <w:rPr>
          <w:rFonts w:cs="Times New Roman" w:eastAsia="Times New Roman"/>
          <w:lang w:eastAsia="hr-HR"/>
        </w:rPr>
        <w:t>REPUBLIKA HRVATSKA</w:t>
      </w:r>
    </w:p>
    <w:p w:rsidRDefault="00875045" w:rsidP="00875045" w:rsidR="00875045" w:rsidRPr="00875045">
      <w:pPr>
        <w:spacing w:after="0"/>
        <w:rPr>
          <w:rFonts w:cs="Times New Roman" w:eastAsia="Times New Roman"/>
          <w:lang w:eastAsia="hr-HR"/>
        </w:rPr>
      </w:pPr>
      <w:r w:rsidRPr="00875045">
        <w:rPr>
          <w:rFonts w:cs="Times New Roman" w:eastAsia="Times New Roman"/>
          <w:lang w:eastAsia="hr-HR"/>
        </w:rPr>
        <w:t xml:space="preserve">TRGOVAČKI </w:t>
      </w:r>
      <w:smartTag w:element="PersonName" w:uri="urn:schemas-microsoft-com:office:smarttags">
        <w:smartTagPr>
          <w:attr w:val="SUD U" w:name="ProductID"/>
        </w:smartTagPr>
        <w:r w:rsidRPr="00875045">
          <w:rPr>
            <w:rFonts w:cs="Times New Roman" w:eastAsia="Times New Roman"/>
            <w:lang w:eastAsia="hr-HR"/>
          </w:rPr>
          <w:t>SUD U</w:t>
        </w:r>
      </w:smartTag>
      <w:r w:rsidRPr="00875045">
        <w:rPr>
          <w:rFonts w:cs="Times New Roman" w:eastAsia="Times New Roman"/>
          <w:lang w:eastAsia="hr-HR"/>
        </w:rPr>
        <w:t xml:space="preserve"> ZADRU</w:t>
      </w:r>
    </w:p>
    <w:p w:rsidRDefault="00875045" w:rsidP="00875045" w:rsidR="00875045" w:rsidRPr="00875045">
      <w:pPr>
        <w:spacing w:after="0"/>
        <w:rPr>
          <w:rFonts w:cs="Times New Roman" w:eastAsia="Times New Roman"/>
          <w:lang w:eastAsia="hr-HR"/>
        </w:rPr>
      </w:pPr>
      <w:r w:rsidRPr="00875045">
        <w:rPr>
          <w:rFonts w:cs="Times New Roman" w:eastAsia="Times New Roman"/>
          <w:lang w:eastAsia="hr-HR"/>
        </w:rPr>
        <w:t>Dr. Franje Tuđmana 35</w:t>
      </w:r>
      <w:r w:rsidRPr="00875045">
        <w:rPr>
          <w:rFonts w:cs="Times New Roman" w:eastAsia="Times New Roman"/>
          <w:lang w:eastAsia="hr-HR"/>
        </w:rPr>
        <w:tab/>
      </w:r>
      <w:r w:rsidRPr="00875045">
        <w:rPr>
          <w:rFonts w:cs="Times New Roman" w:eastAsia="Times New Roman"/>
          <w:lang w:eastAsia="hr-HR"/>
        </w:rPr>
        <w:tab/>
      </w:r>
      <w:r w:rsidRPr="00875045">
        <w:rPr>
          <w:rFonts w:cs="Times New Roman" w:eastAsia="Times New Roman"/>
          <w:lang w:eastAsia="hr-HR"/>
        </w:rPr>
        <w:tab/>
        <w:t xml:space="preserve">          </w:t>
      </w:r>
    </w:p>
    <w:p w:rsidRDefault="00875045" w:rsidP="00875045" w:rsidR="00875045" w:rsidRPr="00875045">
      <w:pPr>
        <w:spacing w:after="0"/>
        <w:jc w:val="center"/>
        <w:rPr>
          <w:rFonts w:cs="Times New Roman" w:eastAsia="Times New Roman"/>
          <w:lang w:eastAsia="hr-HR"/>
        </w:rPr>
      </w:pPr>
    </w:p>
    <w:p w:rsidRDefault="00875045" w:rsidP="00875045" w:rsidR="00875045" w:rsidRPr="00875045">
      <w:pPr>
        <w:spacing w:after="0"/>
        <w:jc w:val="center"/>
        <w:rPr>
          <w:rFonts w:cs="Times New Roman" w:eastAsia="Times New Roman"/>
          <w:lang w:eastAsia="hr-HR"/>
        </w:rPr>
      </w:pPr>
    </w:p>
    <w:p w:rsidRDefault="00875045" w:rsidP="00875045" w:rsidR="00875045" w:rsidRPr="00875045">
      <w:pPr>
        <w:spacing w:after="0"/>
        <w:jc w:val="center"/>
        <w:rPr>
          <w:rFonts w:cs="Times New Roman" w:eastAsia="Times New Roman"/>
          <w:lang w:eastAsia="hr-HR"/>
        </w:rPr>
      </w:pPr>
      <w:r w:rsidRPr="00875045">
        <w:rPr>
          <w:rFonts w:cs="Times New Roman" w:eastAsia="Times New Roman"/>
          <w:lang w:eastAsia="hr-HR"/>
        </w:rPr>
        <w:t>R E P U B L I KA   H R V A T S K A</w:t>
      </w:r>
    </w:p>
    <w:p w:rsidRDefault="00875045" w:rsidP="00875045" w:rsidR="00875045" w:rsidRPr="00875045">
      <w:pPr>
        <w:spacing w:after="0"/>
        <w:jc w:val="center"/>
        <w:rPr>
          <w:rFonts w:cs="Times New Roman" w:eastAsia="Times New Roman"/>
          <w:lang w:eastAsia="hr-HR"/>
        </w:rPr>
      </w:pPr>
    </w:p>
    <w:p w:rsidRDefault="00875045" w:rsidP="00875045" w:rsidR="00875045" w:rsidRPr="00875045">
      <w:pPr>
        <w:spacing w:after="0"/>
        <w:jc w:val="center"/>
        <w:rPr>
          <w:rFonts w:cs="Times New Roman" w:eastAsia="Times New Roman"/>
          <w:lang w:eastAsia="hr-HR"/>
        </w:rPr>
      </w:pPr>
      <w:r w:rsidRPr="00875045">
        <w:rPr>
          <w:rFonts w:cs="Times New Roman" w:eastAsia="Times New Roman"/>
          <w:lang w:eastAsia="hr-HR"/>
        </w:rPr>
        <w:t>R J E Š E N J E</w:t>
      </w:r>
    </w:p>
    <w:p w:rsidRDefault="00875045" w:rsidP="00875045" w:rsidR="00875045" w:rsidRPr="00875045">
      <w:pPr>
        <w:spacing w:after="0"/>
        <w:rPr>
          <w:rFonts w:cs="Times New Roman" w:eastAsia="Times New Roman"/>
          <w:lang w:eastAsia="hr-HR"/>
        </w:rPr>
      </w:pPr>
    </w:p>
    <w:p w:rsidRDefault="00875045" w:rsidP="00875045" w:rsidR="00875045" w:rsidRPr="00875045">
      <w:pPr>
        <w:spacing w:after="0"/>
        <w:ind w:firstLine="708"/>
        <w:jc w:val="both"/>
        <w:rPr>
          <w:rFonts w:cs="Times New Roman" w:eastAsia="Times New Roman"/>
          <w:lang w:eastAsia="hr-HR"/>
        </w:rPr>
      </w:pPr>
      <w:r w:rsidRPr="00875045">
        <w:rPr>
          <w:rFonts w:cs="Times New Roman" w:eastAsia="Times New Roman"/>
          <w:lang w:eastAsia="hr-HR"/>
        </w:rPr>
        <w:t xml:space="preserve">Trgovački sud u Zadru (OIB:39670464653), po sutkinji ovog suda Ardeni </w:t>
      </w:r>
      <w:proofErr w:type="spellStart"/>
      <w:r w:rsidRPr="00875045">
        <w:rPr>
          <w:rFonts w:cs="Times New Roman" w:eastAsia="Times New Roman"/>
          <w:lang w:eastAsia="hr-HR"/>
        </w:rPr>
        <w:t>Bajlo</w:t>
      </w:r>
      <w:proofErr w:type="spellEnd"/>
      <w:r w:rsidRPr="00875045">
        <w:rPr>
          <w:rFonts w:cs="Times New Roman" w:eastAsia="Times New Roman"/>
          <w:lang w:eastAsia="hr-HR"/>
        </w:rPr>
        <w:t xml:space="preserve">, povodom prijedloga za otvaranje stečajnog postupka na imovini stečajnog dužnika MIKRON MONTAŽA d.o.o., Zadar, </w:t>
      </w:r>
      <w:proofErr w:type="spellStart"/>
      <w:r w:rsidRPr="00875045">
        <w:rPr>
          <w:rFonts w:cs="Times New Roman" w:eastAsia="Times New Roman"/>
          <w:lang w:eastAsia="hr-HR"/>
        </w:rPr>
        <w:t>Gaženička</w:t>
      </w:r>
      <w:proofErr w:type="spellEnd"/>
      <w:r w:rsidRPr="00875045">
        <w:rPr>
          <w:rFonts w:cs="Times New Roman" w:eastAsia="Times New Roman"/>
          <w:lang w:eastAsia="hr-HR"/>
        </w:rPr>
        <w:t xml:space="preserve"> cesta 23, Zadar, OIB: 90971353163, dana 17. kolovoza 2016.,</w:t>
      </w:r>
    </w:p>
    <w:p w:rsidRDefault="00875045" w:rsidP="00875045" w:rsidR="00875045" w:rsidRPr="00875045">
      <w:pPr>
        <w:spacing w:after="0"/>
        <w:rPr>
          <w:rFonts w:cs="Times New Roman" w:eastAsia="Times New Roman"/>
          <w:b/>
          <w:lang w:eastAsia="hr-HR"/>
        </w:rPr>
      </w:pPr>
    </w:p>
    <w:p w:rsidRDefault="00875045" w:rsidP="00875045" w:rsidR="00875045" w:rsidRPr="00875045">
      <w:pPr>
        <w:spacing w:after="0"/>
        <w:jc w:val="center"/>
        <w:rPr>
          <w:rFonts w:cs="Times New Roman" w:eastAsia="Times New Roman"/>
          <w:lang w:eastAsia="hr-HR"/>
        </w:rPr>
      </w:pPr>
      <w:r w:rsidRPr="00875045">
        <w:rPr>
          <w:rFonts w:cs="Times New Roman" w:eastAsia="Times New Roman"/>
          <w:lang w:eastAsia="hr-HR"/>
        </w:rPr>
        <w:t>r i j e š i o  j e</w:t>
      </w:r>
    </w:p>
    <w:p w:rsidRDefault="00875045" w:rsidP="00875045" w:rsidR="00875045" w:rsidRPr="00875045">
      <w:pPr>
        <w:spacing w:after="0"/>
        <w:rPr>
          <w:rFonts w:cs="Times New Roman" w:eastAsia="Times New Roman"/>
          <w:b/>
          <w:lang w:eastAsia="hr-HR"/>
        </w:rPr>
      </w:pPr>
    </w:p>
    <w:p w:rsidRDefault="00875045" w:rsidP="00875045" w:rsidR="00875045" w:rsidRPr="00875045">
      <w:pPr>
        <w:spacing w:after="0"/>
        <w:ind w:firstLine="708"/>
        <w:jc w:val="both"/>
        <w:rPr>
          <w:rFonts w:cs="Times New Roman" w:eastAsia="Times New Roman"/>
          <w:b/>
          <w:lang w:eastAsia="hr-HR"/>
        </w:rPr>
      </w:pPr>
      <w:r w:rsidRPr="00875045">
        <w:rPr>
          <w:rFonts w:cs="Times New Roman" w:eastAsia="Times New Roman"/>
          <w:lang w:eastAsia="hr-HR"/>
        </w:rPr>
        <w:t>I.</w:t>
      </w:r>
      <w:r w:rsidRPr="00875045">
        <w:rPr>
          <w:rFonts w:cs="Times New Roman" w:eastAsia="Times New Roman"/>
          <w:b/>
          <w:lang w:eastAsia="hr-HR"/>
        </w:rPr>
        <w:t xml:space="preserve"> </w:t>
      </w:r>
      <w:r w:rsidRPr="00875045">
        <w:rPr>
          <w:rFonts w:cs="Times New Roman" w:eastAsia="Times New Roman"/>
          <w:lang w:eastAsia="hr-HR"/>
        </w:rPr>
        <w:t>O t v a r a   s e   stečajni postupak nad dužnikom</w:t>
      </w:r>
      <w:r w:rsidRPr="00875045">
        <w:rPr>
          <w:rFonts w:cs="Times New Roman" w:eastAsia="Times New Roman"/>
          <w:b/>
          <w:lang w:eastAsia="hr-HR"/>
        </w:rPr>
        <w:t xml:space="preserve"> </w:t>
      </w:r>
      <w:r w:rsidRPr="00875045">
        <w:rPr>
          <w:rFonts w:cs="Times New Roman" w:eastAsia="Times New Roman"/>
          <w:lang w:eastAsia="hr-HR"/>
        </w:rPr>
        <w:t xml:space="preserve">MIKRON MONTAŽA d.o.o., Zadar, </w:t>
      </w:r>
      <w:proofErr w:type="spellStart"/>
      <w:r w:rsidRPr="00875045">
        <w:rPr>
          <w:rFonts w:cs="Times New Roman" w:eastAsia="Times New Roman"/>
          <w:lang w:eastAsia="hr-HR"/>
        </w:rPr>
        <w:t>Gaženička</w:t>
      </w:r>
      <w:proofErr w:type="spellEnd"/>
      <w:r w:rsidRPr="00875045">
        <w:rPr>
          <w:rFonts w:cs="Times New Roman" w:eastAsia="Times New Roman"/>
          <w:lang w:eastAsia="hr-HR"/>
        </w:rPr>
        <w:t xml:space="preserve"> cesta 23, Zadar, OIB: 90971353163.</w:t>
      </w:r>
      <w:r w:rsidRPr="00875045">
        <w:rPr>
          <w:rFonts w:cs="Times New Roman" w:eastAsia="Times New Roman"/>
          <w:b/>
          <w:lang w:eastAsia="hr-HR"/>
        </w:rPr>
        <w:t xml:space="preserve"> </w:t>
      </w:r>
    </w:p>
    <w:p w:rsidRDefault="00875045" w:rsidP="00875045" w:rsidR="00875045" w:rsidRPr="00875045">
      <w:pPr>
        <w:spacing w:after="0"/>
        <w:ind w:hanging="192" w:left="900"/>
        <w:jc w:val="both"/>
        <w:rPr>
          <w:rFonts w:cs="Times New Roman" w:eastAsia="Times New Roman"/>
          <w:b/>
          <w:lang w:eastAsia="hr-HR"/>
        </w:rPr>
      </w:pPr>
    </w:p>
    <w:p w:rsidRDefault="00875045" w:rsidP="00875045" w:rsidR="00875045" w:rsidRPr="00875045">
      <w:pPr>
        <w:spacing w:after="0"/>
        <w:ind w:firstLine="708"/>
        <w:jc w:val="both"/>
        <w:rPr>
          <w:rFonts w:cs="Times New Roman" w:eastAsia="Times New Roman"/>
          <w:lang w:eastAsia="hr-HR"/>
        </w:rPr>
      </w:pPr>
      <w:r w:rsidRPr="00875045">
        <w:rPr>
          <w:rFonts w:cs="Times New Roman" w:eastAsia="Times New Roman"/>
          <w:lang w:eastAsia="hr-HR"/>
        </w:rPr>
        <w:t>II. Stečajnim upraviteljem imenuje se</w:t>
      </w:r>
      <w:r w:rsidRPr="00875045">
        <w:rPr>
          <w:rFonts w:cs="Arial" w:eastAsia="Times New Roman" w:hAnsi="Arial" w:ascii="Arial"/>
          <w:b/>
          <w:lang w:eastAsia="hr-HR"/>
        </w:rPr>
        <w:t xml:space="preserve"> </w:t>
      </w:r>
      <w:proofErr w:type="spellStart"/>
      <w:r w:rsidRPr="00875045">
        <w:rPr>
          <w:rFonts w:cs="Times New Roman" w:eastAsia="Times New Roman"/>
          <w:lang w:eastAsia="hr-HR"/>
        </w:rPr>
        <w:t>Alein</w:t>
      </w:r>
      <w:proofErr w:type="spellEnd"/>
      <w:r w:rsidRPr="00875045">
        <w:rPr>
          <w:rFonts w:cs="Times New Roman" w:eastAsia="Times New Roman"/>
          <w:lang w:eastAsia="hr-HR"/>
        </w:rPr>
        <w:t xml:space="preserve"> </w:t>
      </w:r>
      <w:proofErr w:type="spellStart"/>
      <w:r w:rsidRPr="00875045">
        <w:rPr>
          <w:rFonts w:cs="Times New Roman" w:eastAsia="Times New Roman"/>
          <w:lang w:eastAsia="hr-HR"/>
        </w:rPr>
        <w:t>Khan</w:t>
      </w:r>
      <w:proofErr w:type="spellEnd"/>
      <w:r w:rsidRPr="00875045">
        <w:rPr>
          <w:rFonts w:cs="Times New Roman" w:eastAsia="Times New Roman"/>
          <w:lang w:eastAsia="hr-HR"/>
        </w:rPr>
        <w:t>, Rijeka, Trg Svete Barbare 1, OIB: 25613472359.</w:t>
      </w:r>
    </w:p>
    <w:p w:rsidRDefault="00875045" w:rsidP="00875045" w:rsidR="00875045" w:rsidRPr="00875045">
      <w:pPr>
        <w:spacing w:after="0"/>
        <w:ind w:firstLine="708"/>
        <w:jc w:val="both"/>
        <w:rPr>
          <w:rFonts w:cs="Times New Roman" w:eastAsia="Times New Roman"/>
          <w:b/>
          <w:lang w:eastAsia="hr-HR"/>
        </w:rPr>
      </w:pPr>
    </w:p>
    <w:p w:rsidRDefault="00875045" w:rsidP="00875045" w:rsidR="00875045" w:rsidRPr="00875045">
      <w:pPr>
        <w:spacing w:after="0"/>
        <w:ind w:firstLine="708"/>
        <w:jc w:val="both"/>
        <w:rPr>
          <w:rFonts w:cs="Times New Roman" w:eastAsia="Times New Roman"/>
          <w:lang w:eastAsia="hr-HR"/>
        </w:rPr>
      </w:pPr>
      <w:r w:rsidRPr="00875045">
        <w:rPr>
          <w:rFonts w:cs="Times New Roman" w:eastAsia="Times New Roman"/>
          <w:lang w:eastAsia="hr-HR"/>
        </w:rPr>
        <w:t xml:space="preserve">III.  Stečajni postupak nad stečajnim dužnikom MIKRON MONTAŽA d.o.o., Zadar, </w:t>
      </w:r>
      <w:proofErr w:type="spellStart"/>
      <w:r w:rsidRPr="00875045">
        <w:rPr>
          <w:rFonts w:cs="Times New Roman" w:eastAsia="Times New Roman"/>
          <w:lang w:eastAsia="hr-HR"/>
        </w:rPr>
        <w:t>Gaženička</w:t>
      </w:r>
      <w:proofErr w:type="spellEnd"/>
      <w:r w:rsidRPr="00875045">
        <w:rPr>
          <w:rFonts w:cs="Times New Roman" w:eastAsia="Times New Roman"/>
          <w:lang w:eastAsia="hr-HR"/>
        </w:rPr>
        <w:t xml:space="preserve"> cesta 23, Zadar, OIB: 90971353163 otvara se 17. kolovoza 2016. u 14,00 sati i istog trenutka rješenje o otvaranju stečajnog postupka objavit će se na e-oglasnoj ploči suda. </w:t>
      </w:r>
    </w:p>
    <w:p w:rsidRDefault="00875045" w:rsidP="00875045" w:rsidR="00875045" w:rsidRPr="00875045">
      <w:pPr>
        <w:spacing w:after="0"/>
        <w:jc w:val="both"/>
        <w:rPr>
          <w:rFonts w:cs="Times New Roman" w:eastAsia="Times New Roman"/>
          <w:b/>
          <w:lang w:eastAsia="hr-HR"/>
        </w:rPr>
      </w:pPr>
    </w:p>
    <w:p w:rsidRDefault="00875045" w:rsidP="00875045" w:rsidR="00875045" w:rsidRPr="00875045">
      <w:pPr>
        <w:spacing w:after="0"/>
        <w:ind w:firstLine="708"/>
        <w:jc w:val="both"/>
        <w:rPr>
          <w:rFonts w:cs="Times New Roman" w:eastAsia="Times New Roman"/>
          <w:b/>
          <w:lang w:eastAsia="hr-HR"/>
        </w:rPr>
      </w:pPr>
      <w:r w:rsidRPr="00875045">
        <w:rPr>
          <w:rFonts w:cs="Times New Roman" w:eastAsia="Times New Roman"/>
          <w:lang w:eastAsia="hr-HR"/>
        </w:rPr>
        <w:t>IV. Pozivaju se vjerovnici stečajnog dužnika da u roku od 60 dana od dana objave ovog rješenja, skladno odredbi čl. 257. Stečajnog zakona prijave svoje tražbine stečajnom upravitelju. Prijavi je potrebno priložiti i potvrdu o uplaćenoj pristojbi koja iznosi 2% od vrijednosti tražbine, ali ne više od 500,00 kn, a uplaćuje se na žiro-račun državnog proračuna IBAN HR12 1001005-1863000160, pozivom na broj: 64 5045-23405-543-16.</w:t>
      </w:r>
    </w:p>
    <w:p w:rsidRDefault="00875045" w:rsidP="00875045" w:rsidR="00875045" w:rsidRPr="00875045">
      <w:pPr>
        <w:spacing w:after="0"/>
        <w:jc w:val="both"/>
        <w:rPr>
          <w:rFonts w:cs="Times New Roman" w:eastAsia="Times New Roman"/>
          <w:lang w:eastAsia="hr-HR"/>
        </w:rPr>
      </w:pPr>
    </w:p>
    <w:p w:rsidRDefault="00875045" w:rsidP="00875045" w:rsidR="00875045" w:rsidRPr="00875045">
      <w:pPr>
        <w:spacing w:after="0"/>
        <w:ind w:firstLine="708"/>
        <w:jc w:val="both"/>
        <w:rPr>
          <w:rFonts w:cs="Times New Roman" w:eastAsia="Times New Roman"/>
          <w:b/>
          <w:lang w:eastAsia="hr-HR"/>
        </w:rPr>
      </w:pPr>
      <w:r w:rsidRPr="00875045">
        <w:rPr>
          <w:rFonts w:cs="Times New Roman" w:eastAsia="Times New Roman"/>
          <w:lang w:eastAsia="hr-HR"/>
        </w:rPr>
        <w:t xml:space="preserve">V. Pozivaju se </w:t>
      </w:r>
      <w:proofErr w:type="spellStart"/>
      <w:r w:rsidRPr="00875045">
        <w:rPr>
          <w:rFonts w:cs="Times New Roman" w:eastAsia="Times New Roman"/>
          <w:lang w:eastAsia="hr-HR"/>
        </w:rPr>
        <w:t>razlučni</w:t>
      </w:r>
      <w:proofErr w:type="spellEnd"/>
      <w:r w:rsidRPr="00875045">
        <w:rPr>
          <w:rFonts w:cs="Times New Roman" w:eastAsia="Times New Roman"/>
          <w:lang w:eastAsia="hr-HR"/>
        </w:rPr>
        <w:t xml:space="preserve"> i izlučni vjerovnici da u roku od 60 dana nakon objave ovog rješenja podneskom obavijeste stečajnog upravitelja o svojim pravima, sukladno odredbi čl. 258. Stečajnog zakona. Prijavi je potrebno priložiti i potvrdu o uplaćenoj pristojbi koja iznosi 2% od vrijednosti potraživanja, ali ne više od 500,00 kn, a uplaćuje se na žiro-račun državnog proračuna IBAN HR12 1001005-1863000160, pozivom na broj: 64 5045-23405-543-16.</w:t>
      </w:r>
      <w:r w:rsidRPr="00875045">
        <w:rPr>
          <w:rFonts w:cs="Times New Roman" w:eastAsia="Times New Roman"/>
          <w:b/>
          <w:lang w:eastAsia="hr-HR"/>
        </w:rPr>
        <w:t xml:space="preserve"> </w:t>
      </w:r>
    </w:p>
    <w:p w:rsidRDefault="00875045" w:rsidP="00875045" w:rsidR="00875045" w:rsidRPr="00875045">
      <w:pPr>
        <w:tabs>
          <w:tab w:pos="7350" w:val="left"/>
        </w:tabs>
        <w:spacing w:after="0"/>
        <w:jc w:val="both"/>
        <w:rPr>
          <w:rFonts w:cs="Times New Roman" w:eastAsia="Times New Roman"/>
          <w:lang w:eastAsia="hr-HR"/>
        </w:rPr>
      </w:pPr>
      <w:r w:rsidRPr="00875045">
        <w:rPr>
          <w:rFonts w:cs="Times New Roman" w:eastAsia="Times New Roman"/>
          <w:lang w:eastAsia="hr-HR"/>
        </w:rPr>
        <w:tab/>
      </w:r>
    </w:p>
    <w:p w:rsidRDefault="00875045" w:rsidP="00875045" w:rsidR="00875045" w:rsidRPr="00875045">
      <w:pPr>
        <w:spacing w:after="0"/>
        <w:jc w:val="both"/>
        <w:rPr>
          <w:rFonts w:cs="Times New Roman" w:eastAsia="Times New Roman"/>
          <w:lang w:eastAsia="hr-HR"/>
        </w:rPr>
      </w:pPr>
      <w:r w:rsidRPr="00875045">
        <w:rPr>
          <w:rFonts w:cs="Times New Roman" w:eastAsia="Times New Roman"/>
          <w:lang w:eastAsia="hr-HR"/>
        </w:rPr>
        <w:tab/>
        <w:t xml:space="preserve">VI. Pozivaju se dužnici stečajnog dužnika da svoje obveze bez odgode ispunjavaju stečajnom upravitelju za stečajnog dužnika. </w:t>
      </w:r>
    </w:p>
    <w:p w:rsidRDefault="00875045" w:rsidP="00875045" w:rsidR="00875045" w:rsidRPr="00875045">
      <w:pPr>
        <w:spacing w:after="0"/>
        <w:jc w:val="both"/>
        <w:rPr>
          <w:rFonts w:cs="Times New Roman" w:eastAsia="Times New Roman"/>
          <w:lang w:eastAsia="hr-HR"/>
        </w:rPr>
      </w:pPr>
    </w:p>
    <w:p w:rsidRDefault="00875045" w:rsidP="00875045" w:rsidR="00875045" w:rsidRPr="00875045">
      <w:pPr>
        <w:spacing w:after="0"/>
        <w:jc w:val="both"/>
        <w:rPr>
          <w:rFonts w:cs="Times New Roman" w:eastAsia="Times New Roman"/>
          <w:lang w:eastAsia="hr-HR"/>
        </w:rPr>
      </w:pPr>
      <w:r w:rsidRPr="00875045">
        <w:rPr>
          <w:rFonts w:cs="Times New Roman" w:eastAsia="Times New Roman"/>
          <w:lang w:eastAsia="hr-HR"/>
        </w:rPr>
        <w:lastRenderedPageBreak/>
        <w:tab/>
        <w:t>VII. Pozivaju se vjerovnici stečajnog dužnika na</w:t>
      </w:r>
    </w:p>
    <w:p w:rsidRDefault="00875045" w:rsidP="00875045" w:rsidR="00875045" w:rsidRPr="00875045">
      <w:pPr>
        <w:spacing w:after="0"/>
        <w:jc w:val="both"/>
        <w:rPr>
          <w:rFonts w:cs="Times New Roman" w:eastAsia="Times New Roman"/>
          <w:lang w:eastAsia="hr-HR"/>
        </w:rPr>
      </w:pPr>
    </w:p>
    <w:p w:rsidRDefault="00875045" w:rsidP="00875045" w:rsidR="00875045" w:rsidRPr="00875045">
      <w:pPr>
        <w:numPr>
          <w:ilvl w:val="0"/>
          <w:numId w:val="47"/>
        </w:numPr>
        <w:spacing w:after="0"/>
        <w:ind w:firstLine="0" w:left="0"/>
        <w:jc w:val="both"/>
        <w:rPr>
          <w:rFonts w:cs="Times New Roman" w:eastAsia="Times New Roman"/>
          <w:b/>
          <w:lang w:eastAsia="hr-HR"/>
        </w:rPr>
      </w:pPr>
      <w:r w:rsidRPr="00875045">
        <w:rPr>
          <w:rFonts w:cs="Times New Roman" w:eastAsia="Times New Roman"/>
          <w:lang w:eastAsia="hr-HR"/>
        </w:rPr>
        <w:t xml:space="preserve">ročište za ispitivanje prijavljenih tražbina vjerovnika koje se zakazuje za dan </w:t>
      </w:r>
      <w:r w:rsidRPr="00875045">
        <w:rPr>
          <w:rFonts w:cs="Times New Roman" w:eastAsia="Times New Roman"/>
          <w:b/>
          <w:lang w:eastAsia="hr-HR"/>
        </w:rPr>
        <w:t>24. studenoga 2016. u 08,30 sati kod Trgovačkog suda u Zadru, sudnica 26/I,</w:t>
      </w:r>
    </w:p>
    <w:p w:rsidRDefault="00875045" w:rsidP="00875045" w:rsidR="00875045" w:rsidRPr="00875045">
      <w:pPr>
        <w:spacing w:after="0"/>
        <w:jc w:val="both"/>
        <w:rPr>
          <w:rFonts w:cs="Times New Roman" w:eastAsia="Times New Roman"/>
          <w:b/>
          <w:lang w:eastAsia="hr-HR"/>
        </w:rPr>
      </w:pPr>
    </w:p>
    <w:p w:rsidRDefault="00875045" w:rsidP="00875045" w:rsidR="00875045" w:rsidRPr="00875045">
      <w:pPr>
        <w:numPr>
          <w:ilvl w:val="0"/>
          <w:numId w:val="47"/>
        </w:numPr>
        <w:spacing w:after="0"/>
        <w:ind w:firstLine="0" w:left="0"/>
        <w:jc w:val="both"/>
        <w:rPr>
          <w:rFonts w:cs="Times New Roman" w:eastAsia="Times New Roman"/>
          <w:b/>
          <w:lang w:eastAsia="hr-HR"/>
        </w:rPr>
      </w:pPr>
      <w:r w:rsidRPr="00875045">
        <w:rPr>
          <w:rFonts w:cs="Times New Roman" w:eastAsia="Times New Roman"/>
          <w:lang w:eastAsia="hr-HR"/>
        </w:rPr>
        <w:t xml:space="preserve">Izvještajno ročište koje se zakazuje za dan </w:t>
      </w:r>
      <w:r w:rsidRPr="00875045">
        <w:rPr>
          <w:rFonts w:cs="Times New Roman" w:eastAsia="Times New Roman"/>
          <w:b/>
          <w:lang w:eastAsia="hr-HR"/>
        </w:rPr>
        <w:t>24. studenoga 2016. u 09,00 sati kod Trgovačkog suda u Zadru, sudnica 26/I,.</w:t>
      </w:r>
    </w:p>
    <w:p w:rsidRDefault="00875045" w:rsidP="00875045" w:rsidR="00875045" w:rsidRPr="00875045">
      <w:pPr>
        <w:spacing w:after="0"/>
        <w:rPr>
          <w:rFonts w:cs="Times New Roman" w:eastAsia="Times New Roman"/>
          <w:lang w:eastAsia="hr-HR"/>
        </w:rPr>
      </w:pPr>
    </w:p>
    <w:p w:rsidRDefault="00875045" w:rsidP="00875045" w:rsidR="00875045" w:rsidRPr="00875045">
      <w:pPr>
        <w:spacing w:after="0"/>
        <w:jc w:val="both"/>
        <w:rPr>
          <w:rFonts w:cs="Times New Roman" w:eastAsia="Times New Roman"/>
          <w:lang w:eastAsia="hr-HR"/>
        </w:rPr>
      </w:pPr>
      <w:r w:rsidRPr="00875045">
        <w:rPr>
          <w:rFonts w:cs="Times New Roman" w:eastAsia="Times New Roman"/>
          <w:lang w:eastAsia="hr-HR"/>
        </w:rPr>
        <w:tab/>
        <w:t>VIII. Određuje se upis zabilježbe otvaranja stečajnog postupka u Sudski registar, zemljišne knjige Općinskog suda u Zadru, upisnik brodova, upisnik brodova u izgradnji i upisnik prava intelektualnog vlasništva.</w:t>
      </w:r>
    </w:p>
    <w:p w:rsidRDefault="00875045" w:rsidP="00875045" w:rsidR="00875045" w:rsidRPr="00875045">
      <w:pPr>
        <w:spacing w:after="0"/>
        <w:jc w:val="both"/>
        <w:rPr>
          <w:rFonts w:cs="Times New Roman" w:eastAsia="Times New Roman"/>
          <w:lang w:eastAsia="hr-HR"/>
        </w:rPr>
      </w:pPr>
    </w:p>
    <w:p w:rsidRDefault="00875045" w:rsidP="00875045" w:rsidR="00875045" w:rsidRPr="00875045">
      <w:pPr>
        <w:spacing w:after="0"/>
        <w:jc w:val="both"/>
        <w:rPr>
          <w:rFonts w:cs="Times New Roman" w:eastAsia="Times New Roman"/>
          <w:lang w:eastAsia="hr-HR"/>
        </w:rPr>
      </w:pPr>
    </w:p>
    <w:p w:rsidRDefault="00875045" w:rsidP="00875045" w:rsidR="00875045" w:rsidRPr="00875045">
      <w:pPr>
        <w:spacing w:after="0"/>
        <w:jc w:val="center"/>
        <w:rPr>
          <w:rFonts w:cs="Times New Roman" w:eastAsia="Times New Roman"/>
          <w:lang w:eastAsia="hr-HR"/>
        </w:rPr>
      </w:pPr>
      <w:r w:rsidRPr="00875045">
        <w:rPr>
          <w:rFonts w:cs="Times New Roman" w:eastAsia="Times New Roman"/>
          <w:lang w:eastAsia="hr-HR"/>
        </w:rPr>
        <w:t>Obrazloženje</w:t>
      </w:r>
    </w:p>
    <w:p w:rsidRDefault="00875045" w:rsidP="00875045" w:rsidR="00875045" w:rsidRPr="00875045">
      <w:pPr>
        <w:spacing w:after="0"/>
        <w:rPr>
          <w:rFonts w:cs="Times New Roman" w:eastAsia="Times New Roman"/>
          <w:lang w:eastAsia="hr-HR"/>
        </w:rPr>
      </w:pPr>
    </w:p>
    <w:p w:rsidRDefault="00875045" w:rsidP="00875045" w:rsidR="00875045" w:rsidRPr="00875045">
      <w:pPr>
        <w:spacing w:after="0"/>
        <w:jc w:val="both"/>
        <w:rPr>
          <w:rFonts w:cs="Times New Roman" w:eastAsia="Times New Roman"/>
          <w:lang w:eastAsia="hr-HR"/>
        </w:rPr>
      </w:pPr>
      <w:r w:rsidRPr="00875045">
        <w:rPr>
          <w:rFonts w:cs="Times New Roman" w:eastAsia="Times New Roman"/>
          <w:lang w:eastAsia="hr-HR"/>
        </w:rPr>
        <w:tab/>
        <w:t>Financijska agencija je ovom sudu 15. travnja 2016. dostavila prijedlog za otvaranje stečajnog postupka nad ovim dužnikom. Iz prijedloga proizlazi da je društvo u neprekidnoj blokadi više od 240 dana sa 135.242,34 kuna nepodmirenih dospjelih osnova za  plaćanje.</w:t>
      </w:r>
    </w:p>
    <w:p w:rsidRDefault="00875045" w:rsidP="00875045" w:rsidR="00875045" w:rsidRPr="00875045">
      <w:pPr>
        <w:spacing w:after="0"/>
        <w:jc w:val="both"/>
        <w:rPr>
          <w:rFonts w:cs="Times New Roman" w:eastAsia="Times New Roman"/>
          <w:b/>
          <w:lang w:eastAsia="hr-HR"/>
        </w:rPr>
      </w:pPr>
      <w:r w:rsidRPr="00875045">
        <w:rPr>
          <w:rFonts w:cs="Times New Roman" w:eastAsia="Times New Roman"/>
          <w:lang w:eastAsia="hr-HR"/>
        </w:rPr>
        <w:tab/>
        <w:t xml:space="preserve">Rješenjem ovog suda </w:t>
      </w:r>
      <w:proofErr w:type="spellStart"/>
      <w:r w:rsidRPr="00875045">
        <w:rPr>
          <w:rFonts w:cs="Times New Roman" w:eastAsia="Times New Roman"/>
          <w:lang w:eastAsia="hr-HR"/>
        </w:rPr>
        <w:t>posl</w:t>
      </w:r>
      <w:proofErr w:type="spellEnd"/>
      <w:r w:rsidRPr="00875045">
        <w:rPr>
          <w:rFonts w:cs="Times New Roman" w:eastAsia="Times New Roman"/>
          <w:lang w:eastAsia="hr-HR"/>
        </w:rPr>
        <w:t xml:space="preserve">. br. 1 St-543/16-4 od 22. travnja 2016. pokrenut je postupak radi utvrđivanja uvjeta za otvaranje stečajnog postupka (prethodni postupak) nad dužnikom. </w:t>
      </w:r>
    </w:p>
    <w:p w:rsidRDefault="00875045" w:rsidP="00875045" w:rsidR="00875045" w:rsidRPr="00875045">
      <w:pPr>
        <w:spacing w:after="0"/>
        <w:ind w:firstLine="708"/>
        <w:jc w:val="both"/>
        <w:rPr>
          <w:rFonts w:cs="Times New Roman" w:eastAsia="Times New Roman"/>
          <w:lang w:eastAsia="hr-HR"/>
        </w:rPr>
      </w:pPr>
      <w:r w:rsidRPr="00875045">
        <w:rPr>
          <w:rFonts w:cs="Times New Roman" w:eastAsia="Times New Roman"/>
          <w:lang w:eastAsia="hr-HR"/>
        </w:rPr>
        <w:t>Rješenjem od 30. lipnja 2016. imenovan je privremeni stečajni upravitelj koji je svoje izvješće dostavio 11. kolovoza 2016. Iz izvješća privremenog stečajnog upravitelja proizašlo je da je ostvaren stečajni razlog jer je stečajni prezadužen i nesposoban za plaćanje. Nadalje je iz izvješća proizišlo da stečajni dužnik ima imovinu i to  potraživanja u visini oko 45.000,00 kuna i brodicu u izgradnji koja se može unovčiti, pa je predložio otvaranje stečajnog postupka.</w:t>
      </w:r>
    </w:p>
    <w:p w:rsidRDefault="00875045" w:rsidP="00875045" w:rsidR="00875045" w:rsidRPr="00875045">
      <w:pPr>
        <w:spacing w:after="0"/>
        <w:jc w:val="both"/>
        <w:rPr>
          <w:rFonts w:cs="Times New Roman" w:eastAsia="Times New Roman"/>
          <w:lang w:eastAsia="hr-HR"/>
        </w:rPr>
      </w:pPr>
      <w:r w:rsidRPr="00875045">
        <w:rPr>
          <w:rFonts w:cs="Times New Roman" w:eastAsia="Times New Roman"/>
          <w:lang w:eastAsia="hr-HR"/>
        </w:rPr>
        <w:tab/>
        <w:t xml:space="preserve">Obzirom da je utvrđeno postojanje stečajnog razloga jer je stečajni dužnik nesposoban za plaćanje budući ne može ispunjavati svoje dospjele novčane obveze u smislu čl. 6. st. 1. i 2. Stečajnog zakona (Narodne novine broj 71/15) obzirom da kao i obzirom da isti ima imovine unovčenjem kojih se mogu pokriti troškovi postupka i dijelom vjerovnici, to je u smislu članaka 53., 54. i 55. Stečajnog zakona odlučeno o otvaranju stečajnog postupka.  </w:t>
      </w:r>
    </w:p>
    <w:p w:rsidRDefault="00875045" w:rsidP="00875045" w:rsidR="00875045" w:rsidRPr="00875045">
      <w:pPr>
        <w:spacing w:after="0"/>
        <w:jc w:val="both"/>
        <w:rPr>
          <w:rFonts w:cs="Times New Roman" w:eastAsia="Times New Roman"/>
          <w:lang w:eastAsia="hr-HR"/>
        </w:rPr>
      </w:pPr>
      <w:r w:rsidRPr="00875045">
        <w:rPr>
          <w:rFonts w:cs="Times New Roman" w:eastAsia="Times New Roman"/>
          <w:lang w:eastAsia="hr-HR"/>
        </w:rPr>
        <w:t xml:space="preserve">           Sukladno članku 85. st. 2. Stečajnog zakona sud je za stečajnog upravitelja imenovao </w:t>
      </w:r>
      <w:proofErr w:type="spellStart"/>
      <w:r w:rsidRPr="00875045">
        <w:rPr>
          <w:rFonts w:cs="Times New Roman" w:eastAsia="Times New Roman"/>
          <w:lang w:eastAsia="hr-HR"/>
        </w:rPr>
        <w:t>Alein</w:t>
      </w:r>
      <w:proofErr w:type="spellEnd"/>
      <w:r w:rsidRPr="00875045">
        <w:rPr>
          <w:rFonts w:cs="Times New Roman" w:eastAsia="Times New Roman"/>
          <w:lang w:eastAsia="hr-HR"/>
        </w:rPr>
        <w:t xml:space="preserve"> </w:t>
      </w:r>
      <w:proofErr w:type="spellStart"/>
      <w:r w:rsidRPr="00875045">
        <w:rPr>
          <w:rFonts w:cs="Times New Roman" w:eastAsia="Times New Roman"/>
          <w:lang w:eastAsia="hr-HR"/>
        </w:rPr>
        <w:t>Khana</w:t>
      </w:r>
      <w:proofErr w:type="spellEnd"/>
      <w:r w:rsidRPr="00875045">
        <w:rPr>
          <w:rFonts w:cs="Times New Roman" w:eastAsia="Times New Roman"/>
          <w:lang w:eastAsia="hr-HR"/>
        </w:rPr>
        <w:t xml:space="preserve"> koji je prethodno imenovan privremenim stečajnim upraviteljem u skladu s odredbama čl. 84. st. 1. Stečajnog zakona. </w:t>
      </w:r>
    </w:p>
    <w:p w:rsidRDefault="00875045" w:rsidP="00875045" w:rsidR="00875045" w:rsidRPr="00875045">
      <w:pPr>
        <w:spacing w:after="0"/>
        <w:ind w:firstLine="708"/>
        <w:jc w:val="both"/>
        <w:rPr>
          <w:rFonts w:cs="Times New Roman" w:eastAsia="Times New Roman"/>
          <w:lang w:eastAsia="hr-HR"/>
        </w:rPr>
      </w:pPr>
      <w:r w:rsidRPr="00875045">
        <w:rPr>
          <w:rFonts w:cs="Times New Roman" w:eastAsia="Times New Roman"/>
          <w:lang w:eastAsia="hr-HR"/>
        </w:rPr>
        <w:t>Nalog iz točke VIII. i IX. ovog rješenja temelji se na odredbi članka 129. stavak 2. 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875045" w:rsidP="00875045" w:rsidR="00875045" w:rsidRPr="00875045">
      <w:pPr>
        <w:spacing w:after="0"/>
        <w:jc w:val="both"/>
        <w:rPr>
          <w:rFonts w:cs="Times New Roman" w:eastAsia="Times New Roman"/>
          <w:lang w:eastAsia="hr-HR"/>
        </w:rPr>
      </w:pPr>
      <w:r w:rsidRPr="00875045">
        <w:rPr>
          <w:rFonts w:cs="Times New Roman" w:eastAsia="Times New Roman"/>
          <w:lang w:eastAsia="hr-HR"/>
        </w:rPr>
        <w:t xml:space="preserve">            Stoga je odlučeno kao u izreci.  </w:t>
      </w:r>
    </w:p>
    <w:p w:rsidRDefault="00875045" w:rsidP="00875045" w:rsidR="00875045" w:rsidRPr="00875045">
      <w:pPr>
        <w:spacing w:after="0"/>
        <w:jc w:val="both"/>
        <w:rPr>
          <w:rFonts w:cs="Times New Roman" w:eastAsia="Times New Roman"/>
          <w:lang w:eastAsia="hr-HR"/>
        </w:rPr>
      </w:pPr>
    </w:p>
    <w:p w:rsidRDefault="00875045" w:rsidP="00875045" w:rsidR="00875045" w:rsidRPr="00875045">
      <w:pPr>
        <w:spacing w:after="0"/>
        <w:ind w:firstLine="708"/>
        <w:jc w:val="center"/>
        <w:rPr>
          <w:rFonts w:cs="Times New Roman" w:eastAsia="Times New Roman"/>
          <w:lang w:eastAsia="hr-HR"/>
        </w:rPr>
      </w:pPr>
      <w:r w:rsidRPr="00875045">
        <w:rPr>
          <w:rFonts w:cs="Times New Roman" w:eastAsia="Times New Roman"/>
          <w:lang w:eastAsia="hr-HR"/>
        </w:rPr>
        <w:t xml:space="preserve">U Zadru, 17. kolovoza 2016. </w:t>
      </w:r>
    </w:p>
    <w:p w:rsidRDefault="00875045" w:rsidP="00875045" w:rsidR="00875045" w:rsidRPr="00875045">
      <w:pPr>
        <w:spacing w:after="0"/>
        <w:jc w:val="both"/>
        <w:rPr>
          <w:rFonts w:cs="Times New Roman" w:eastAsia="Times New Roman"/>
          <w:lang w:eastAsia="hr-HR"/>
        </w:rPr>
      </w:pPr>
    </w:p>
    <w:p w:rsidRDefault="00875045" w:rsidP="00875045" w:rsidR="00875045" w:rsidRPr="00875045">
      <w:pPr>
        <w:spacing w:after="0"/>
        <w:jc w:val="right"/>
        <w:rPr>
          <w:rFonts w:cs="Times New Roman" w:eastAsia="Times New Roman"/>
          <w:lang w:eastAsia="hr-HR"/>
        </w:rPr>
      </w:pPr>
      <w:r w:rsidRPr="00875045">
        <w:rPr>
          <w:rFonts w:cs="Times New Roman" w:eastAsia="Times New Roman"/>
          <w:lang w:eastAsia="hr-HR"/>
        </w:rPr>
        <w:t>Sutkinja:</w:t>
      </w:r>
    </w:p>
    <w:p w:rsidRDefault="00875045" w:rsidP="00875045" w:rsidR="00875045" w:rsidRPr="00875045">
      <w:pPr>
        <w:spacing w:after="0"/>
        <w:jc w:val="right"/>
        <w:rPr>
          <w:rFonts w:cs="Times New Roman" w:eastAsia="Times New Roman"/>
          <w:lang w:eastAsia="hr-HR"/>
        </w:rPr>
      </w:pPr>
      <w:r w:rsidRPr="00875045">
        <w:rPr>
          <w:rFonts w:cs="Times New Roman" w:eastAsia="Times New Roman"/>
          <w:lang w:eastAsia="hr-HR"/>
        </w:rPr>
        <w:t xml:space="preserve">Ardena </w:t>
      </w:r>
      <w:proofErr w:type="spellStart"/>
      <w:r w:rsidRPr="00875045">
        <w:rPr>
          <w:rFonts w:cs="Times New Roman" w:eastAsia="Times New Roman"/>
          <w:lang w:eastAsia="hr-HR"/>
        </w:rPr>
        <w:t>Bajlo</w:t>
      </w:r>
      <w:proofErr w:type="spellEnd"/>
    </w:p>
    <w:p w:rsidRDefault="00875045" w:rsidP="00875045" w:rsidR="00875045" w:rsidRPr="00875045">
      <w:pPr>
        <w:spacing w:after="0"/>
        <w:jc w:val="both"/>
        <w:rPr>
          <w:rFonts w:cs="Times New Roman" w:eastAsia="Times New Roman"/>
          <w:lang w:eastAsia="hr-HR"/>
        </w:rPr>
      </w:pPr>
    </w:p>
    <w:p w:rsidRDefault="00875045" w:rsidP="00875045" w:rsidR="00875045" w:rsidRPr="00875045">
      <w:pPr>
        <w:spacing w:after="0"/>
        <w:jc w:val="both"/>
        <w:rPr>
          <w:rFonts w:cs="Times New Roman" w:eastAsia="Times New Roman"/>
          <w:b/>
          <w:lang w:eastAsia="hr-HR"/>
        </w:rPr>
      </w:pPr>
    </w:p>
    <w:p w:rsidRDefault="00875045" w:rsidP="00875045" w:rsidR="00875045" w:rsidRPr="00875045">
      <w:pPr>
        <w:spacing w:after="0"/>
        <w:jc w:val="both"/>
        <w:rPr>
          <w:rFonts w:cs="Times New Roman" w:eastAsia="Times New Roman"/>
          <w:b/>
          <w:lang w:eastAsia="hr-HR"/>
        </w:rPr>
      </w:pPr>
    </w:p>
    <w:p w:rsidRDefault="00875045" w:rsidP="00875045" w:rsidR="00875045" w:rsidRPr="00875045">
      <w:pPr>
        <w:spacing w:after="0"/>
        <w:jc w:val="both"/>
        <w:rPr>
          <w:rFonts w:cs="Times New Roman" w:eastAsia="Times New Roman"/>
          <w:b/>
          <w:lang w:eastAsia="hr-HR"/>
        </w:rPr>
      </w:pPr>
    </w:p>
    <w:p w:rsidRDefault="00875045" w:rsidP="00875045" w:rsidR="00875045" w:rsidRPr="00875045">
      <w:pPr>
        <w:spacing w:after="0"/>
        <w:jc w:val="both"/>
        <w:rPr>
          <w:rFonts w:cs="Times New Roman" w:eastAsia="Times New Roman"/>
          <w:b/>
          <w:lang w:eastAsia="hr-HR"/>
        </w:rPr>
      </w:pPr>
    </w:p>
    <w:p w:rsidRDefault="00875045" w:rsidP="00875045" w:rsidR="00875045" w:rsidRPr="00875045">
      <w:pPr>
        <w:spacing w:after="0"/>
        <w:jc w:val="both"/>
        <w:rPr>
          <w:rFonts w:cs="Times New Roman" w:eastAsia="Times New Roman"/>
          <w:b/>
          <w:lang w:eastAsia="hr-HR"/>
        </w:rPr>
      </w:pPr>
    </w:p>
    <w:p w:rsidRDefault="00875045" w:rsidP="00875045" w:rsidR="00875045" w:rsidRPr="00875045">
      <w:pPr>
        <w:spacing w:after="0"/>
        <w:jc w:val="both"/>
        <w:rPr>
          <w:rFonts w:cs="Times New Roman" w:eastAsia="Times New Roman"/>
          <w:b/>
          <w:lang w:eastAsia="hr-HR"/>
        </w:rPr>
      </w:pPr>
    </w:p>
    <w:p w:rsidRDefault="00875045" w:rsidP="00875045" w:rsidR="00875045" w:rsidRPr="00875045">
      <w:pPr>
        <w:spacing w:after="0"/>
        <w:jc w:val="both"/>
        <w:rPr>
          <w:rFonts w:cs="Times New Roman" w:eastAsia="Times New Roman"/>
          <w:lang w:eastAsia="hr-HR"/>
        </w:rPr>
      </w:pPr>
      <w:r w:rsidRPr="00875045">
        <w:rPr>
          <w:rFonts w:cs="Times New Roman" w:eastAsia="Times New Roman"/>
          <w:lang w:eastAsia="hr-HR"/>
        </w:rPr>
        <w:t>POUKA O PRAVNOM LIJEKU:</w:t>
      </w:r>
    </w:p>
    <w:p w:rsidRDefault="00875045" w:rsidP="00875045" w:rsidR="00875045" w:rsidRPr="00875045">
      <w:pPr>
        <w:spacing w:after="0"/>
        <w:ind w:firstLine="705"/>
        <w:jc w:val="both"/>
        <w:rPr>
          <w:rFonts w:cs="Times New Roman" w:eastAsia="Times New Roman"/>
          <w:lang w:eastAsia="hr-HR"/>
        </w:rPr>
      </w:pPr>
      <w:r w:rsidRPr="00875045">
        <w:rPr>
          <w:rFonts w:cs="Times New Roman" w:eastAsia="Times New Roman"/>
          <w:lang w:eastAsia="hr-HR"/>
        </w:rPr>
        <w:t>Protiv ovog rješenja pravo na žalbu ima osoba koja je bila ovlaštena za zastupanje dužnika po zakonu do dana nastupanja pravnih posljedica otvaranja stečajnog postupka (čl. 128. st. 8. SZ-a).</w:t>
      </w:r>
    </w:p>
    <w:p w:rsidRDefault="00875045" w:rsidP="00875045" w:rsidR="00875045" w:rsidRPr="00875045">
      <w:pPr>
        <w:spacing w:after="0"/>
        <w:ind w:firstLine="705"/>
        <w:jc w:val="both"/>
        <w:rPr>
          <w:rFonts w:cs="Times New Roman" w:eastAsia="Times New Roman"/>
          <w:lang w:eastAsia="hr-HR"/>
        </w:rPr>
      </w:pPr>
      <w:r w:rsidRPr="00875045">
        <w:rPr>
          <w:rFonts w:cs="Times New Roman" w:eastAsia="Times New Roman"/>
          <w:lang w:eastAsia="hr-HR"/>
        </w:rPr>
        <w:t>Žalba se podnosi ovom sudu za Visoki trgovački sud Republike Hrvatske u tri primjerka u roku od 8 dana od prijema rješenja, odnosno od isteka osmog dana od dana objave na e-oglasnoj ploči suda.</w:t>
      </w:r>
    </w:p>
    <w:p w:rsidRDefault="00875045" w:rsidP="00875045" w:rsidR="00875045" w:rsidRPr="00875045">
      <w:pPr>
        <w:spacing w:after="0"/>
        <w:ind w:firstLine="705"/>
        <w:jc w:val="both"/>
        <w:rPr>
          <w:rFonts w:cs="Times New Roman" w:eastAsia="Times New Roman"/>
          <w:lang w:eastAsia="hr-HR"/>
        </w:rPr>
      </w:pPr>
    </w:p>
    <w:p w:rsidRDefault="00875045" w:rsidP="00875045" w:rsidR="00875045" w:rsidRPr="00875045">
      <w:pPr>
        <w:spacing w:after="0"/>
        <w:ind w:hanging="705" w:left="705"/>
        <w:rPr>
          <w:rFonts w:cs="Times New Roman" w:eastAsia="Times New Roman"/>
          <w:color w:val="000000"/>
          <w:lang w:eastAsia="hr-HR"/>
        </w:rPr>
      </w:pPr>
      <w:r w:rsidRPr="00875045">
        <w:rPr>
          <w:rFonts w:cs="Times New Roman" w:eastAsia="Times New Roman"/>
          <w:color w:val="000000"/>
          <w:lang w:eastAsia="hr-HR"/>
        </w:rPr>
        <w:t>DNA:</w:t>
      </w:r>
    </w:p>
    <w:p w:rsidRDefault="00875045" w:rsidP="00875045" w:rsidR="00875045" w:rsidRPr="00875045">
      <w:pPr>
        <w:numPr>
          <w:ilvl w:val="0"/>
          <w:numId w:val="48"/>
        </w:numPr>
        <w:spacing w:after="0"/>
        <w:rPr>
          <w:rFonts w:cs="Times New Roman" w:eastAsia="Times New Roman"/>
          <w:color w:val="000000"/>
          <w:lang w:eastAsia="hr-HR"/>
        </w:rPr>
      </w:pPr>
      <w:r w:rsidRPr="00875045">
        <w:rPr>
          <w:rFonts w:cs="Times New Roman" w:eastAsia="Times New Roman"/>
          <w:color w:val="000000"/>
          <w:lang w:eastAsia="hr-HR"/>
        </w:rPr>
        <w:t>Stečajnom dužniku</w:t>
      </w:r>
    </w:p>
    <w:p w:rsidRDefault="00875045" w:rsidP="00875045" w:rsidR="00875045" w:rsidRPr="00875045">
      <w:pPr>
        <w:numPr>
          <w:ilvl w:val="0"/>
          <w:numId w:val="48"/>
        </w:numPr>
        <w:spacing w:after="0"/>
        <w:rPr>
          <w:rFonts w:cs="Times New Roman" w:eastAsia="Times New Roman"/>
          <w:color w:val="000000"/>
          <w:lang w:eastAsia="hr-HR"/>
        </w:rPr>
      </w:pPr>
      <w:r w:rsidRPr="00875045">
        <w:rPr>
          <w:rFonts w:cs="Times New Roman" w:eastAsia="Times New Roman"/>
          <w:color w:val="000000"/>
          <w:lang w:eastAsia="hr-HR"/>
        </w:rPr>
        <w:t>Stečajnom upravitelju uz potvrdu o imenovanju</w:t>
      </w:r>
    </w:p>
    <w:p w:rsidRDefault="00875045" w:rsidP="00875045" w:rsidR="00875045" w:rsidRPr="00875045">
      <w:pPr>
        <w:numPr>
          <w:ilvl w:val="0"/>
          <w:numId w:val="48"/>
        </w:numPr>
        <w:spacing w:after="0"/>
        <w:rPr>
          <w:rFonts w:cs="Times New Roman" w:eastAsia="Times New Roman"/>
          <w:color w:val="000000"/>
          <w:lang w:eastAsia="hr-HR"/>
        </w:rPr>
      </w:pPr>
      <w:r w:rsidRPr="00875045">
        <w:rPr>
          <w:rFonts w:cs="Times New Roman" w:eastAsia="Times New Roman"/>
          <w:color w:val="000000"/>
          <w:lang w:eastAsia="hr-HR"/>
        </w:rPr>
        <w:t>FINA,</w:t>
      </w:r>
    </w:p>
    <w:p w:rsidRDefault="00875045" w:rsidP="00875045" w:rsidR="00875045" w:rsidRPr="00875045">
      <w:pPr>
        <w:numPr>
          <w:ilvl w:val="0"/>
          <w:numId w:val="48"/>
        </w:numPr>
        <w:spacing w:after="0"/>
        <w:rPr>
          <w:rFonts w:cs="Times New Roman" w:eastAsia="Times New Roman"/>
          <w:color w:val="000000"/>
          <w:lang w:eastAsia="hr-HR"/>
        </w:rPr>
      </w:pPr>
      <w:r w:rsidRPr="00875045">
        <w:rPr>
          <w:rFonts w:cs="Times New Roman" w:eastAsia="Times New Roman"/>
          <w:color w:val="000000"/>
          <w:lang w:eastAsia="hr-HR"/>
        </w:rPr>
        <w:t>ŽDO - Zadar</w:t>
      </w:r>
    </w:p>
    <w:p w:rsidRDefault="00875045" w:rsidP="00875045" w:rsidR="00875045" w:rsidRPr="00875045">
      <w:pPr>
        <w:numPr>
          <w:ilvl w:val="0"/>
          <w:numId w:val="48"/>
        </w:numPr>
        <w:spacing w:after="0"/>
        <w:rPr>
          <w:rFonts w:cs="Times New Roman" w:eastAsia="Times New Roman"/>
          <w:color w:val="000000"/>
          <w:lang w:eastAsia="hr-HR"/>
        </w:rPr>
      </w:pPr>
      <w:r w:rsidRPr="00875045">
        <w:rPr>
          <w:rFonts w:cs="Times New Roman" w:eastAsia="Times New Roman"/>
          <w:color w:val="000000"/>
          <w:lang w:eastAsia="hr-HR"/>
        </w:rPr>
        <w:t>Poreznoj upravi Zadar</w:t>
      </w:r>
    </w:p>
    <w:p w:rsidRDefault="00875045" w:rsidP="00875045" w:rsidR="00875045" w:rsidRPr="00875045">
      <w:pPr>
        <w:numPr>
          <w:ilvl w:val="0"/>
          <w:numId w:val="48"/>
        </w:numPr>
        <w:spacing w:after="0"/>
        <w:rPr>
          <w:rFonts w:cs="Times New Roman" w:eastAsia="Times New Roman"/>
          <w:color w:val="000000"/>
          <w:lang w:eastAsia="hr-HR"/>
        </w:rPr>
      </w:pPr>
      <w:r w:rsidRPr="00875045">
        <w:rPr>
          <w:rFonts w:cs="Times New Roman" w:eastAsia="Times New Roman"/>
          <w:color w:val="000000"/>
          <w:lang w:eastAsia="hr-HR"/>
        </w:rPr>
        <w:t xml:space="preserve">Općinski sud Zadar, </w:t>
      </w:r>
    </w:p>
    <w:p w:rsidRDefault="00875045" w:rsidP="00875045" w:rsidR="00875045" w:rsidRPr="00875045">
      <w:pPr>
        <w:numPr>
          <w:ilvl w:val="0"/>
          <w:numId w:val="48"/>
        </w:numPr>
        <w:spacing w:after="0"/>
        <w:rPr>
          <w:rFonts w:cs="Times New Roman" w:eastAsia="Times New Roman"/>
          <w:color w:val="000000"/>
          <w:lang w:eastAsia="hr-HR"/>
        </w:rPr>
      </w:pPr>
      <w:r w:rsidRPr="00875045">
        <w:rPr>
          <w:rFonts w:cs="Times New Roman" w:eastAsia="Times New Roman"/>
          <w:color w:val="000000"/>
          <w:lang w:eastAsia="hr-HR"/>
        </w:rPr>
        <w:t xml:space="preserve">Općinski sud Zadar, Zemljišno knjižni odjel, </w:t>
      </w:r>
    </w:p>
    <w:p w:rsidRDefault="00875045" w:rsidP="00875045" w:rsidR="00875045" w:rsidRPr="00875045">
      <w:pPr>
        <w:numPr>
          <w:ilvl w:val="0"/>
          <w:numId w:val="48"/>
        </w:numPr>
        <w:spacing w:after="0"/>
        <w:rPr>
          <w:rFonts w:cs="Times New Roman" w:eastAsia="Times New Roman"/>
          <w:color w:val="000000"/>
          <w:lang w:eastAsia="hr-HR"/>
        </w:rPr>
      </w:pPr>
      <w:r w:rsidRPr="00875045">
        <w:rPr>
          <w:rFonts w:cs="Times New Roman" w:eastAsia="Times New Roman"/>
          <w:color w:val="000000"/>
          <w:lang w:eastAsia="hr-HR"/>
        </w:rPr>
        <w:t>Lučkoj kapetaniji Zadar – registru brodova,</w:t>
      </w:r>
    </w:p>
    <w:p w:rsidRDefault="00875045" w:rsidP="00875045" w:rsidR="00875045" w:rsidRPr="00875045">
      <w:pPr>
        <w:numPr>
          <w:ilvl w:val="0"/>
          <w:numId w:val="48"/>
        </w:numPr>
        <w:spacing w:after="0"/>
        <w:rPr>
          <w:rFonts w:cs="Times New Roman" w:eastAsia="Times New Roman"/>
          <w:color w:val="000000"/>
          <w:lang w:eastAsia="hr-HR"/>
        </w:rPr>
      </w:pPr>
      <w:r w:rsidRPr="00875045">
        <w:rPr>
          <w:rFonts w:cs="Times New Roman" w:eastAsia="Times New Roman"/>
          <w:color w:val="000000"/>
          <w:lang w:eastAsia="hr-HR"/>
        </w:rPr>
        <w:t xml:space="preserve">Državnog zavoda za </w:t>
      </w:r>
      <w:r w:rsidRPr="00875045">
        <w:rPr>
          <w:rFonts w:cs="Times New Roman" w:eastAsia="Times New Roman"/>
          <w:bCs/>
          <w:color w:val="000000"/>
          <w:lang w:eastAsia="hr-HR"/>
        </w:rPr>
        <w:t>intelektualno vlasništvo</w:t>
      </w:r>
      <w:r w:rsidRPr="00875045">
        <w:rPr>
          <w:rFonts w:cs="Times New Roman" w:eastAsia="Times New Roman"/>
          <w:color w:val="000000"/>
          <w:lang w:eastAsia="hr-HR"/>
        </w:rPr>
        <w:t>, Ulica grada Vukovara 78, 10 000 Zagreb</w:t>
      </w:r>
    </w:p>
    <w:p w:rsidRDefault="00875045" w:rsidP="00875045" w:rsidR="00875045" w:rsidRPr="00875045">
      <w:pPr>
        <w:numPr>
          <w:ilvl w:val="0"/>
          <w:numId w:val="48"/>
        </w:numPr>
        <w:spacing w:after="0"/>
        <w:rPr>
          <w:rFonts w:cs="Times New Roman" w:eastAsia="Times New Roman"/>
          <w:color w:val="000000"/>
          <w:lang w:eastAsia="hr-HR"/>
        </w:rPr>
      </w:pPr>
      <w:r w:rsidRPr="00875045">
        <w:rPr>
          <w:rFonts w:cs="Times New Roman" w:eastAsia="Times New Roman"/>
          <w:color w:val="000000"/>
          <w:lang w:eastAsia="hr-HR"/>
        </w:rPr>
        <w:t>Sudskom registru</w:t>
      </w:r>
    </w:p>
    <w:p w:rsidRDefault="00875045" w:rsidP="00875045" w:rsidR="00875045" w:rsidRPr="00875045">
      <w:pPr>
        <w:numPr>
          <w:ilvl w:val="0"/>
          <w:numId w:val="48"/>
        </w:numPr>
        <w:spacing w:after="0"/>
        <w:rPr>
          <w:rFonts w:cs="Times New Roman" w:eastAsia="Times New Roman"/>
          <w:color w:val="000000"/>
          <w:lang w:eastAsia="hr-HR"/>
        </w:rPr>
      </w:pPr>
      <w:r w:rsidRPr="00875045">
        <w:rPr>
          <w:rFonts w:cs="Times New Roman" w:eastAsia="Times New Roman"/>
          <w:color w:val="000000"/>
          <w:lang w:eastAsia="hr-HR"/>
        </w:rPr>
        <w:t>E-oglasna ploča suda</w:t>
      </w:r>
    </w:p>
    <w:p w:rsidRDefault="00875045" w:rsidP="00875045" w:rsidR="00875045" w:rsidRPr="00875045">
      <w:pPr>
        <w:numPr>
          <w:ilvl w:val="0"/>
          <w:numId w:val="48"/>
        </w:numPr>
        <w:spacing w:after="0"/>
        <w:rPr>
          <w:rFonts w:cs="Times New Roman" w:eastAsia="Times New Roman"/>
          <w:color w:val="000000"/>
          <w:lang w:eastAsia="hr-HR"/>
        </w:rPr>
      </w:pPr>
      <w:r w:rsidRPr="00875045">
        <w:rPr>
          <w:rFonts w:cs="Times New Roman" w:eastAsia="Times New Roman"/>
          <w:color w:val="000000"/>
          <w:lang w:eastAsia="hr-HR"/>
        </w:rPr>
        <w:t>Pisarnica suda-ovdje</w:t>
      </w:r>
    </w:p>
    <w:p w:rsidRDefault="00875045" w:rsidP="00875045" w:rsidR="00875045" w:rsidRPr="00875045">
      <w:pPr>
        <w:numPr>
          <w:ilvl w:val="0"/>
          <w:numId w:val="48"/>
        </w:numPr>
        <w:spacing w:after="0"/>
        <w:jc w:val="both"/>
        <w:rPr>
          <w:rFonts w:cs="Times New Roman" w:eastAsia="Times New Roman"/>
          <w:lang w:eastAsia="hr-HR"/>
        </w:rPr>
      </w:pPr>
      <w:r w:rsidRPr="00875045">
        <w:rPr>
          <w:rFonts w:cs="Times New Roman" w:eastAsia="Times New Roman"/>
          <w:color w:val="000000"/>
          <w:lang w:eastAsia="hr-HR"/>
        </w:rPr>
        <w:t>U spis.</w:t>
      </w:r>
    </w:p>
    <w:p w:rsidRDefault="00875045" w:rsidP="00875045" w:rsidR="00875045" w:rsidRPr="00875045">
      <w:pPr>
        <w:spacing w:after="0"/>
        <w:ind w:hanging="705" w:left="705"/>
        <w:rPr>
          <w:rFonts w:cs="Times New Roman" w:eastAsia="Times New Roman"/>
          <w:b/>
          <w:color w:val="000000"/>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4E31EE2"/>
    <w:multiLevelType w:val="hybridMultilevel"/>
    <w:tmpl w:val="2D882250"/>
    <w:lvl w:tplc="76D0AE7A" w:ilvl="0">
      <w:start w:val="1"/>
      <w:numFmt w:val="decimal"/>
      <w:lvlText w:val="%1)"/>
      <w:lvlJc w:val="left"/>
      <w:pPr>
        <w:ind w:hanging="360" w:left="1260"/>
      </w:pPr>
      <w:rPr>
        <w:b w:val="false"/>
      </w:rPr>
    </w:lvl>
    <w:lvl w:tplc="041A0019" w:ilvl="1">
      <w:start w:val="1"/>
      <w:numFmt w:val="lowerLetter"/>
      <w:lvlText w:val="%2."/>
      <w:lvlJc w:val="left"/>
      <w:pPr>
        <w:ind w:hanging="360" w:left="1980"/>
      </w:pPr>
    </w:lvl>
    <w:lvl w:tplc="041A001B" w:ilvl="2">
      <w:start w:val="1"/>
      <w:numFmt w:val="lowerRoman"/>
      <w:lvlText w:val="%3."/>
      <w:lvlJc w:val="right"/>
      <w:pPr>
        <w:ind w:hanging="180" w:left="2700"/>
      </w:pPr>
    </w:lvl>
    <w:lvl w:tplc="041A000F" w:ilvl="3">
      <w:start w:val="1"/>
      <w:numFmt w:val="decimal"/>
      <w:lvlText w:val="%4."/>
      <w:lvlJc w:val="left"/>
      <w:pPr>
        <w:ind w:hanging="360" w:left="3420"/>
      </w:pPr>
    </w:lvl>
    <w:lvl w:tplc="041A0019" w:ilvl="4">
      <w:start w:val="1"/>
      <w:numFmt w:val="lowerLetter"/>
      <w:lvlText w:val="%5."/>
      <w:lvlJc w:val="left"/>
      <w:pPr>
        <w:ind w:hanging="360" w:left="4140"/>
      </w:pPr>
    </w:lvl>
    <w:lvl w:tplc="041A001B" w:ilvl="5">
      <w:start w:val="1"/>
      <w:numFmt w:val="lowerRoman"/>
      <w:lvlText w:val="%6."/>
      <w:lvlJc w:val="right"/>
      <w:pPr>
        <w:ind w:hanging="180" w:left="4860"/>
      </w:pPr>
    </w:lvl>
    <w:lvl w:tplc="041A000F" w:ilvl="6">
      <w:start w:val="1"/>
      <w:numFmt w:val="decimal"/>
      <w:lvlText w:val="%7."/>
      <w:lvlJc w:val="left"/>
      <w:pPr>
        <w:ind w:hanging="360" w:left="5580"/>
      </w:pPr>
    </w:lvl>
    <w:lvl w:tplc="041A0019" w:ilvl="7">
      <w:start w:val="1"/>
      <w:numFmt w:val="lowerLetter"/>
      <w:lvlText w:val="%8."/>
      <w:lvlJc w:val="left"/>
      <w:pPr>
        <w:ind w:hanging="360" w:left="6300"/>
      </w:pPr>
    </w:lvl>
    <w:lvl w:tplc="041A001B" w:ilvl="8">
      <w:start w:val="1"/>
      <w:numFmt w:val="lowerRoman"/>
      <w:lvlText w:val="%9."/>
      <w:lvlJc w:val="right"/>
      <w:pPr>
        <w:ind w:hanging="180" w:left="702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8">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20"/>
  </w:num>
  <w:num w:numId="2">
    <w:abstractNumId w:val="31"/>
  </w:num>
  <w:num w:numId="3">
    <w:abstractNumId w:val="19"/>
  </w:num>
  <w:num w:numId="4">
    <w:abstractNumId w:val="41"/>
  </w:num>
  <w:num w:numId="5">
    <w:abstractNumId w:val="43"/>
  </w:num>
  <w:num w:numId="6">
    <w:abstractNumId w:val="21"/>
  </w:num>
  <w:num w:numId="7">
    <w:abstractNumId w:val="22"/>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8"/>
  </w:num>
  <w:num w:numId="20">
    <w:abstractNumId w:val="23"/>
  </w:num>
  <w:num w:numId="21">
    <w:abstractNumId w:val="24"/>
  </w:num>
  <w:num w:numId="22">
    <w:abstractNumId w:val="19"/>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8"/>
  </w:num>
  <w:num w:numId="46">
    <w:abstractNumId w:val="18"/>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045"/>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33631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St-543/2016-14</izvorni_sadrzaj>
    <derivirana_varijabla naziv="DomainObject.Oznaka_1">St-543/2016-14</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543</izvorni_sadrzaj>
    <derivirana_varijabla naziv="DomainObject.Predmet.Broj_1">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St-543/2016</izvorni_sadrzaj>
    <derivirana_varijabla naziv="DomainObject.Predmet.OznakaBroj_1">St-543/2016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MIKRON MONTAŽA d.o.o. za proizvodnju metalne konstrukcije i građenje</izvorni_sadrzaj>
    <derivirana_varijabla naziv="DomainObject.Predmet.ProtustrankaFormated_1">  MIKRON MONTAŽA d.o.o. za proizvodnju metalne konstrukcije i građenje</derivirana_varijabla>
  </DomainObject.Predmet.ProtustrankaFormated>
  <DomainObject.Predmet.ProtustrankaFormatedOIB>
    <izvorni_sadrzaj>  MIKRON MONTAŽA d.o.o. za proizvodnju metalne konstrukcije i građenje, OIB 90971353163</izvorni_sadrzaj>
    <derivirana_varijabla naziv="DomainObject.Predmet.ProtustrankaFormatedOIB_1">  MIKRON MONTAŽA d.o.o. za proizvodnju metalne konstrukcije i građenje, OIB 90971353163</derivirana_varijabla>
  </DomainObject.Predmet.ProtustrankaFormatedOIB>
  <DomainObject.Predmet.ProtustrankaFormatedWithAdress>
    <izvorni_sadrzaj> MIKRON MONTAŽA d.o.o. za proizvodnju metalne konstrukcije i građenje, Gaženička cesta 23, 23000 Zadar</izvorni_sadrzaj>
    <derivirana_varijabla naziv="DomainObject.Predmet.ProtustrankaFormatedWithAdress_1"> MIKRON MONTAŽA d.o.o. za proizvodnju metalne konstrukcije i građenje, Gaženička cesta 23, 23000 Zadar</derivirana_varijabla>
  </DomainObject.Predmet.ProtustrankaFormatedWithAdress>
  <DomainObject.Predmet.ProtustrankaFormatedWithAdressOIB>
    <izvorni_sadrzaj> MIKRON MONTAŽA d.o.o. za proizvodnju metalne konstrukcije i građenje, OIB 90971353163, Gaženička cesta 23, 23000 Zadar</izvorni_sadrzaj>
    <derivirana_varijabla naziv="DomainObject.Predmet.ProtustrankaFormatedWithAdressOIB_1"> MIKRON MONTAŽA d.o.o. za proizvodnju metalne konstrukcije i građenje, OIB 90971353163, Gaženička cesta 23, 23000 Zadar</derivirana_varijabla>
  </DomainObject.Predmet.ProtustrankaFormatedWithAdressOIB>
  <DomainObject.Predmet.ProtustrankaWithAdress>
    <izvorni_sadrzaj>MIKRON MONTAŽA d.o.o. za proizvodnju metalne konstrukcije i građenje Gaženička cesta 23, 23000 Zadar</izvorni_sadrzaj>
    <derivirana_varijabla naziv="DomainObject.Predmet.ProtustrankaWithAdress_1">MIKRON MONTAŽA d.o.o. za proizvodnju metalne konstrukcije i građenje Gaženička cesta 23, 23000 Zadar</derivirana_varijabla>
  </DomainObject.Predmet.ProtustrankaWithAdress>
  <DomainObject.Predmet.ProtustrankaWithAdressOIB>
    <izvorni_sadrzaj>MIKRON MONTAŽA d.o.o. za proizvodnju metalne konstrukcije i građenje, OIB 90971353163, Gaženička cesta 23, 23000 Zadar</izvorni_sadrzaj>
    <derivirana_varijabla naziv="DomainObject.Predmet.ProtustrankaWithAdressOIB_1">MIKRON MONTAŽA d.o.o. za proizvodnju metalne konstrukcije i građenje, OIB 90971353163, Gaženička cesta 23, 23000 Zadar</derivirana_varijabla>
  </DomainObject.Predmet.ProtustrankaWithAdressOIB>
  <DomainObject.Predmet.ProtustrankaNazivFormated>
    <izvorni_sadrzaj>MIKRON MONTAŽA d.o.o. za proizvodnju metalne konstrukcije i građenje</izvorni_sadrzaj>
    <derivirana_varijabla naziv="DomainObject.Predmet.ProtustrankaNazivFormated_1">MIKRON MONTAŽA d.o.o. za proizvodnju metalne konstrukcije i građenje</derivirana_varijabla>
  </DomainObject.Predmet.ProtustrankaNazivFormated>
  <DomainObject.Predmet.ProtustrankaNazivFormatedOIB>
    <izvorni_sadrzaj>MIKRON MONTAŽA d.o.o. za proizvodnju metalne konstrukcije i građenje, OIB 90971353163</izvorni_sadrzaj>
    <derivirana_varijabla naziv="DomainObject.Predmet.ProtustrankaNazivFormatedOIB_1">MIKRON MONTAŽA d.o.o. za proizvodnju metalne konstrukcije i građenje, OIB 90971353163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135242.34</izvorni_sadrzaj>
    <derivirana_varijabla naziv="DomainObject.Predmet.TrenutnaVrijednost_1">135242.34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MIKRON MONTAŽA d.o.o. za proizvodnju metalne konstrukcije i građenje</item>
    </izvorni_sadrzaj>
    <derivirana_varijabla naziv="DomainObject.Predmet.ProtuStrankaListFormated_1">
      <item>MIKRON MONTAŽA d.o.o. za proizvodnju metalne konstrukcije i građenje</item>
    </derivirana_varijabla>
  </DomainObject.Predmet.ProtuStrankaListFormated>
  <DomainObject.Predmet.ProtuStrankaListFormatedOIB>
    <izvorni_sadrzaj>
      <item>MIKRON MONTAŽA d.o.o. za proizvodnju metalne konstrukcije i građenje, OIB 90971353163</item>
    </izvorni_sadrzaj>
    <derivirana_varijabla naziv="DomainObject.Predmet.ProtuStrankaListFormatedOIB_1">
      <item>MIKRON MONTAŽA d.o.o. za proizvodnju metalne konstrukcije i građenje, OIB 90971353163</item>
    </derivirana_varijabla>
  </DomainObject.Predmet.ProtuStrankaListFormatedOIB>
  <DomainObject.Predmet.ProtuStrankaListFormatedWithAdress>
    <izvorni_sadrzaj>
      <item>MIKRON MONTAŽA d.o.o. za proizvodnju metalne konstrukcije i građenje, Gaženička cesta 23, 23000 Zadar</item>
    </izvorni_sadrzaj>
    <derivirana_varijabla naziv="DomainObject.Predmet.ProtuStrankaListFormatedWithAdress_1">
      <item>MIKRON MONTAŽA d.o.o. za proizvodnju metalne konstrukcije i građenje, Gaženička cesta 23, 23000 Zadar</item>
    </derivirana_varijabla>
  </DomainObject.Predmet.ProtuStrankaListFormatedWithAdress>
  <DomainObject.Predmet.ProtuStrankaListFormatedWithAdressOIB>
    <izvorni_sadrzaj>
      <item>MIKRON MONTAŽA d.o.o. za proizvodnju metalne konstrukcije i građenje, OIB 90971353163, Gaženička cesta 23, 23000 Zadar</item>
    </izvorni_sadrzaj>
    <derivirana_varijabla naziv="DomainObject.Predmet.ProtuStrankaListFormatedWithAdressOIB_1">
      <item>MIKRON MONTAŽA d.o.o. za proizvodnju metalne konstrukcije i građenje, OIB 90971353163, Gaženička cesta 23, 23000 Zadar</item>
    </derivirana_varijabla>
  </DomainObject.Predmet.ProtuStrankaListFormatedWithAdressOIB>
  <DomainObject.Predmet.ProtuStrankaListNazivFormated>
    <izvorni_sadrzaj>
      <item>MIKRON MONTAŽA d.o.o. za proizvodnju metalne konstrukcije i građenje</item>
    </izvorni_sadrzaj>
    <derivirana_varijabla naziv="DomainObject.Predmet.ProtuStrankaListNazivFormated_1">
      <item>MIKRON MONTAŽA d.o.o. za proizvodnju metalne konstrukcije i građenje</item>
    </derivirana_varijabla>
  </DomainObject.Predmet.ProtuStrankaListNazivFormated>
  <DomainObject.Predmet.ProtuStrankaListNazivFormatedOIB>
    <izvorni_sadrzaj>
      <item>MIKRON MONTAŽA d.o.o. za proizvodnju metalne konstrukcije i građenje, OIB 90971353163</item>
    </izvorni_sadrzaj>
    <derivirana_varijabla naziv="DomainObject.Predmet.ProtuStrankaListNazivFormatedOIB_1">
      <item>MIKRON MONTAŽA d.o.o. za proizvodnju metalne konstrukcije i građenje, OIB 90971353163</item>
    </derivirana_varijabla>
  </DomainObject.Predmet.ProtuStrankaListNazivFormatedOIB>
  <DomainObject.Predmet.OstaliListFormated>
    <izvorni_sadrzaj>
      <item>Pero Cvrtak</item>
    </izvorni_sadrzaj>
    <derivirana_varijabla naziv="DomainObject.Predmet.OstaliListFormated_1">
      <item>Pero Cvrtak</item>
    </derivirana_varijabla>
  </DomainObject.Predmet.OstaliListFormated>
  <DomainObject.Predmet.OstaliListFormatedOIB>
    <izvorni_sadrzaj>
      <item>Pero Cvrtak, OIB 26896983827</item>
    </izvorni_sadrzaj>
    <derivirana_varijabla naziv="DomainObject.Predmet.OstaliListFormatedOIB_1">
      <item>Pero Cvrtak, OIB 26896983827</item>
    </derivirana_varijabla>
  </DomainObject.Predmet.OstaliListFormatedOIB>
  <DomainObject.Predmet.OstaliListFormatedWithAdress>
    <izvorni_sadrzaj>
      <item>Pero Cvrtak, Put Stanova 19, 23000 Zadar</item>
    </izvorni_sadrzaj>
    <derivirana_varijabla naziv="DomainObject.Predmet.OstaliListFormatedWithAdress_1">
      <item>Pero Cvrtak, Put Stanova 19, 23000 Zadar</item>
    </derivirana_varijabla>
  </DomainObject.Predmet.OstaliListFormatedWithAdress>
  <DomainObject.Predmet.OstaliListFormatedWithAdressOIB>
    <izvorni_sadrzaj>
      <item>Pero Cvrtak, OIB 26896983827, Put Stanova 19, 23000 Zadar</item>
    </izvorni_sadrzaj>
    <derivirana_varijabla naziv="DomainObject.Predmet.OstaliListFormatedWithAdressOIB_1">
      <item>Pero Cvrtak, OIB 26896983827, Put Stanova 19, 23000 Zadar</item>
    </derivirana_varijabla>
  </DomainObject.Predmet.OstaliListFormatedWithAdressOIB>
  <DomainObject.Predmet.OstaliListNazivFormated>
    <izvorni_sadrzaj>
      <item>Pero Cvrtak</item>
    </izvorni_sadrzaj>
    <derivirana_varijabla naziv="DomainObject.Predmet.OstaliListNazivFormated_1">
      <item>Pero Cvrtak</item>
    </derivirana_varijabla>
  </DomainObject.Predmet.OstaliListNazivFormated>
  <DomainObject.Predmet.OstaliListNazivFormatedOIB>
    <izvorni_sadrzaj>
      <item>Pero Cvrtak, OIB 26896983827</item>
    </izvorni_sadrzaj>
    <derivirana_varijabla naziv="DomainObject.Predmet.OstaliListNazivFormatedOIB_1">
      <item>Pero Cvrtak, OIB 26896983827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2016.</izvorni_sadrzaj>
    <derivirana_varijabla naziv="DomainObject.Datum_1">17. kolovoza 2016.</derivirana_varijabla>
  </DomainObject.Datum>
  <DomainObject.PoslovniBrojDokumenta>
    <izvorni_sadrzaj>St-543/2016-14</izvorni_sadrzaj>
    <derivirana_varijabla naziv="DomainObject.PoslovniBrojDokumenta_1">St-543/2016-14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MIKRON MONTAŽA d.o.o. za proizvodnju metalne konstrukcije i građenje</izvorni_sadrzaj>
    <derivirana_varijabla naziv="DomainObject.Predmet.ProtustrankaIDrugi_1">MIKRON MONTAŽA d.o.o. za proizvodnju metalne konstrukcije i građenje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MIKRON MONTAŽA d.o.o. za proizvodnju metalne konstrukcije i građenje, OIB 90971353163, Gaženička cesta 23, 23000 Zadar</izvorni_sadrzaj>
    <derivirana_varijabla naziv="DomainObject.Predmet.ProtustrankaIDrugiAdressOIB_1">MIKRON MONTAŽA d.o.o. za proizvodnju metalne konstrukcije i građenje, OIB 90971353163, Gaženička cesta 23,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MIKRON MONTAŽA d.o.o. za proizvodnju metalne konstrukcije i građenje</item>
      <item>Pero Cvrtak</item>
    </izvorni_sadrzaj>
    <derivirana_varijabla naziv="DomainObject.Predmet.SudioniciListNaziv_1">
      <item>Financijska agencija</item>
      <item>MIKRON MONTAŽA d.o.o. za proizvodnju metalne konstrukcije i građenje</item>
      <item>Pero Cvrtak</item>
    </derivirana_varijabla>
  </DomainObject.Predmet.SudioniciListNaziv>
  <DomainObject.Predmet.SudioniciListAdressOIB>
    <izvorni_sadrzaj>
      <item>Financijska agencija, OIB 85821130368, Ivana Danila 4,23000 Zadar</item>
      <item>MIKRON MONTAŽA d.o.o. za proizvodnju metalne konstrukcije i građenje, OIB 90971353163, Gaženička cesta 23,23000 Zadar</item>
      <item>Pero Cvrtak, OIB 26896983827, Put Stanova 19,23000 Zadar</item>
    </izvorni_sadrzaj>
    <derivirana_varijabla naziv="DomainObject.Predmet.SudioniciListAdressOIB_1">
      <item>Financijska agencija, OIB 85821130368, Ivana Danila 4,23000 Zadar</item>
      <item>MIKRON MONTAŽA d.o.o. za proizvodnju metalne konstrukcije i građenje, OIB 90971353163, Gaženička cesta 23,23000 Zadar</item>
      <item>Pero Cvrtak, OIB 26896983827, Put Stanova 19,23000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3D1669-76BB-443F-8C15-1656B39249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848</properties:Words>
  <properties:Characters>4539</properties:Characters>
  <properties:Lines>127</properties:Lines>
  <properties:Paragraphs>46</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Martina Kalmeta</cp:lastModifiedBy>
  <dcterms:modified xmlns:xsi="http://www.w3.org/2001/XMLSchema-instance" xsi:type="dcterms:W3CDTF">2016-08-17T11:35:00Z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St-543/2016-14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