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08f5" w14:paraId="87908f5" w:rsidRDefault="00FE4C8C" w:rsidR="003851F8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20.</w:t>
      </w:r>
    </w:p>
    <w:p w:rsidRDefault="00FE4C8C" w:rsidR="003851F8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IZVJEŠĆE STEČAJNOG UPRAVITELJA O TIJEKU STEČAJNOG POSTUPKA I</w:t>
      </w:r>
      <w:r>
        <w:rPr>
          <w:rFonts w:cs="Arial" w:hAnsi="Arial" w:ascii="Arial"/>
          <w:b/>
        </w:rPr>
        <w:br/>
        <w:t xml:space="preserve">                                               STANJU STEČAJNE MASE</w:t>
      </w:r>
    </w:p>
    <w:p w:rsidRDefault="003851F8" w:rsidR="003851F8">
      <w:pPr>
        <w:rPr>
          <w:rFonts w:cs="Arial" w:hAnsi="Arial" w:ascii="Arial"/>
        </w:rPr>
      </w:pPr>
    </w:p>
    <w:p w:rsidRDefault="00FE4C8C" w:rsidR="003851F8">
      <w:pPr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FE4C8C" w:rsidR="003851F8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FE4C8C" w:rsidR="003851F8">
      <w:pPr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3851F8" w:rsidR="003851F8">
      <w:pPr>
        <w:rPr>
          <w:rFonts w:cs="Arial" w:hAnsi="Arial" w:ascii="Arial"/>
        </w:rPr>
      </w:pPr>
    </w:p>
    <w:p w:rsidRDefault="00FE4C8C" w:rsidR="003851F8">
      <w:pPr>
        <w:rPr>
          <w:rFonts w:cs="Arial" w:hAnsi="Arial" w:ascii="Arial"/>
        </w:rPr>
      </w:pPr>
      <w:r>
        <w:rPr>
          <w:rFonts w:cs="Arial" w:hAnsi="Arial" w:ascii="Arial"/>
        </w:rPr>
        <w:t>Poslovni broj spisa: 7 St – 4710/16</w:t>
      </w:r>
    </w:p>
    <w:p w:rsidRDefault="00FE4C8C" w:rsidR="003851F8">
      <w:pPr>
        <w:rPr>
          <w:rFonts w:cs="Arial" w:hAnsi="Arial" w:ascii="Arial"/>
        </w:rPr>
      </w:pPr>
      <w:r>
        <w:rPr>
          <w:rFonts w:cs="Arial" w:hAnsi="Arial" w:ascii="Arial"/>
        </w:rPr>
        <w:t>Dužnik: LATUS CENTAR  d.o.o. u stečaju</w:t>
      </w:r>
    </w:p>
    <w:p w:rsidRDefault="00FE4C8C" w:rsidR="003851F8">
      <w:pPr>
        <w:rPr>
          <w:rFonts w:cs="Arial" w:hAnsi="Arial" w:ascii="Arial"/>
        </w:rPr>
      </w:pPr>
      <w:r>
        <w:rPr>
          <w:rFonts w:cs="Arial" w:hAnsi="Arial" w:ascii="Arial"/>
        </w:rPr>
        <w:t>OIB: 66751174658</w:t>
      </w:r>
    </w:p>
    <w:p w:rsidRDefault="00FE4C8C" w:rsidR="003851F8">
      <w:pPr>
        <w:rPr>
          <w:rFonts w:cs="Arial" w:hAnsi="Arial" w:ascii="Arial"/>
        </w:rPr>
      </w:pPr>
      <w:r>
        <w:rPr>
          <w:rFonts w:cs="Arial" w:hAnsi="Arial" w:ascii="Arial"/>
        </w:rPr>
        <w:t>Adresa/Sjedište: Zagreb, I. Vidovčica 21</w:t>
      </w:r>
    </w:p>
    <w:p w:rsidRDefault="003851F8" w:rsidR="003851F8">
      <w:pPr>
        <w:rPr>
          <w:rFonts w:cs="Arial" w:hAnsi="Arial" w:ascii="Arial"/>
        </w:rPr>
      </w:pPr>
    </w:p>
    <w:p w:rsidRDefault="00FE4C8C" w:rsidR="003851F8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>
        <w:rPr>
          <w:rFonts w:cs="Arial" w:hAnsi="Arial" w:ascii="Arial"/>
        </w:rPr>
        <w:t>TIJEK STEČAJNOG POSTUPKA U RAZDOBLJU OD 26.10.2017. g. DO 26.01. 2018.g.</w:t>
      </w:r>
    </w:p>
    <w:p w:rsidRDefault="003851F8" w:rsidR="003851F8">
      <w:pPr>
        <w:pStyle w:val="Odlomakpopisa"/>
        <w:ind w:left="1080"/>
        <w:rPr>
          <w:rFonts w:cs="Arial" w:hAnsi="Arial" w:ascii="Arial"/>
        </w:rPr>
      </w:pPr>
    </w:p>
    <w:p w:rsidRDefault="00FE4C8C" w:rsidR="003851F8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Ispitno i izvještajno ročište održano je 26. travnja 2017. godine. U navedenom razdoblju nije bilo potrebno prikupljati stečajnu masu jer je ona prikupljena i registrirana do ispitnog i izvještajnog ročišta.  Stečajni dužnik LATUS CENTAR d.o.o. u stečaju bavio se uzgojem cvijeća, ukrasnog bilja i sadnog materijala. Posao se sastojao od uređenja okućnica, prilaz objektima itd. Vezano uz takav rad stečajna masa sastoji se od nekretnina – oranica i pokretnina koje su u lošem stanju, knjigovodstvene vrijednosti 0,00 kn, te je upitna njihova tržišna vrijednost ili je neznatna. Postupke pred sudovima i drugim tijelima stečajni dužnik nema. Poslovanje stečajnog dužnika obustavljeno je i prije otvaranja stečajnog postupka, tako da ne postoje zaposlenici koji bi nastavili s radom. Stečajni postupak moći će se zaključiti nakon pokušaja prodaje nekretnina i pokretnina.</w:t>
      </w:r>
    </w:p>
    <w:p w:rsidRDefault="00FE4C8C" w:rsidR="003851F8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U navedenom razdoblju stečajni upravitelj poduzeo je slijedeće radnje: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Odlukom skupštine vjerovnika s izvještajnog ročišta održanog 26. travnja 2017. godine, stečajni upravitelj predložio je prodaju nekretnina 04. rujna 2017. godine. U prijedlogu za prodaju nekretnina stečajnog dužnika stečajni upravitelj dostavio je procjene tržišne vrijednosti nekretnina (oranica), koje je prethodno dostavio razlučni vjerovnik Hrvatska banka za obnovu i razvitak (HABOR).</w:t>
      </w:r>
    </w:p>
    <w:p w:rsidRDefault="003851F8" w:rsidR="003851F8">
      <w:pPr>
        <w:jc w:val="both"/>
        <w:rPr>
          <w:rFonts w:cs="Arial" w:hAnsi="Arial" w:ascii="Arial"/>
        </w:rPr>
      </w:pPr>
    </w:p>
    <w:p w:rsidRDefault="00FE4C8C" w:rsidR="003851F8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</w:t>
      </w:r>
    </w:p>
    <w:p w:rsidRDefault="003851F8" w:rsidR="003851F8">
      <w:pPr>
        <w:jc w:val="both"/>
        <w:rPr>
          <w:rFonts w:cs="Arial" w:hAnsi="Arial" w:ascii="Arial"/>
        </w:rPr>
      </w:pPr>
    </w:p>
    <w:p w:rsidRDefault="00FE4C8C" w:rsidR="003851F8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Sustavan pregled predmeta stečajne mase: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stečajnog dužnika sastoji se od nekretnina – oranica i pokretnina za koje je na ročištu vjerovnika s izvještajnog ročišta održanog 26.04.2017. godine dana suglasnost stečajnom upravitelju za prodaju pokretne stečajne mase stečajnog dužnika slobodnom pogodbom bez najniže početne cijene.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Nekretnine:</w:t>
      </w:r>
    </w:p>
    <w:p w:rsidRDefault="00FE4C8C" w:rsidR="003851F8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k.č.br. 1539/116, oranica Kirišćak u Hrebini sa 1580 čhv, zk.ul.br. 5063, k.o. Pušća, zemljišnoknjižni odjel Zaprešić kod općinskog suda u Novom Zagrebu,</w:t>
      </w:r>
    </w:p>
    <w:p w:rsidRDefault="00FE4C8C" w:rsidR="003851F8">
      <w:pPr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1715/95, oranica u Vinogradini sa 5755 čm, zk.ul.br. 1639, k.o. Badljevina, zemljišnoknjižni odjel Pakrac kod Općinskog suda u Daruvaru, Stalne službe u Pakracu,</w:t>
      </w:r>
    </w:p>
    <w:p w:rsidRDefault="00FE4C8C" w:rsidR="003851F8">
      <w:pPr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1715/91, oranica u Rastju sa 8416 čm, zk.ul. 1365, k.o. Badljevina, zemljišnoknjižni odjel Pakrac kod Općinskog suda u Daruvaru, Stalne službe u Pakracu,</w:t>
      </w:r>
    </w:p>
    <w:p w:rsidRDefault="00FE4C8C" w:rsidR="003851F8">
      <w:pPr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1711/5 oranica Vinogradina sa 12229 čm, upisana u zk.ul.br. 1833 k.o. Badljevina, u zemljišnim knjigama Općinskog suda u Daruvaru, zemljišnoknjižni odjel Pakrac,</w:t>
      </w:r>
    </w:p>
    <w:p w:rsidRDefault="00FE4C8C" w:rsidR="003851F8">
      <w:pPr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Suvlasnički dio: 7/16, k.č.br. 703/1 oranica Škalinka sa 2945 m2 i k.č.br.703/2 oranica Škalinka 8 m2, ukupno 2953 m2 upisana u zk. uložak br. 523 k.o. Zaprešić,</w:t>
      </w:r>
    </w:p>
    <w:p w:rsidRDefault="00FE4C8C" w:rsidR="003851F8">
      <w:pPr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1711/1 oranica sa 3190 m2, k.č.br. 1711/2 oranica u Vinogradini sa 5611 m2, k.č.br.1711/4 oranica Vinogradina sa 5028 m2, k.č.br. 1711/6 oranica u Vinogradini sa 4906 m2, k.č.br. 1715/50 oranica Vinogradina sa 6104 m2, k.č.br. 1715/81 oranica u Vinogradini sa 1021 m2, k.č.br. 1715/82 oranica u Vinogradini sa 1025 m2, k.č.br. 1715/83 oranica u Slatini sa 1021 m2, k.č.br. 1715/110 oranica u Vinogradini sa 3913 m2, k.č.br. 1715/111 oranica u Selu sa 3363 m2, k.č.br. 1715/118 oranica u Vinogradini sa 5539 m2, sve nabrojano u ukupnoj površini od 40721 m2, zk. uložak br. 1705, k.o. Badljevina, zemljišnoknjižni odjel Pakrac,</w:t>
      </w:r>
    </w:p>
    <w:p w:rsidRDefault="00FE4C8C" w:rsidR="003851F8">
      <w:pPr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479/1 oranica Veliki rit u Rašću sa 6783 m2 i k.č.br. 479/2 oranica Veliki rit u Rašću sa 13426 m2, ukupno 20209 m2, zk. uložak br.1147, k.o. Badljevina, zemljišnoknjižni odjel Pakrac.</w:t>
      </w:r>
    </w:p>
    <w:p w:rsidRDefault="00FE4C8C" w:rsidR="003851F8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Koji su predmeti stečajne mase unovčeni i u kojem iznosu: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Do sada niti jedan predmet nije unovčen.</w:t>
      </w:r>
    </w:p>
    <w:p w:rsidRDefault="00FE4C8C" w:rsidR="003851F8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Koji predmeti stečajne mase nisu unovčeni i zbog kojeg razloga: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Predmeti stečajne mase nisu unovčeni jer je stečajni upravitelj u navedenom razdoblju tek podnio prijedlog za prodaju nekretnina na kojima postoji razlučno pravo i za ostale nekretnine na kojima ne postoji razlučno pravo.</w:t>
      </w:r>
    </w:p>
    <w:p w:rsidRDefault="00FE4C8C" w:rsidR="003851F8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Kako je ostvareno razlučno pravo: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Razlučno pravo ostvareno je upisom u zemljišnom knjigama.</w:t>
      </w:r>
    </w:p>
    <w:p w:rsidRDefault="00FE4C8C" w:rsidR="003851F8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Kako je ostvareno izlučno pravo, ako postoji: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Izlučno pravo ne postoji.</w:t>
      </w:r>
    </w:p>
    <w:p w:rsidRDefault="00FE4C8C" w:rsidR="003851F8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Podatak o vjerovnicima stečajne mase i njihovom namirenju: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Vjerovnici stečajne mase za sada još nisu namireni.</w:t>
      </w:r>
    </w:p>
    <w:p w:rsidRDefault="00FE4C8C" w:rsidR="003851F8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Podatak o isplatama plaća radnika ako su nastavili s radom nakon otvaranja stečajnog postupka: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Već prije otvaranja stečajnog postupka nije bilo zaposlenih radnika, tako da nije nitko nastavio s radom nakon otvaranja istog.  </w:t>
      </w:r>
    </w:p>
    <w:p w:rsidRDefault="00FE4C8C" w:rsidR="003851F8">
      <w:pPr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Podatak o namirenju stečajnih vjerovnika (diobe):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vjerovnici do sada nisu namireni – nije bilo diobe.</w:t>
      </w:r>
    </w:p>
    <w:p w:rsidRDefault="003851F8" w:rsidR="003851F8">
      <w:pPr>
        <w:jc w:val="both"/>
        <w:rPr>
          <w:rFonts w:cs="Arial" w:hAnsi="Arial" w:ascii="Arial"/>
        </w:rPr>
      </w:pPr>
    </w:p>
    <w:p w:rsidRDefault="003851F8" w:rsidR="003851F8">
      <w:pPr>
        <w:jc w:val="both"/>
        <w:rPr>
          <w:rFonts w:cs="Arial" w:hAnsi="Arial" w:ascii="Arial"/>
        </w:rPr>
      </w:pPr>
    </w:p>
    <w:p w:rsidRDefault="00FE4C8C" w:rsidR="003851F8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RADNJE KOJE ĆE SE PODUZETI U NAREDNOM RAZDOBLJU</w:t>
      </w:r>
    </w:p>
    <w:p w:rsidRDefault="003851F8" w:rsidR="003851F8">
      <w:pPr>
        <w:jc w:val="both"/>
        <w:rPr>
          <w:rFonts w:cs="Arial" w:hAnsi="Arial" w:ascii="Arial"/>
        </w:rPr>
      </w:pP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narednom razdoblju od 26.01.2018. godine do 26.04.2018. godine stečajni upravitelj poduzet će slijedeće radnje:</w:t>
      </w:r>
    </w:p>
    <w:p w:rsidRDefault="00FE4C8C" w:rsidR="003851F8">
      <w:pPr>
        <w:pStyle w:val="Odlomakpopisa"/>
        <w:numPr>
          <w:ilvl w:val="0"/>
          <w:numId w:val="7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Nastaviti s prodajom pokretnina u skladu s danom suglasnosti na ročištu vjerovnika – izvještajnom ročištu,</w:t>
      </w:r>
    </w:p>
    <w:p w:rsidRDefault="00FE4C8C" w:rsidR="003851F8">
      <w:pPr>
        <w:pStyle w:val="Odlomakpopisa"/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U prethodnom razdoblju stečajni upravitelj dao je prijedlog za prodaju nekretnina na kojima postoji razlučno pravo i nekretnina na kojima ne postoji razlučno pravo, te se čeka rješenje o prodaji i zaključak o prodaji.</w:t>
      </w:r>
    </w:p>
    <w:p w:rsidRDefault="003851F8" w:rsidR="003851F8">
      <w:pPr>
        <w:jc w:val="both"/>
        <w:rPr>
          <w:rFonts w:cs="Arial" w:hAnsi="Arial" w:ascii="Arial"/>
        </w:rPr>
      </w:pPr>
    </w:p>
    <w:p w:rsidRDefault="003851F8" w:rsidR="003851F8">
      <w:pPr>
        <w:jc w:val="both"/>
        <w:rPr>
          <w:rFonts w:cs="Arial" w:hAnsi="Arial" w:ascii="Arial"/>
        </w:rPr>
      </w:pP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26. siječanj 2018. godine                                                          </w:t>
      </w:r>
    </w:p>
    <w:p w:rsidRDefault="003851F8" w:rsidR="003851F8">
      <w:pPr>
        <w:jc w:val="both"/>
        <w:rPr>
          <w:rFonts w:cs="Arial" w:hAnsi="Arial" w:ascii="Arial"/>
        </w:rPr>
      </w:pP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Stečajni upravitelj</w:t>
      </w:r>
    </w:p>
    <w:p w:rsidRDefault="00FE4C8C" w:rsidR="003851F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Ivica Boltužić</w:t>
      </w:r>
    </w:p>
    <w:p w:rsidRDefault="003851F8" w:rsidR="003851F8"/>
    <w:sectPr w:rsidR="003851F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C8C" w:rsidR="000A1EB4">
      <w:pPr>
        <w:spacing w:after="0"/>
      </w:pPr>
      <w:r>
        <w:separator/>
      </w:r>
    </w:p>
  </w:endnote>
  <w:endnote w:id="0" w:type="continuationSeparator">
    <w:p w:rsidRDefault="00FE4C8C" w:rsidR="000A1E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C8C" w:rsidR="00BA2F0D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7D2FD1">
      <w:rPr>
        <w:noProof/>
      </w:rPr>
      <w:t>1</w:t>
    </w:r>
    <w:r>
      <w:fldChar w:fldCharType="end"/>
    </w:r>
  </w:p>
  <w:p w:rsidRDefault="007D2FD1" w:rsidR="00BA2F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C8C" w:rsidR="000A1EB4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FE4C8C" w:rsidR="000A1EB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FD1" w:rsidR="00BA2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35D1E"/>
    <w:multiLevelType w:val="multilevel"/>
    <w:tmpl w:val="24E01F02"/>
    <w:lvl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34B07AE8"/>
    <w:multiLevelType w:val="multilevel"/>
    <w:tmpl w:val="AD982BC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9804F0"/>
    <w:multiLevelType w:val="multilevel"/>
    <w:tmpl w:val="27F8BD9A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9A1278"/>
    <w:multiLevelType w:val="multilevel"/>
    <w:tmpl w:val="6DB4F38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1"/>
  </w:num>
  <w:num w:numId="7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3851F8"/>
    <w:rsid w:val="000A1EB4"/>
    <w:rsid w:val="003851F8"/>
    <w:rsid w:val="007D2FD1"/>
    <w:rsid w:val="00FE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D2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FD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FD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FD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D2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FD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FD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FD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St-4710/2016-43</izvorni_sadrzaj>
    <derivirana_varijabla naziv="DomainObject.Oznaka_1">St-4710/2016-43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izvorni_sadrzaj>
    <derivirana_varijabla naziv="DomainObject.Predmet.OstaliListFormated_1"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derivirana_varijabla>
  </DomainObject.Predmet.OstaliListFormated>
  <DomainObject.Predmet.OstaliListFormatedOIB>
    <izvorni_sadrzaj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izvorni_sadrzaj>
    <derivirana_varijabla naziv="DomainObject.Predmet.OstaliListFormatedOIB_1"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derivirana_varijabla>
  </DomainObject.Predmet.OstaliListFormatedOIB>
  <DomainObject.Predmet.OstaliListFormatedWithAdress>
    <izvorni_sadrzaj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izvorni_sadrzaj>
    <derivirana_varijabla naziv="DomainObject.Predmet.OstaliListFormatedWithAdress_1"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derivirana_varijabla>
  </DomainObject.Predmet.OstaliListFormatedWithAdress>
  <DomainObject.Predmet.OstaliListFormatedWithAdressOIB>
    <izvorni_sadrzaj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izvorni_sadrzaj>
    <derivirana_varijabla naziv="DomainObject.Predmet.OstaliListFormatedWithAdressOIB_1"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derivirana_varijabla>
  </DomainObject.Predmet.OstaliListFormatedWithAdressOIB>
  <DomainObject.Predmet.OstaliListNazivFormated>
    <izvorni_sadrzaj>
      <item>Tatjana Seleši</item>
      <item>HRVATSKA BANKA ZA OBNOVU I RAZVITAK</item>
      <item>Županijsko državno odvjetništvo u Zagrebu, GUO</item>
      <item>Ivica Boltužić</item>
    </izvorni_sadrzaj>
    <derivirana_varijabla naziv="DomainObject.Predmet.OstaliListNazivFormated_1">
      <item>Tatjana Seleši</item>
      <item>HRVATSKA BANKA ZA OBNOVU I RAZVITAK</item>
      <item>Županijsko državno odvjetništvo u Zagrebu, GUO</item>
      <item>Ivica Boltužić</item>
    </derivirana_varijabla>
  </DomainObject.Predmet.OstaliListNazivFormated>
  <DomainObject.Predmet.OstaliListNazivFormatedOIB>
    <izvorni_sadrzaj>
      <item>Tatjana Seleši, OIB 67479226571</item>
      <item>HRVATSKA BANKA ZA OBNOVU I RAZVITAK, OIB 26702280390</item>
      <item>Županijsko državno odvjetništvo u Zagrebu, GUO</item>
      <item>Ivica Boltužić, OIB 24281705494</item>
    </izvorni_sadrzaj>
    <derivirana_varijabla naziv="DomainObject.Predmet.OstaliListNazivFormatedOIB_1">
      <item>Tatjana Seleši, OIB 67479226571</item>
      <item>HRVATSKA BANKA ZA OBNOVU I RAZVITAK, OIB 26702280390</item>
      <item>Županijsko državno odvjetništvo u Zagrebu, GUO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izvorni_sadrzaj>
    <derivirana_varijabla naziv="DomainObject.Predmet.SudioniciListNazivOIB_1"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4529</properties:Characters>
  <properties:Lines>100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2018-01-29T11:49:00Z</dcterms:created>
  <dc:creator>Ivica Boltužić</dc:creator>
  <cp:lastModifiedBy>Monika Grbac</cp:lastModifiedBy>
  <cp:lastPrinted>2018-01-26T08:04:00Z</cp:lastPrinted>
  <dcterms:modified xmlns:xsi="http://www.w3.org/2001/XMLSchema-instance" xsi:type="dcterms:W3CDTF">2018-01-29T11:54:00Z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St-4710/2016-43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