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fbe1d" w14:paraId="5dfbe1d"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1D2707" w:rsidP="001D2707" w:rsidR="001D2707" w:rsidRPr="001D2707">
      <w:pPr>
        <w:spacing w:after="0"/>
        <w:jc w:val="right"/>
        <w:rPr>
          <w:rFonts w:cs="Times New Roman" w:eastAsia="Times New Roman"/>
          <w:lang w:eastAsia="hr-HR"/>
        </w:rPr>
      </w:pPr>
      <w:r w:rsidRPr="001D2707">
        <w:rPr>
          <w:rFonts w:cs="Times New Roman" w:eastAsia="Times New Roman"/>
          <w:lang w:eastAsia="hr-HR"/>
        </w:rPr>
        <w:t>Poslovni broj 3. St-772/2016-26</w:t>
      </w:r>
    </w:p>
    <w:p w:rsidRDefault="001D2707" w:rsidP="001D2707" w:rsidR="001D2707" w:rsidRPr="001D2707">
      <w:pPr>
        <w:spacing w:after="0"/>
        <w:jc w:val="center"/>
        <w:rPr>
          <w:rFonts w:cs="Times New Roman" w:eastAsia="Times New Roman"/>
          <w:lang w:eastAsia="hr-HR"/>
        </w:rPr>
      </w:pPr>
    </w:p>
    <w:p w:rsidRDefault="001D2707" w:rsidP="001D2707" w:rsidR="001D2707" w:rsidRPr="001D2707">
      <w:pPr>
        <w:spacing w:after="0"/>
        <w:ind w:firstLine="708"/>
        <w:rPr>
          <w:rFonts w:cs="Times New Roman" w:eastAsia="Times New Roman"/>
          <w:lang w:eastAsia="hr-HR"/>
        </w:rPr>
      </w:pPr>
    </w:p>
    <w:p w:rsidRDefault="001D2707" w:rsidP="001D2707" w:rsidR="001D2707" w:rsidRPr="001D2707">
      <w:pPr>
        <w:spacing w:after="0"/>
        <w:ind w:firstLine="708"/>
        <w:rPr>
          <w:rFonts w:cs="Times New Roman" w:eastAsia="Times New Roman"/>
          <w:lang w:eastAsia="hr-HR"/>
        </w:rPr>
      </w:pPr>
    </w:p>
    <w:p w:rsidRDefault="001D2707" w:rsidP="001D2707" w:rsidR="001D2707" w:rsidRPr="001D2707">
      <w:pPr>
        <w:spacing w:after="0"/>
        <w:ind w:firstLine="708"/>
        <w:rPr>
          <w:rFonts w:cs="Times New Roman" w:eastAsia="Times New Roman"/>
          <w:lang w:eastAsia="hr-HR"/>
        </w:rPr>
      </w:pPr>
      <w:r w:rsidRPr="001D2707">
        <w:rPr>
          <w:rFonts w:cs="Times New Roman" w:eastAsia="Times New Roman"/>
          <w:lang w:eastAsia="hr-HR"/>
        </w:rPr>
        <w:t>REPUBLIKA HRVATSKA</w:t>
      </w:r>
    </w:p>
    <w:p w:rsidRDefault="001D2707" w:rsidP="001D2707" w:rsidR="001D2707" w:rsidRPr="001D2707">
      <w:pPr>
        <w:spacing w:after="0"/>
        <w:ind w:firstLine="708"/>
        <w:rPr>
          <w:rFonts w:cs="Times New Roman" w:eastAsia="Times New Roman"/>
          <w:lang w:eastAsia="hr-HR"/>
        </w:rPr>
      </w:pPr>
      <w:r w:rsidRPr="001D2707">
        <w:rPr>
          <w:rFonts w:cs="Times New Roman" w:eastAsia="Times New Roman"/>
          <w:lang w:eastAsia="hr-HR"/>
        </w:rPr>
        <w:t>TRGOVAČKI SUD U ZADRU</w:t>
      </w:r>
    </w:p>
    <w:p w:rsidRDefault="001D2707" w:rsidP="001D2707" w:rsidR="001D2707" w:rsidRPr="001D2707">
      <w:pPr>
        <w:spacing w:after="0"/>
        <w:ind w:firstLine="708"/>
        <w:rPr>
          <w:rFonts w:cs="Times New Roman" w:eastAsia="Times New Roman"/>
          <w:lang w:eastAsia="hr-HR"/>
        </w:rPr>
      </w:pPr>
      <w:r w:rsidRPr="001D2707">
        <w:rPr>
          <w:rFonts w:cs="Times New Roman" w:eastAsia="Times New Roman"/>
          <w:lang w:eastAsia="hr-HR"/>
        </w:rPr>
        <w:t>Zadar, Dr. Franje Tuđmana 35</w:t>
      </w:r>
    </w:p>
    <w:p w:rsidRDefault="001D2707" w:rsidP="001D2707" w:rsidR="001D2707" w:rsidRPr="001D2707">
      <w:pPr>
        <w:spacing w:after="0"/>
        <w:ind w:firstLine="708"/>
        <w:rPr>
          <w:rFonts w:cs="Times New Roman" w:eastAsia="Times New Roman"/>
          <w:lang w:eastAsia="hr-HR"/>
        </w:rPr>
      </w:pPr>
    </w:p>
    <w:p w:rsidRDefault="001D2707" w:rsidP="001D2707" w:rsidR="001D2707" w:rsidRPr="001D2707">
      <w:pPr>
        <w:spacing w:after="0"/>
        <w:jc w:val="center"/>
        <w:rPr>
          <w:rFonts w:cs="Times New Roman" w:eastAsia="Times New Roman"/>
          <w:lang w:eastAsia="hr-HR"/>
        </w:rPr>
      </w:pPr>
    </w:p>
    <w:p w:rsidRDefault="001D2707" w:rsidP="001D2707" w:rsidR="001D2707" w:rsidRPr="001D2707">
      <w:pPr>
        <w:spacing w:after="0"/>
        <w:jc w:val="center"/>
        <w:rPr>
          <w:rFonts w:cs="Times New Roman" w:eastAsia="Times New Roman"/>
          <w:lang w:eastAsia="hr-HR"/>
        </w:rPr>
      </w:pPr>
      <w:r w:rsidRPr="001D2707">
        <w:rPr>
          <w:rFonts w:cs="Times New Roman" w:eastAsia="Times New Roman"/>
          <w:lang w:eastAsia="hr-HR"/>
        </w:rPr>
        <w:t>R E P U B L I K A  H R V A T S K A</w:t>
      </w:r>
    </w:p>
    <w:p w:rsidRDefault="001D2707" w:rsidP="001D2707" w:rsidR="001D2707" w:rsidRPr="001D2707">
      <w:pPr>
        <w:spacing w:after="0"/>
        <w:jc w:val="both"/>
        <w:rPr>
          <w:rFonts w:cs="Times New Roman" w:eastAsia="Times New Roman"/>
          <w:lang w:eastAsia="hr-HR"/>
        </w:rPr>
      </w:pPr>
    </w:p>
    <w:p w:rsidRDefault="001D2707" w:rsidP="001D2707" w:rsidR="001D2707" w:rsidRPr="001D2707">
      <w:pPr>
        <w:spacing w:after="0"/>
        <w:jc w:val="center"/>
        <w:rPr>
          <w:rFonts w:cs="Times New Roman" w:eastAsia="Times New Roman"/>
          <w:lang w:eastAsia="hr-HR"/>
        </w:rPr>
      </w:pPr>
      <w:r w:rsidRPr="001D2707">
        <w:rPr>
          <w:rFonts w:cs="Times New Roman" w:eastAsia="Times New Roman"/>
          <w:lang w:eastAsia="hr-HR"/>
        </w:rPr>
        <w:t>R J E Š E NJ E</w:t>
      </w:r>
    </w:p>
    <w:p w:rsidRDefault="001D2707" w:rsidP="001D2707" w:rsidR="001D2707" w:rsidRPr="001D2707">
      <w:pPr>
        <w:spacing w:after="0"/>
        <w:rPr>
          <w:rFonts w:cs="Times New Roman" w:eastAsia="Calibri"/>
        </w:rPr>
      </w:pPr>
    </w:p>
    <w:p w:rsidRDefault="001D2707" w:rsidP="001D2707" w:rsidR="001D2707" w:rsidRPr="001D2707">
      <w:pPr>
        <w:spacing w:after="0"/>
        <w:ind w:firstLine="708"/>
        <w:jc w:val="both"/>
        <w:rPr>
          <w:rFonts w:cs="Times New Roman" w:eastAsia="Calibri"/>
        </w:rPr>
      </w:pPr>
      <w:r w:rsidRPr="001D2707">
        <w:rPr>
          <w:rFonts w:cs="Times New Roman" w:eastAsia="Calibri"/>
        </w:rPr>
        <w:t xml:space="preserve">Trgovački sud u Zadru, OIB: 39670464653, po sutkinji Tini Grgas, u stečajnom postupku nad stečajnim dužnikom DALMACIJA-PROJEKT d.o.o. u stečaju sa sjedištem u </w:t>
      </w:r>
      <w:proofErr w:type="spellStart"/>
      <w:r w:rsidRPr="001D2707">
        <w:rPr>
          <w:rFonts w:cs="Times New Roman" w:eastAsia="Calibri"/>
        </w:rPr>
        <w:t>Pakoštanima</w:t>
      </w:r>
      <w:proofErr w:type="spellEnd"/>
      <w:r w:rsidRPr="001D2707">
        <w:rPr>
          <w:rFonts w:cs="Times New Roman" w:eastAsia="Calibri"/>
        </w:rPr>
        <w:t xml:space="preserve"> (Općina </w:t>
      </w:r>
      <w:proofErr w:type="spellStart"/>
      <w:r w:rsidRPr="001D2707">
        <w:rPr>
          <w:rFonts w:cs="Times New Roman" w:eastAsia="Calibri"/>
        </w:rPr>
        <w:t>Pakoštane</w:t>
      </w:r>
      <w:proofErr w:type="spellEnd"/>
      <w:r w:rsidRPr="001D2707">
        <w:rPr>
          <w:rFonts w:cs="Times New Roman" w:eastAsia="Calibri"/>
        </w:rPr>
        <w:t xml:space="preserve">), Prološka 15, OIB: 93426396839, zastupanom po stečajnoj upraviteljici Editi </w:t>
      </w:r>
      <w:proofErr w:type="spellStart"/>
      <w:r w:rsidRPr="001D2707">
        <w:rPr>
          <w:rFonts w:cs="Times New Roman" w:eastAsia="Calibri"/>
        </w:rPr>
        <w:t>Đurkin</w:t>
      </w:r>
      <w:proofErr w:type="spellEnd"/>
      <w:r w:rsidRPr="001D2707">
        <w:rPr>
          <w:rFonts w:cs="Times New Roman" w:eastAsia="Calibri"/>
        </w:rPr>
        <w:t xml:space="preserve"> iz Osijeka, </w:t>
      </w:r>
      <w:proofErr w:type="spellStart"/>
      <w:r w:rsidRPr="001D2707">
        <w:rPr>
          <w:rFonts w:cs="Times New Roman" w:eastAsia="Calibri"/>
        </w:rPr>
        <w:t>Donjodravska</w:t>
      </w:r>
      <w:proofErr w:type="spellEnd"/>
      <w:r w:rsidRPr="001D2707">
        <w:rPr>
          <w:rFonts w:cs="Times New Roman" w:eastAsia="Calibri"/>
        </w:rPr>
        <w:t xml:space="preserve"> obala 16, OIB: 65118926772, odlučujući o zahtjevu stečajne upraviteljice od 3. svibnja 2017. za određivanje nagrade za rad za obavljene poslove u stečajnom postupku, 4. svibnja 2017. </w:t>
      </w:r>
    </w:p>
    <w:p w:rsidRDefault="001D2707" w:rsidP="001D2707" w:rsidR="001D2707" w:rsidRPr="001D2707">
      <w:pPr>
        <w:spacing w:after="0"/>
        <w:jc w:val="both"/>
        <w:rPr>
          <w:rFonts w:cs="Times New Roman" w:eastAsia="Calibri"/>
        </w:rPr>
      </w:pPr>
    </w:p>
    <w:p w:rsidRDefault="001D2707" w:rsidP="001D2707" w:rsidR="001D2707" w:rsidRPr="001D2707">
      <w:pPr>
        <w:spacing w:after="0"/>
        <w:jc w:val="center"/>
        <w:rPr>
          <w:rFonts w:cs="Times New Roman" w:eastAsia="Times New Roman"/>
          <w:lang w:eastAsia="hr-HR"/>
        </w:rPr>
      </w:pPr>
      <w:r w:rsidRPr="001D2707">
        <w:rPr>
          <w:rFonts w:cs="Times New Roman" w:eastAsia="Times New Roman"/>
          <w:lang w:eastAsia="hr-HR"/>
        </w:rPr>
        <w:t>r i j e š i o  j e</w:t>
      </w:r>
    </w:p>
    <w:p w:rsidRDefault="001D2707" w:rsidP="001D2707" w:rsidR="001D2707" w:rsidRPr="001D2707">
      <w:pPr>
        <w:spacing w:after="0"/>
        <w:jc w:val="center"/>
        <w:rPr>
          <w:rFonts w:cs="Times New Roman" w:eastAsia="Times New Roman"/>
          <w:lang w:eastAsia="hr-HR"/>
        </w:rPr>
      </w:pPr>
    </w:p>
    <w:p w:rsidRDefault="001D2707" w:rsidP="001D2707" w:rsidR="001D2707" w:rsidRPr="001D2707">
      <w:pPr>
        <w:spacing w:after="200"/>
        <w:ind w:firstLine="705"/>
        <w:jc w:val="both"/>
        <w:rPr>
          <w:rFonts w:cs="Times New Roman" w:eastAsia="Times New Roman"/>
          <w:lang w:eastAsia="hr-HR"/>
        </w:rPr>
      </w:pPr>
      <w:r w:rsidRPr="001D2707">
        <w:rPr>
          <w:rFonts w:cs="Times New Roman" w:eastAsia="Times New Roman"/>
          <w:lang w:eastAsia="hr-HR"/>
        </w:rPr>
        <w:t xml:space="preserve">I. Editi </w:t>
      </w:r>
      <w:proofErr w:type="spellStart"/>
      <w:r w:rsidRPr="001D2707">
        <w:rPr>
          <w:rFonts w:cs="Times New Roman" w:eastAsia="Times New Roman"/>
          <w:lang w:eastAsia="hr-HR"/>
        </w:rPr>
        <w:t>Đurkin</w:t>
      </w:r>
      <w:proofErr w:type="spellEnd"/>
      <w:r w:rsidRPr="001D2707">
        <w:rPr>
          <w:rFonts w:cs="Times New Roman" w:eastAsia="Times New Roman"/>
          <w:lang w:eastAsia="hr-HR"/>
        </w:rPr>
        <w:t xml:space="preserve"> iz Osijeka, </w:t>
      </w:r>
      <w:proofErr w:type="spellStart"/>
      <w:r w:rsidRPr="001D2707">
        <w:rPr>
          <w:rFonts w:cs="Times New Roman" w:eastAsia="Calibri"/>
        </w:rPr>
        <w:t>Donjodravska</w:t>
      </w:r>
      <w:proofErr w:type="spellEnd"/>
      <w:r w:rsidRPr="001D2707">
        <w:rPr>
          <w:rFonts w:cs="Times New Roman" w:eastAsia="Calibri"/>
        </w:rPr>
        <w:t xml:space="preserve"> obala 16, OIB: 65118926772, stečajnoj upraviteljici uvodno označenog stečajnog dužnika, određuje se </w:t>
      </w:r>
      <w:r w:rsidRPr="001D2707">
        <w:rPr>
          <w:rFonts w:cs="Times New Roman" w:eastAsia="Times New Roman"/>
          <w:lang w:eastAsia="hr-HR"/>
        </w:rPr>
        <w:t>nagrada za rad za poslove obavljene u predmetnom stečajnom postupku u bruto iznosu od 40.240,00 kn (</w:t>
      </w:r>
      <w:proofErr w:type="spellStart"/>
      <w:r w:rsidRPr="001D2707">
        <w:rPr>
          <w:rFonts w:cs="Times New Roman" w:eastAsia="Times New Roman"/>
          <w:lang w:eastAsia="hr-HR"/>
        </w:rPr>
        <w:t>četrdesettisućadvjestočetrdeset</w:t>
      </w:r>
      <w:proofErr w:type="spellEnd"/>
      <w:r w:rsidRPr="001D2707">
        <w:rPr>
          <w:rFonts w:cs="Times New Roman" w:eastAsia="Times New Roman"/>
          <w:lang w:eastAsia="hr-HR"/>
        </w:rPr>
        <w:t xml:space="preserve"> kuna). </w:t>
      </w:r>
    </w:p>
    <w:p w:rsidRDefault="001D2707" w:rsidP="001D2707" w:rsidR="001D2707" w:rsidRPr="001D2707">
      <w:pPr>
        <w:spacing w:after="200"/>
        <w:ind w:firstLine="705"/>
        <w:jc w:val="both"/>
        <w:rPr>
          <w:rFonts w:cs="Times New Roman" w:eastAsia="Times New Roman"/>
          <w:lang w:eastAsia="hr-HR"/>
        </w:rPr>
      </w:pPr>
      <w:r w:rsidRPr="001D2707">
        <w:rPr>
          <w:rFonts w:cs="Times New Roman" w:eastAsia="Times New Roman"/>
          <w:lang w:eastAsia="hr-HR"/>
        </w:rPr>
        <w:t xml:space="preserve">II. Editi </w:t>
      </w:r>
      <w:proofErr w:type="spellStart"/>
      <w:r w:rsidRPr="001D2707">
        <w:rPr>
          <w:rFonts w:cs="Times New Roman" w:eastAsia="Times New Roman"/>
          <w:lang w:eastAsia="hr-HR"/>
        </w:rPr>
        <w:t>Đurkin</w:t>
      </w:r>
      <w:proofErr w:type="spellEnd"/>
      <w:r w:rsidRPr="001D2707">
        <w:rPr>
          <w:rFonts w:cs="Times New Roman" w:eastAsia="Times New Roman"/>
          <w:lang w:eastAsia="hr-HR"/>
        </w:rPr>
        <w:t xml:space="preserve"> iz Osijeka, </w:t>
      </w:r>
      <w:proofErr w:type="spellStart"/>
      <w:r w:rsidRPr="001D2707">
        <w:rPr>
          <w:rFonts w:cs="Times New Roman" w:eastAsia="Calibri"/>
        </w:rPr>
        <w:t>Donjodravska</w:t>
      </w:r>
      <w:proofErr w:type="spellEnd"/>
      <w:r w:rsidRPr="001D2707">
        <w:rPr>
          <w:rFonts w:cs="Times New Roman" w:eastAsia="Calibri"/>
        </w:rPr>
        <w:t xml:space="preserve"> obala 16, OIB: 65118926772, stečajnoj upraviteljici uvodno označenog stečajnog dužnika, određuje se dodatna </w:t>
      </w:r>
      <w:r w:rsidRPr="001D2707">
        <w:rPr>
          <w:rFonts w:cs="Times New Roman" w:eastAsia="Times New Roman"/>
          <w:lang w:eastAsia="hr-HR"/>
        </w:rPr>
        <w:t>nagrada za rad za poslove obavljene u predmetnom stečajnom postupku u bruto iznosu od 20.000,00 kn (</w:t>
      </w:r>
      <w:proofErr w:type="spellStart"/>
      <w:r w:rsidRPr="001D2707">
        <w:rPr>
          <w:rFonts w:cs="Times New Roman" w:eastAsia="Times New Roman"/>
          <w:lang w:eastAsia="hr-HR"/>
        </w:rPr>
        <w:t>dvadesettisuća</w:t>
      </w:r>
      <w:proofErr w:type="spellEnd"/>
      <w:r w:rsidRPr="001D2707">
        <w:rPr>
          <w:rFonts w:cs="Times New Roman" w:eastAsia="Times New Roman"/>
          <w:lang w:eastAsia="hr-HR"/>
        </w:rPr>
        <w:t xml:space="preserve"> kuna). </w:t>
      </w:r>
    </w:p>
    <w:p w:rsidRDefault="001D2707" w:rsidP="001D2707" w:rsidR="001D2707" w:rsidRPr="001D2707">
      <w:pPr>
        <w:spacing w:after="200"/>
        <w:ind w:firstLine="705"/>
        <w:jc w:val="both"/>
        <w:rPr>
          <w:rFonts w:cs="Times New Roman" w:eastAsia="Calibri"/>
        </w:rPr>
      </w:pPr>
      <w:r w:rsidRPr="001D2707">
        <w:rPr>
          <w:rFonts w:cs="Times New Roman" w:eastAsia="Times New Roman"/>
          <w:lang w:eastAsia="hr-HR"/>
        </w:rPr>
        <w:t xml:space="preserve">III. Nakon pravomoćnosti ovog rješenja, </w:t>
      </w:r>
      <w:r w:rsidRPr="001D2707">
        <w:rPr>
          <w:rFonts w:cs="Times New Roman" w:eastAsia="Calibri"/>
        </w:rPr>
        <w:t xml:space="preserve">isplata nagrade stečajnoj upraviteljici dužnika  iz točke I. izreke, kao i dodatne nagrade iz točke II. izreke istog, izvršiti će se s računa stečajnog dužnika tj. na teret stečajne mase. </w:t>
      </w:r>
    </w:p>
    <w:p w:rsidRDefault="001D2707" w:rsidP="001D2707" w:rsidR="001D2707" w:rsidRPr="001D2707">
      <w:pPr>
        <w:spacing w:after="0"/>
        <w:jc w:val="center"/>
        <w:rPr>
          <w:rFonts w:cs="Times New Roman" w:eastAsia="Times New Roman"/>
          <w:lang w:eastAsia="hr-HR"/>
        </w:rPr>
      </w:pPr>
    </w:p>
    <w:p w:rsidRDefault="001D2707" w:rsidP="001D2707" w:rsidR="001D2707" w:rsidRPr="001D2707">
      <w:pPr>
        <w:spacing w:after="0"/>
        <w:jc w:val="center"/>
        <w:rPr>
          <w:rFonts w:cs="Times New Roman" w:eastAsia="Times New Roman"/>
          <w:lang w:eastAsia="hr-HR"/>
        </w:rPr>
      </w:pPr>
      <w:r w:rsidRPr="001D2707">
        <w:rPr>
          <w:rFonts w:cs="Times New Roman" w:eastAsia="Times New Roman"/>
          <w:lang w:eastAsia="hr-HR"/>
        </w:rPr>
        <w:t>Obrazloženje</w:t>
      </w:r>
    </w:p>
    <w:p w:rsidRDefault="001D2707" w:rsidP="001D2707" w:rsidR="001D2707" w:rsidRPr="001D2707">
      <w:pPr>
        <w:spacing w:after="0"/>
        <w:ind w:firstLine="705"/>
        <w:jc w:val="both"/>
        <w:rPr>
          <w:rFonts w:cs="Times New Roman" w:eastAsia="Times New Roman"/>
          <w:lang w:eastAsia="hr-HR"/>
        </w:rPr>
      </w:pPr>
    </w:p>
    <w:p w:rsidRDefault="001D2707" w:rsidP="001D2707" w:rsidR="001D2707" w:rsidRPr="001D2707">
      <w:pPr>
        <w:spacing w:after="0"/>
        <w:ind w:firstLine="705"/>
        <w:jc w:val="both"/>
        <w:rPr>
          <w:rFonts w:cs="Times New Roman" w:eastAsia="Calibri"/>
        </w:rPr>
      </w:pPr>
      <w:r w:rsidRPr="001D2707">
        <w:rPr>
          <w:rFonts w:cs="Times New Roman" w:eastAsia="Calibri"/>
        </w:rPr>
        <w:t xml:space="preserve">Stečajni postupak nad uvodno označenim stečajnim dužnikom je otvoren rješenjem ovog suda poslovni broj gornji od 19. rujna 2016. te je za stečajnu upraviteljicu istog imenovana Edita </w:t>
      </w:r>
      <w:proofErr w:type="spellStart"/>
      <w:r w:rsidRPr="001D2707">
        <w:rPr>
          <w:rFonts w:cs="Times New Roman" w:eastAsia="Calibri"/>
        </w:rPr>
        <w:t>Đurkin</w:t>
      </w:r>
      <w:proofErr w:type="spellEnd"/>
      <w:r w:rsidRPr="001D2707">
        <w:rPr>
          <w:rFonts w:cs="Times New Roman" w:eastAsia="Calibri"/>
        </w:rPr>
        <w:t xml:space="preserve"> iz Osijeka. </w:t>
      </w:r>
    </w:p>
    <w:p w:rsidRDefault="001D2707" w:rsidP="001D2707" w:rsidR="001D2707" w:rsidRPr="001D2707">
      <w:pPr>
        <w:spacing w:after="0"/>
        <w:ind w:firstLine="705"/>
        <w:jc w:val="both"/>
        <w:rPr>
          <w:rFonts w:cs="Times New Roman" w:eastAsia="Calibri"/>
        </w:rPr>
      </w:pPr>
      <w:r w:rsidRPr="001D2707">
        <w:rPr>
          <w:rFonts w:cs="Times New Roman" w:eastAsia="Calibri"/>
        </w:rPr>
        <w:t xml:space="preserve">Na izvještajnom ročištu od 2. prosinca 2016. skupština vjerovnika je donijela odluku o unovčenju jedine imovine stečajnog dužnika-brodice KUTER MM 1200, </w:t>
      </w:r>
      <w:proofErr w:type="spellStart"/>
      <w:r w:rsidRPr="001D2707">
        <w:rPr>
          <w:rFonts w:cs="Times New Roman" w:eastAsia="Calibri"/>
        </w:rPr>
        <w:t>stakloplastika</w:t>
      </w:r>
      <w:proofErr w:type="spellEnd"/>
      <w:r w:rsidRPr="001D2707">
        <w:rPr>
          <w:rFonts w:cs="Times New Roman" w:eastAsia="Calibri"/>
        </w:rPr>
        <w:t xml:space="preserve">, reg. oznake 1586 BG koja je u posjedu stečajne upraviteljice i na kojoj postoji </w:t>
      </w:r>
      <w:proofErr w:type="spellStart"/>
      <w:r w:rsidRPr="001D2707">
        <w:rPr>
          <w:rFonts w:cs="Times New Roman" w:eastAsia="Calibri"/>
        </w:rPr>
        <w:t>razlučno</w:t>
      </w:r>
      <w:proofErr w:type="spellEnd"/>
      <w:r w:rsidRPr="001D2707">
        <w:rPr>
          <w:rFonts w:cs="Times New Roman" w:eastAsia="Calibri"/>
        </w:rPr>
        <w:t xml:space="preserve"> pravo </w:t>
      </w:r>
      <w:proofErr w:type="spellStart"/>
      <w:r w:rsidRPr="001D2707">
        <w:rPr>
          <w:rFonts w:cs="Times New Roman" w:eastAsia="Calibri"/>
        </w:rPr>
        <w:lastRenderedPageBreak/>
        <w:t>razlučnog</w:t>
      </w:r>
      <w:proofErr w:type="spellEnd"/>
      <w:r w:rsidRPr="001D2707">
        <w:rPr>
          <w:rFonts w:cs="Times New Roman" w:eastAsia="Calibri"/>
        </w:rPr>
        <w:t xml:space="preserve"> vjerovnika Republike Hrvatske sukladno odredbi čl. 249. Stečajnog zakona (Narodne novine broj 71/2015, u nastavku odluke: SZ). </w:t>
      </w:r>
    </w:p>
    <w:p w:rsidRDefault="001D2707" w:rsidP="001D2707" w:rsidR="001D2707" w:rsidRPr="001D2707">
      <w:pPr>
        <w:spacing w:after="0"/>
        <w:ind w:firstLine="705"/>
        <w:jc w:val="both"/>
        <w:rPr>
          <w:rFonts w:cs="Times New Roman" w:eastAsia="Calibri"/>
        </w:rPr>
      </w:pPr>
      <w:r w:rsidRPr="001D2707">
        <w:rPr>
          <w:rFonts w:cs="Times New Roman" w:eastAsia="Calibri"/>
        </w:rPr>
        <w:t xml:space="preserve">Stečajna upraviteljica je u izvješću od 4. svibnja 2017. u bitnom navela da je sukladno odluci skupštine vjerovnika, u cijelosti unovčila naprijed navedenu imovinu stečajnog dužnika za ukupan iznos od 302.400,00 kuna na temelju ugovora o kupoprodaji od 6. travnja 2017. sklopljenog sa kupcem Karlom </w:t>
      </w:r>
      <w:proofErr w:type="spellStart"/>
      <w:r w:rsidRPr="001D2707">
        <w:rPr>
          <w:rFonts w:cs="Times New Roman" w:eastAsia="Calibri"/>
        </w:rPr>
        <w:t>Magićem</w:t>
      </w:r>
      <w:proofErr w:type="spellEnd"/>
      <w:r w:rsidRPr="001D2707">
        <w:rPr>
          <w:rFonts w:cs="Times New Roman" w:eastAsia="Calibri"/>
        </w:rPr>
        <w:t xml:space="preserve"> iz Pašmana, vlasnikom obrta za morski ribolov Frane kao najpovoljnijim ponuditeljem, predlažući sudu donošenje rješenja o određivanju nagrade za rad u iznosu od 40.240,00 kuna, kao i dodatne nagrade za rad u iznosu od 20.000,00 kuna budući je svojim osobitim zalaganjem unovčila stečajnu masu dužnika u roku od 5 mjeseci od održanog izvještajnog ročišta. </w:t>
      </w:r>
    </w:p>
    <w:p w:rsidRDefault="001D2707" w:rsidP="001D2707" w:rsidR="001D2707" w:rsidRPr="001D2707">
      <w:pPr>
        <w:spacing w:after="0"/>
        <w:ind w:firstLine="705"/>
        <w:jc w:val="both"/>
        <w:rPr>
          <w:rFonts w:cs="Times New Roman" w:eastAsia="Calibri"/>
        </w:rPr>
      </w:pPr>
      <w:r w:rsidRPr="001D2707">
        <w:rPr>
          <w:rFonts w:cs="Times New Roman" w:eastAsia="Calibri"/>
        </w:rPr>
        <w:t xml:space="preserve">Odredbom čl. 94. st. 1. i 2. u svezi s čl. 441. st. 2. Stečajnog zakona (Narodne novine broj 71/2015, u nastavku teksta: SZ) propisano je da stečajni upravitelj između ostalog ima pravo i na nagradu za svoj rad koju rješenjem određuje sud prema uredbi kojom Vlada Republike Hrvatske utvrđuje kriterije i način obračuna i plaćanja nagrade stečajnim upraviteljima. </w:t>
      </w:r>
    </w:p>
    <w:p w:rsidRDefault="001D2707" w:rsidP="001D2707" w:rsidR="001D2707" w:rsidRPr="001D2707">
      <w:pPr>
        <w:spacing w:after="0"/>
        <w:ind w:firstLine="705"/>
        <w:jc w:val="both"/>
        <w:rPr>
          <w:rFonts w:cs="Times New Roman" w:eastAsia="Calibri"/>
          <w:color w:val="000000"/>
        </w:rPr>
      </w:pPr>
      <w:r w:rsidRPr="001D2707">
        <w:rPr>
          <w:rFonts w:cs="Times New Roman" w:eastAsia="Calibri"/>
          <w:color w:val="000000"/>
        </w:rPr>
        <w:t xml:space="preserve">Odredbama čl. 2. st. 1. i 2. i čl. 5. st. 1. i 2. Uredbe o kriterijima i načinu obračuna i plaćanja nagrada stečajnim upraviteljima (Narodne novine broj 105/15, u nastavku teksta: Uredba) propisano je da stečajni upravitelj ima pravo na nagradu za obavljene poslove koju određuje sud bez odgode nakon što dovrši sve poslove za koje je imenovan, da sud rješenjem utvrđuje visinu nagrade uzimajući u obzir obujam i složenost poslova, rad stečajnoga upravitelja na ispitivanju tražbina te vrijednost unovčene stečajne mase, te da sud može stečajnom upravitelju odrediti i dodatnu nagradu te posebnu nagradu. </w:t>
      </w:r>
    </w:p>
    <w:p w:rsidRDefault="001D2707" w:rsidP="001D2707" w:rsidR="001D2707" w:rsidRPr="001D2707">
      <w:pPr>
        <w:spacing w:after="0"/>
        <w:ind w:firstLine="705"/>
        <w:jc w:val="both"/>
        <w:rPr>
          <w:rFonts w:cs="Times New Roman" w:eastAsia="Calibri"/>
          <w:color w:val="000000"/>
        </w:rPr>
      </w:pPr>
      <w:r w:rsidRPr="001D2707">
        <w:rPr>
          <w:rFonts w:cs="Times New Roman" w:eastAsia="Calibri"/>
          <w:color w:val="000000"/>
        </w:rPr>
        <w:t xml:space="preserve">Nadalje, odredbama čl. 7. i 15. Uredbe je propisano je da se nagrada stečajnom upravitelju s osnove vrijednosti unovčene stečajne mase obračunava primjenom tablice vrijednosti unovčene stečajne mase i nagrade u postocima i to u bruto iznosu. </w:t>
      </w:r>
    </w:p>
    <w:p w:rsidRDefault="001D2707" w:rsidP="001D2707" w:rsidR="001D2707" w:rsidRPr="001D2707">
      <w:pPr>
        <w:spacing w:after="0"/>
        <w:ind w:firstLine="705"/>
        <w:jc w:val="both"/>
        <w:rPr>
          <w:rFonts w:cs="Times New Roman" w:eastAsia="Calibri"/>
        </w:rPr>
      </w:pPr>
      <w:r w:rsidRPr="001D2707">
        <w:rPr>
          <w:rFonts w:cs="Times New Roman" w:eastAsia="Calibri"/>
        </w:rPr>
        <w:t xml:space="preserve">S obzirom da se sukladno odredbi čl. 7. Uredbe nagrada stečajnom upravitelju za rad s osnove vrijednosti unovčene stečajne mase u iznosu od 302.400,00 kuna obračunava; u postotku od 16 % na vrijednost unovčene stečajne mase do 100.000,00 kn što iznosi 16.000,00 kuna,  na  razliku od 100.000,01 do 300.000,00 kuna u postotku od 12 % što iznosi 24.000,00 kuna te na daljnju razliku od 300.000,01 do 302.400,00 kuna u postotku od 10 % što iznosi 240,00 kuna, to je stečajnoj upraviteljici trebalo odrediti nagradu za rad u ukupnom iznosu od 40.240,00 kuna. </w:t>
      </w:r>
    </w:p>
    <w:p w:rsidRDefault="001D2707" w:rsidP="001D2707" w:rsidR="001D2707" w:rsidRPr="001D2707">
      <w:pPr>
        <w:spacing w:after="0"/>
        <w:ind w:firstLine="705"/>
        <w:jc w:val="both"/>
        <w:rPr>
          <w:rFonts w:cs="Times New Roman" w:eastAsia="Calibri"/>
        </w:rPr>
      </w:pPr>
      <w:r w:rsidRPr="001D2707">
        <w:rPr>
          <w:rFonts w:cs="Times New Roman" w:eastAsia="Calibri"/>
        </w:rPr>
        <w:t xml:space="preserve">Naime, ovo iz razloga jer je opisanim radnjama unovčenja cjelokupne imovne stečajnog dužnika u cijelosti dovršila poslove za koje je imenovana stečajnom upraviteljicom u predmetnom stečajnom postupku zbog čega je temeljem svih naprijed citiranih odredbi trebalo donijeti odluku kao u točki I. izreke ovog rješenja. </w:t>
      </w:r>
    </w:p>
    <w:p w:rsidRDefault="001D2707" w:rsidP="001D2707" w:rsidR="001D2707" w:rsidRPr="001D2707">
      <w:pPr>
        <w:spacing w:after="0"/>
        <w:ind w:firstLine="705"/>
        <w:jc w:val="both"/>
        <w:rPr>
          <w:rFonts w:cs="Times New Roman" w:eastAsia="Calibri"/>
        </w:rPr>
      </w:pPr>
      <w:r w:rsidRPr="001D2707">
        <w:rPr>
          <w:rFonts w:cs="Times New Roman" w:eastAsia="Calibri"/>
        </w:rPr>
        <w:t xml:space="preserve">Odredbom čl. 8. st. 1. i 3. u svezi s čl. 5. st. 2. Uredbe je propisano da stečajni upravitelj imao pravo i na dodatnu nagradu, da će pri određivanju iste sud voditi računa o osobitom zalaganju stečajnog upravitelja te da će se smatrati da se stečajni upravitelj osobito zalagao  ako je stečajna masa unovčena u roku od jedne godine od održanog izvještajnog ročišta. Nadalje, odredbom čl. 8. st. 4. Uredbe je određeno da dodatna nagrada ne može prelaziti iznos nagrade s osnove vrijednosti unovčene stečajne mase. </w:t>
      </w:r>
    </w:p>
    <w:p w:rsidRDefault="001D2707" w:rsidP="001D2707" w:rsidR="001D2707" w:rsidRPr="001D2707">
      <w:pPr>
        <w:spacing w:after="0"/>
        <w:ind w:firstLine="705"/>
        <w:jc w:val="both"/>
        <w:rPr>
          <w:rFonts w:cs="Times New Roman" w:eastAsia="Calibri"/>
        </w:rPr>
      </w:pPr>
      <w:r w:rsidRPr="001D2707">
        <w:rPr>
          <w:rFonts w:cs="Times New Roman" w:eastAsia="Calibri"/>
        </w:rPr>
        <w:t xml:space="preserve">Dovodeći u svezu sadržaj naprijed citiranih odredbi Uredbe o dodatnoj nagradi sa ispravama i podacima iz spisa predmeta, utvrđeno je da je skupština vjerovnika na kojoj donesena odluka o unovčenju imovine stečajnog dužnika održana 2. prosinca 2016. te da je stečajna upraviteljica unovčila istu 14. travnja 2017. kada joj je kupac u cijelosti isplatio </w:t>
      </w:r>
      <w:proofErr w:type="spellStart"/>
      <w:r w:rsidRPr="001D2707">
        <w:rPr>
          <w:rFonts w:cs="Times New Roman" w:eastAsia="Calibri"/>
        </w:rPr>
        <w:t>kupovninu</w:t>
      </w:r>
      <w:proofErr w:type="spellEnd"/>
      <w:r w:rsidRPr="001D2707">
        <w:rPr>
          <w:rFonts w:cs="Times New Roman" w:eastAsia="Calibri"/>
        </w:rPr>
        <w:t xml:space="preserve"> u ukupnom iznosu od 302.400,00 kuna iz čega proizlazi da je svojim osobitim zalaganjem uspjela unovčiti stečajnu masu u roku od čak 5 mjeseci od dana održanog izvještajnog ročišta. </w:t>
      </w:r>
    </w:p>
    <w:p w:rsidRDefault="001D2707" w:rsidP="001D2707" w:rsidR="001D2707" w:rsidRPr="001D2707">
      <w:pPr>
        <w:spacing w:after="0"/>
        <w:ind w:firstLine="705"/>
        <w:jc w:val="both"/>
        <w:rPr>
          <w:rFonts w:cs="Times New Roman" w:eastAsia="Calibri"/>
        </w:rPr>
      </w:pPr>
      <w:r w:rsidRPr="001D2707">
        <w:rPr>
          <w:rFonts w:cs="Times New Roman" w:eastAsia="Calibri"/>
        </w:rPr>
        <w:lastRenderedPageBreak/>
        <w:t xml:space="preserve">Slijedom navedenog, prema ocjeni ovog suda, stečajnoj upraviteljici je temeljem naprijed citiranih odredbi, odredbe čl. 127. st. 3. SZ-a koja se primjenjuje u stečajnom postupku male vrijednosti te svih naprijed navedenih parametara, trebalo odrediti dodatnu nagradu u iznosu od 20.000,00 kuna od maksimalno propisane dodatne nagrade u konkretnom slučaju u visini od 40.200,00 kuna, zbog čega je donesena odluka kao u točki II. izreke ovog rješenja. </w:t>
      </w:r>
    </w:p>
    <w:p w:rsidRDefault="001D2707" w:rsidP="001D2707" w:rsidR="001D2707" w:rsidRPr="001D2707">
      <w:pPr>
        <w:spacing w:after="0"/>
        <w:ind w:firstLine="705"/>
        <w:jc w:val="both"/>
        <w:rPr>
          <w:rFonts w:cs="Times New Roman" w:eastAsia="Times New Roman"/>
          <w:lang w:eastAsia="hr-HR"/>
        </w:rPr>
      </w:pPr>
      <w:r w:rsidRPr="001D2707">
        <w:rPr>
          <w:rFonts w:cs="Times New Roman" w:eastAsia="Times New Roman"/>
          <w:lang w:eastAsia="hr-HR"/>
        </w:rPr>
        <w:t xml:space="preserve">Kako u stečajnom postupku ima sredstava za nagradu stečajnoj upraviteljici s osnove unovčenja predmetne pokretnine u vlasništvu stečajnog dužnika u smislu odredbe čl. 94. st. 6. SZ-a, tako je isplatu iste trebalo odrediti na teret stečajne mase te donijeti odluku kao u točki III. izreke ovog rješenja. </w:t>
      </w:r>
    </w:p>
    <w:p w:rsidRDefault="001D2707" w:rsidP="001D2707" w:rsidR="001D2707" w:rsidRPr="001D2707">
      <w:pPr>
        <w:spacing w:after="0"/>
        <w:ind w:firstLine="705"/>
        <w:jc w:val="both"/>
        <w:rPr>
          <w:rFonts w:cs="Times New Roman" w:eastAsia="Calibri"/>
        </w:rPr>
      </w:pPr>
    </w:p>
    <w:p w:rsidRDefault="001D2707" w:rsidP="001D2707" w:rsidR="001D2707" w:rsidRPr="001D2707">
      <w:pPr>
        <w:spacing w:after="0"/>
        <w:jc w:val="both"/>
        <w:rPr>
          <w:rFonts w:cs="Times New Roman" w:eastAsia="Times New Roman"/>
          <w:color w:val="000000"/>
          <w:lang w:eastAsia="hr-HR"/>
        </w:rPr>
      </w:pPr>
    </w:p>
    <w:p w:rsidRDefault="001D2707" w:rsidP="001D2707" w:rsidR="001D2707" w:rsidRPr="001D2707">
      <w:pPr>
        <w:spacing w:after="0"/>
        <w:jc w:val="center"/>
        <w:rPr>
          <w:rFonts w:cs="Times New Roman" w:eastAsia="Times New Roman"/>
          <w:lang w:eastAsia="hr-HR"/>
        </w:rPr>
      </w:pPr>
      <w:r w:rsidRPr="001D2707">
        <w:rPr>
          <w:rFonts w:cs="Times New Roman" w:eastAsia="Times New Roman"/>
          <w:lang w:eastAsia="hr-HR"/>
        </w:rPr>
        <w:t xml:space="preserve">U Zadru 5. svibnja 2017. </w:t>
      </w:r>
    </w:p>
    <w:p w:rsidRDefault="001D2707" w:rsidP="001D2707" w:rsidR="001D2707" w:rsidRPr="001D2707">
      <w:pPr>
        <w:spacing w:after="0"/>
        <w:jc w:val="center"/>
        <w:rPr>
          <w:rFonts w:cs="Times New Roman" w:eastAsia="Times New Roman"/>
          <w:lang w:eastAsia="hr-HR"/>
        </w:rPr>
      </w:pPr>
    </w:p>
    <w:p w:rsidRDefault="001D2707" w:rsidP="001D2707" w:rsidR="001D2707" w:rsidRPr="001D2707">
      <w:pPr>
        <w:spacing w:after="0"/>
        <w:rPr>
          <w:rFonts w:cs="Times New Roman" w:eastAsia="Times New Roman"/>
          <w:lang w:eastAsia="hr-HR"/>
        </w:rPr>
      </w:pPr>
    </w:p>
    <w:p w:rsidRDefault="001D2707" w:rsidP="001D2707" w:rsidR="001D2707" w:rsidRPr="001D2707">
      <w:pPr>
        <w:spacing w:after="0"/>
        <w:rPr>
          <w:rFonts w:cs="Times New Roman" w:eastAsia="Times New Roman"/>
          <w:lang w:eastAsia="hr-HR"/>
        </w:rPr>
      </w:pPr>
    </w:p>
    <w:p w:rsidRDefault="001D2707" w:rsidP="001D2707" w:rsidR="001D2707" w:rsidRPr="001D2707">
      <w:pPr>
        <w:spacing w:after="0"/>
        <w:ind w:firstLine="708"/>
        <w:jc w:val="right"/>
        <w:rPr>
          <w:rFonts w:cs="Times New Roman" w:eastAsia="Times New Roman"/>
          <w:lang w:eastAsia="hr-HR"/>
        </w:rPr>
      </w:pPr>
      <w:r w:rsidRPr="001D2707">
        <w:rPr>
          <w:rFonts w:cs="Times New Roman" w:eastAsia="Times New Roman"/>
          <w:lang w:eastAsia="hr-HR"/>
        </w:rPr>
        <w:t>Sutkinja:</w:t>
      </w:r>
    </w:p>
    <w:p w:rsidRDefault="001D2707" w:rsidP="001D2707" w:rsidR="001D2707" w:rsidRPr="001D2707">
      <w:pPr>
        <w:spacing w:after="0"/>
        <w:ind w:firstLine="708"/>
        <w:jc w:val="right"/>
        <w:rPr>
          <w:rFonts w:cs="Times New Roman" w:eastAsia="Times New Roman"/>
          <w:b/>
          <w:lang w:eastAsia="hr-HR"/>
        </w:rPr>
      </w:pPr>
      <w:r w:rsidRPr="001D2707">
        <w:rPr>
          <w:rFonts w:cs="Times New Roman" w:eastAsia="Times New Roman"/>
          <w:lang w:eastAsia="hr-HR"/>
        </w:rPr>
        <w:t xml:space="preserve">                                                                         Tina Grgas</w:t>
      </w:r>
    </w:p>
    <w:p w:rsidRDefault="001D2707" w:rsidP="001D2707" w:rsidR="001D2707" w:rsidRPr="001D2707">
      <w:pPr>
        <w:spacing w:after="0"/>
        <w:jc w:val="right"/>
        <w:rPr>
          <w:rFonts w:cs="Times New Roman" w:eastAsia="Times New Roman"/>
          <w:lang w:eastAsia="hr-HR"/>
        </w:rPr>
      </w:pPr>
    </w:p>
    <w:p w:rsidRDefault="001D2707" w:rsidP="001D2707" w:rsidR="001D2707" w:rsidRPr="001D2707">
      <w:pPr>
        <w:tabs>
          <w:tab w:pos="0" w:val="left"/>
        </w:tabs>
        <w:spacing w:after="0"/>
        <w:jc w:val="right"/>
        <w:rPr>
          <w:rFonts w:cs="Times New Roman" w:eastAsia="Times New Roman"/>
          <w:lang w:eastAsia="hr-HR"/>
        </w:rPr>
      </w:pPr>
      <w:r w:rsidRPr="001D2707">
        <w:rPr>
          <w:rFonts w:cs="Times New Roman" w:eastAsia="Times New Roman"/>
          <w:lang w:eastAsia="hr-HR"/>
        </w:rPr>
        <w:tab/>
      </w:r>
    </w:p>
    <w:p w:rsidRDefault="001D2707" w:rsidP="001D2707" w:rsidR="001D2707" w:rsidRPr="001D2707">
      <w:pPr>
        <w:tabs>
          <w:tab w:pos="0" w:val="left"/>
        </w:tabs>
        <w:spacing w:after="0"/>
        <w:rPr>
          <w:rFonts w:cs="Times New Roman" w:eastAsia="Times New Roman"/>
          <w:lang w:eastAsia="hr-HR"/>
        </w:rPr>
      </w:pPr>
    </w:p>
    <w:p w:rsidRDefault="001D2707" w:rsidP="001D2707" w:rsidR="001D2707" w:rsidRPr="001D2707">
      <w:pPr>
        <w:tabs>
          <w:tab w:pos="0" w:val="left"/>
        </w:tabs>
        <w:spacing w:after="0"/>
        <w:rPr>
          <w:rFonts w:cs="Times New Roman" w:eastAsia="Times New Roman"/>
          <w:lang w:eastAsia="hr-HR"/>
        </w:rPr>
      </w:pPr>
    </w:p>
    <w:p w:rsidRDefault="001D2707" w:rsidP="001D2707" w:rsidR="001D2707" w:rsidRPr="001D2707">
      <w:pPr>
        <w:tabs>
          <w:tab w:pos="0" w:val="left"/>
        </w:tabs>
        <w:spacing w:after="0"/>
        <w:rPr>
          <w:rFonts w:cs="Times New Roman" w:eastAsia="Times New Roman"/>
          <w:lang w:eastAsia="hr-HR"/>
        </w:rPr>
      </w:pPr>
      <w:r w:rsidRPr="001D2707">
        <w:rPr>
          <w:rFonts w:cs="Times New Roman" w:eastAsia="Times New Roman"/>
          <w:lang w:eastAsia="hr-HR"/>
        </w:rPr>
        <w:tab/>
        <w:t xml:space="preserve">UPUTA O PRAVNOM LIJEKU: </w:t>
      </w:r>
    </w:p>
    <w:p w:rsidRDefault="001D2707" w:rsidP="001D2707" w:rsidR="001D2707" w:rsidRPr="001D2707">
      <w:pPr>
        <w:tabs>
          <w:tab w:pos="0" w:val="left"/>
        </w:tabs>
        <w:spacing w:after="0"/>
        <w:jc w:val="both"/>
        <w:rPr>
          <w:rFonts w:cs="Times New Roman" w:eastAsia="Times New Roman"/>
          <w:lang w:eastAsia="hr-HR"/>
        </w:rPr>
      </w:pPr>
      <w:r w:rsidRPr="001D2707">
        <w:rPr>
          <w:rFonts w:cs="Times New Roman" w:eastAsia="Times New Roman"/>
          <w:lang w:eastAsia="hr-HR"/>
        </w:rPr>
        <w:tab/>
        <w:t xml:space="preserve">Protiv ovog rješenja pravo na žalbu imaju stečajna upraviteljica dužnika i svaki stečajni vjerovnik (čl. 94. st. 5. SZ-a). Žalba se izjavljuje u roku od osam dana od obavljene dostave istog, a dostava se smatra obavljenom istekom osmog dana od dana objave rješenja na mrežnoj stranici e-Oglasna ploča sudova (čl. 94. st. 5., čl. 12. st. 1. i čl. 19. st. 1. i 2. SZ-a).  Žalba se podnosi ovom sudu u tri istovjetna primjerka, a o istoj odlučuje Visoki trgovački sud Republike Hrvatske. </w:t>
      </w:r>
    </w:p>
    <w:p w:rsidRDefault="001D2707" w:rsidP="001D2707" w:rsidR="001D2707" w:rsidRPr="001D2707">
      <w:pPr>
        <w:tabs>
          <w:tab w:pos="4438" w:val="left"/>
        </w:tabs>
        <w:spacing w:after="0"/>
        <w:jc w:val="both"/>
        <w:rPr>
          <w:rFonts w:cs="Times New Roman" w:eastAsia="Times New Roman"/>
          <w:lang w:eastAsia="hr-HR"/>
        </w:rPr>
      </w:pPr>
    </w:p>
    <w:p w:rsidRDefault="001D2707" w:rsidP="001D2707" w:rsidR="001D2707" w:rsidRPr="001D2707">
      <w:pPr>
        <w:spacing w:after="0"/>
        <w:ind w:firstLine="708"/>
        <w:rPr>
          <w:rFonts w:cs="Times New Roman" w:eastAsia="Times New Roman"/>
          <w:lang w:eastAsia="hr-HR"/>
        </w:rPr>
      </w:pPr>
    </w:p>
    <w:p w:rsidRDefault="001D2707" w:rsidP="001D2707" w:rsidR="001D2707" w:rsidRPr="001D2707">
      <w:pPr>
        <w:spacing w:after="0"/>
        <w:ind w:firstLine="708"/>
        <w:rPr>
          <w:rFonts w:cs="Times New Roman" w:eastAsia="Times New Roman"/>
          <w:lang w:eastAsia="hr-HR"/>
        </w:rPr>
      </w:pPr>
    </w:p>
    <w:p w:rsidRDefault="001D2707" w:rsidP="001D2707" w:rsidR="001D2707" w:rsidRPr="001D2707">
      <w:pPr>
        <w:spacing w:after="0"/>
        <w:ind w:firstLine="708"/>
        <w:rPr>
          <w:rFonts w:cs="Times New Roman" w:eastAsia="Times New Roman"/>
          <w:lang w:eastAsia="hr-HR"/>
        </w:rPr>
      </w:pPr>
      <w:r w:rsidRPr="001D2707">
        <w:rPr>
          <w:rFonts w:cs="Times New Roman" w:eastAsia="Times New Roman"/>
          <w:lang w:eastAsia="hr-HR"/>
        </w:rPr>
        <w:t xml:space="preserve">Dostaviti: </w:t>
      </w:r>
    </w:p>
    <w:p w:rsidRDefault="001D2707" w:rsidP="001D2707" w:rsidR="001D2707" w:rsidRPr="001D2707">
      <w:pPr>
        <w:numPr>
          <w:ilvl w:val="0"/>
          <w:numId w:val="47"/>
        </w:numPr>
        <w:spacing w:lineRule="auto" w:line="276" w:after="0"/>
        <w:rPr>
          <w:rFonts w:cs="Times New Roman" w:eastAsia="Times New Roman"/>
          <w:lang w:eastAsia="hr-HR"/>
        </w:rPr>
      </w:pPr>
      <w:r w:rsidRPr="001D2707">
        <w:rPr>
          <w:rFonts w:cs="Times New Roman" w:eastAsia="Times New Roman"/>
          <w:lang w:eastAsia="hr-HR"/>
        </w:rPr>
        <w:t xml:space="preserve">Stečajnoj upraviteljici dužnika Editi </w:t>
      </w:r>
      <w:proofErr w:type="spellStart"/>
      <w:r w:rsidRPr="001D2707">
        <w:rPr>
          <w:rFonts w:cs="Times New Roman" w:eastAsia="Times New Roman"/>
          <w:lang w:eastAsia="hr-HR"/>
        </w:rPr>
        <w:t>Đurkin</w:t>
      </w:r>
      <w:proofErr w:type="spellEnd"/>
      <w:r w:rsidRPr="001D2707">
        <w:rPr>
          <w:rFonts w:cs="Times New Roman" w:eastAsia="Times New Roman"/>
          <w:lang w:eastAsia="hr-HR"/>
        </w:rPr>
        <w:t xml:space="preserve"> iz Osijeka </w:t>
      </w:r>
    </w:p>
    <w:p w:rsidRDefault="001D2707" w:rsidP="001D2707" w:rsidR="001D2707" w:rsidRPr="001D2707">
      <w:pPr>
        <w:numPr>
          <w:ilvl w:val="0"/>
          <w:numId w:val="47"/>
        </w:numPr>
        <w:spacing w:lineRule="auto" w:line="276" w:after="0"/>
        <w:rPr>
          <w:rFonts w:cs="Times New Roman" w:eastAsia="Times New Roman"/>
          <w:lang w:eastAsia="hr-HR"/>
        </w:rPr>
      </w:pPr>
      <w:r w:rsidRPr="001D2707">
        <w:rPr>
          <w:rFonts w:cs="Times New Roman" w:eastAsia="Times New Roman"/>
          <w:lang w:eastAsia="hr-HR"/>
        </w:rPr>
        <w:t xml:space="preserve">Ostalim sudionicima postupka, svima putem e-Oglasne ploče suda na dužnika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2707"/>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537665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St-772/2016-32</izvorni_sadrzaj>
    <derivirana_varijabla naziv="DomainObject.Oznaka_1">St-772/2016-32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772</izvorni_sadrzaj>
    <derivirana_varijabla naziv="DomainObject.Predmet.Broj_1">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St-772/2016</izvorni_sadrzaj>
    <derivirana_varijabla naziv="DomainObject.Predmet.OznakaBroj_1">St-772/2016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DALMACIJA-PROJEKT d.o.o. za građevinarstvo</izvorni_sadrzaj>
    <derivirana_varijabla naziv="DomainObject.Predmet.ProtustrankaFormated_1">  DALMACIJA-PROJEKT d.o.o. za građevinarstvo</derivirana_varijabla>
  </DomainObject.Predmet.ProtustrankaFormated>
  <DomainObject.Predmet.ProtustrankaFormatedOIB>
    <izvorni_sadrzaj>  DALMACIJA-PROJEKT d.o.o. za građevinarstvo, OIB 93426396839</izvorni_sadrzaj>
    <derivirana_varijabla naziv="DomainObject.Predmet.ProtustrankaFormatedOIB_1">  DALMACIJA-PROJEKT d.o.o. za građevinarstvo, OIB 93426396839</derivirana_varijabla>
  </DomainObject.Predmet.ProtustrankaFormatedOIB>
  <DomainObject.Predmet.ProtustrankaFormatedWithAdress>
    <izvorni_sadrzaj> DALMACIJA-PROJEKT d.o.o. za građevinarstvo, Prološka 15, 23210 Pakoštane</izvorni_sadrzaj>
    <derivirana_varijabla naziv="DomainObject.Predmet.ProtustrankaFormatedWithAdress_1"> DALMACIJA-PROJEKT d.o.o. za građevinarstvo, Prološka 15, 23210 Pakoštane</derivirana_varijabla>
  </DomainObject.Predmet.ProtustrankaFormatedWithAdress>
  <DomainObject.Predmet.ProtustrankaFormatedWithAdressOIB>
    <izvorni_sadrzaj> DALMACIJA-PROJEKT d.o.o. za građevinarstvo, OIB 93426396839, Prološka 15, 23210 Pakoštane</izvorni_sadrzaj>
    <derivirana_varijabla naziv="DomainObject.Predmet.ProtustrankaFormatedWithAdressOIB_1"> DALMACIJA-PROJEKT d.o.o. za građevinarstvo, OIB 93426396839, Prološka 15, 23210 Pakoštane</derivirana_varijabla>
  </DomainObject.Predmet.ProtustrankaFormatedWithAdressOIB>
  <DomainObject.Predmet.ProtustrankaWithAdress>
    <izvorni_sadrzaj>DALMACIJA-PROJEKT d.o.o. za građevinarstvo Prološka 15, 23210 Pakoštane</izvorni_sadrzaj>
    <derivirana_varijabla naziv="DomainObject.Predmet.ProtustrankaWithAdress_1">DALMACIJA-PROJEKT d.o.o. za građevinarstvo Prološka 15, 23210 Pakoštane</derivirana_varijabla>
  </DomainObject.Predmet.ProtustrankaWithAdress>
  <DomainObject.Predmet.ProtustrankaWithAdressOIB>
    <izvorni_sadrzaj>DALMACIJA-PROJEKT d.o.o. za građevinarstvo, OIB 93426396839, Prološka 15, 23210 Pakoštane</izvorni_sadrzaj>
    <derivirana_varijabla naziv="DomainObject.Predmet.ProtustrankaWithAdressOIB_1">DALMACIJA-PROJEKT d.o.o. za građevinarstvo, OIB 93426396839, Prološka 15, 23210 Pakoštane</derivirana_varijabla>
  </DomainObject.Predmet.ProtustrankaWithAdressOIB>
  <DomainObject.Predmet.ProtustrankaNazivFormated>
    <izvorni_sadrzaj>DALMACIJA-PROJEKT d.o.o. za građevinarstvo</izvorni_sadrzaj>
    <derivirana_varijabla naziv="DomainObject.Predmet.ProtustrankaNazivFormated_1">DALMACIJA-PROJEKT d.o.o. za građevinarstvo</derivirana_varijabla>
  </DomainObject.Predmet.ProtustrankaNazivFormated>
  <DomainObject.Predmet.ProtustrankaNazivFormatedOIB>
    <izvorni_sadrzaj>DALMACIJA-PROJEKT d.o.o. za građevinarstvo, OIB 93426396839</izvorni_sadrzaj>
    <derivirana_varijabla naziv="DomainObject.Predmet.ProtustrankaNazivFormatedOIB_1">DALMACIJA-PROJEKT d.o.o. za građevinarstvo, OIB 93426396839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Ante Maksan</izvorni_sadrzaj>
    <derivirana_varijabla naziv="DomainObject.Predmet.StrankaFormated_1">  FINA; Ante Maksan</derivirana_varijabla>
  </DomainObject.Predmet.StrankaFormated>
  <DomainObject.Predmet.StrankaFormatedOIB>
    <izvorni_sadrzaj>  FINA, OIB 85821130368; Ante Maksan, OIB 12533441299</izvorni_sadrzaj>
    <derivirana_varijabla naziv="DomainObject.Predmet.StrankaFormatedOIB_1">  FINA, OIB 85821130368; Ante Maksan, OIB 12533441299</derivirana_varijabla>
  </DomainObject.Predmet.StrankaFormatedOIB>
  <DomainObject.Predmet.StrankaFormatedWithAdress>
    <izvorni_sadrzaj> FINA; Ante Maksan, Prološka Ulica 15, 23210 Pakoštane</izvorni_sadrzaj>
    <derivirana_varijabla naziv="DomainObject.Predmet.StrankaFormatedWithAdress_1"> FINA; Ante Maksan, Prološka Ulica 15, 23210 Pakoštane</derivirana_varijabla>
  </DomainObject.Predmet.StrankaFormatedWithAdress>
  <DomainObject.Predmet.StrankaFormatedWithAdressOIB>
    <izvorni_sadrzaj> FINA, OIB 85821130368; Ante Maksan, OIB 12533441299, Prološka Ulica 15, 23210 Pakoštane</izvorni_sadrzaj>
    <derivirana_varijabla naziv="DomainObject.Predmet.StrankaFormatedWithAdressOIB_1"> FINA, OIB 85821130368; Ante Maksan, OIB 12533441299, Prološka Ulica 15, 23210 Pakoštane</derivirana_varijabla>
  </DomainObject.Predmet.StrankaFormatedWithAdressOIB>
  <DomainObject.Predmet.StrankaWithAdress>
    <izvorni_sadrzaj>FINA ,Ante Maksan Prološka Ulica 15,23210 Pakoštane</izvorni_sadrzaj>
    <derivirana_varijabla naziv="DomainObject.Predmet.StrankaWithAdress_1">FINA ,Ante Maksan Prološka Ulica 15,23210 Pakoštane</derivirana_varijabla>
  </DomainObject.Predmet.StrankaWithAdress>
  <DomainObject.Predmet.StrankaWithAdressOIB>
    <izvorni_sadrzaj>FINA, OIB 85821130368,Ante Maksan, OIB 12533441299, Prološka Ulica 15,23210 Pakoštane</izvorni_sadrzaj>
    <derivirana_varijabla naziv="DomainObject.Predmet.StrankaWithAdressOIB_1">FINA, OIB 85821130368,Ante Maksan, OIB 12533441299, Prološka Ulica 15,23210 Pakoštane</derivirana_varijabla>
  </DomainObject.Predmet.StrankaWithAdressOIB>
  <DomainObject.Predmet.StrankaNazivFormated>
    <izvorni_sadrzaj>FINA,Ante Maksan</izvorni_sadrzaj>
    <derivirana_varijabla naziv="DomainObject.Predmet.StrankaNazivFormated_1">FINA,Ante Maksan</derivirana_varijabla>
  </DomainObject.Predmet.StrankaNazivFormated>
  <DomainObject.Predmet.StrankaNazivFormatedOIB>
    <izvorni_sadrzaj>FINA, OIB 85821130368,Ante Maksan, OIB 12533441299</izvorni_sadrzaj>
    <derivirana_varijabla naziv="DomainObject.Predmet.StrankaNazivFormatedOIB_1">FINA, OIB 85821130368,Ante Maksan, OIB 12533441299</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tem>Ante Maksan</item>
    </izvorni_sadrzaj>
    <derivirana_varijabla naziv="DomainObject.Predmet.StrankaListFormated_1">
      <item>FINA</item>
      <item>Ante Maksan</item>
    </derivirana_varijabla>
  </DomainObject.Predmet.StrankaListFormated>
  <DomainObject.Predmet.StrankaListFormatedOIB>
    <izvorni_sadrzaj>
      <item>FINA, OIB 85821130368</item>
      <item>Ante Maksan, OIB 12533441299</item>
    </izvorni_sadrzaj>
    <derivirana_varijabla naziv="DomainObject.Predmet.StrankaListFormatedOIB_1">
      <item>FINA, OIB 85821130368</item>
      <item>Ante Maksan, OIB 12533441299</item>
    </derivirana_varijabla>
  </DomainObject.Predmet.StrankaListFormatedOIB>
  <DomainObject.Predmet.StrankaListFormatedWithAdress>
    <izvorni_sadrzaj>
      <item>FINA</item>
      <item>Ante Maksan, Prološka Ulica 15, 23210 Pakoštane</item>
    </izvorni_sadrzaj>
    <derivirana_varijabla naziv="DomainObject.Predmet.StrankaListFormatedWithAdress_1">
      <item>FINA</item>
      <item>Ante Maksan, Prološka Ulica 15, 23210 Pakoštane</item>
    </derivirana_varijabla>
  </DomainObject.Predmet.StrankaListFormatedWithAdress>
  <DomainObject.Predmet.StrankaListFormatedWithAdressOIB>
    <izvorni_sadrzaj>
      <item>FINA, OIB 85821130368</item>
      <item>Ante Maksan, OIB 12533441299, Prološka Ulica 15, 23210 Pakoštane</item>
    </izvorni_sadrzaj>
    <derivirana_varijabla naziv="DomainObject.Predmet.StrankaListFormatedWithAdressOIB_1">
      <item>FINA, OIB 85821130368</item>
      <item>Ante Maksan, OIB 12533441299, Prološka Ulica 15, 23210 Pakoštane</item>
    </derivirana_varijabla>
  </DomainObject.Predmet.StrankaListFormatedWithAdressOIB>
  <DomainObject.Predmet.StrankaListNazivFormated>
    <izvorni_sadrzaj>
      <item>FINA</item>
      <item>Ante Maksan</item>
    </izvorni_sadrzaj>
    <derivirana_varijabla naziv="DomainObject.Predmet.StrankaListNazivFormated_1">
      <item>FINA</item>
      <item>Ante Maksan</item>
    </derivirana_varijabla>
  </DomainObject.Predmet.StrankaListNazivFormated>
  <DomainObject.Predmet.StrankaListNazivFormatedOIB>
    <izvorni_sadrzaj>
      <item>FINA, OIB 85821130368</item>
      <item>Ante Maksan, OIB 12533441299</item>
    </izvorni_sadrzaj>
    <derivirana_varijabla naziv="DomainObject.Predmet.StrankaListNazivFormatedOIB_1">
      <item>FINA, OIB 85821130368</item>
      <item>Ante Maksan, OIB 12533441299</item>
    </derivirana_varijabla>
  </DomainObject.Predmet.StrankaListNazivFormatedOIB>
  <DomainObject.Predmet.ProtuStrankaListFormated>
    <izvorni_sadrzaj>
      <item>DALMACIJA-PROJEKT d.o.o. za građevinarstvo</item>
    </izvorni_sadrzaj>
    <derivirana_varijabla naziv="DomainObject.Predmet.ProtuStrankaListFormated_1">
      <item>DALMACIJA-PROJEKT d.o.o. za građevinarstvo</item>
    </derivirana_varijabla>
  </DomainObject.Predmet.ProtuStrankaListFormated>
  <DomainObject.Predmet.ProtuStrankaListFormatedOIB>
    <izvorni_sadrzaj>
      <item>DALMACIJA-PROJEKT d.o.o. za građevinarstvo, OIB 93426396839</item>
    </izvorni_sadrzaj>
    <derivirana_varijabla naziv="DomainObject.Predmet.ProtuStrankaListFormatedOIB_1">
      <item>DALMACIJA-PROJEKT d.o.o. za građevinarstvo, OIB 93426396839</item>
    </derivirana_varijabla>
  </DomainObject.Predmet.ProtuStrankaListFormatedOIB>
  <DomainObject.Predmet.ProtuStrankaListFormatedWithAdress>
    <izvorni_sadrzaj>
      <item>DALMACIJA-PROJEKT d.o.o. za građevinarstvo, Prološka 15, 23210 Pakoštane</item>
    </izvorni_sadrzaj>
    <derivirana_varijabla naziv="DomainObject.Predmet.ProtuStrankaListFormatedWithAdress_1">
      <item>DALMACIJA-PROJEKT d.o.o. za građevinarstvo, Prološka 15, 23210 Pakoštane</item>
    </derivirana_varijabla>
  </DomainObject.Predmet.ProtuStrankaListFormatedWithAdress>
  <DomainObject.Predmet.ProtuStrankaListFormatedWithAdressOIB>
    <izvorni_sadrzaj>
      <item>DALMACIJA-PROJEKT d.o.o. za građevinarstvo, OIB 93426396839, Prološka 15, 23210 Pakoštane</item>
    </izvorni_sadrzaj>
    <derivirana_varijabla naziv="DomainObject.Predmet.ProtuStrankaListFormatedWithAdressOIB_1">
      <item>DALMACIJA-PROJEKT d.o.o. za građevinarstvo, OIB 93426396839, Prološka 15, 23210 Pakoštane</item>
    </derivirana_varijabla>
  </DomainObject.Predmet.ProtuStrankaListFormatedWithAdressOIB>
  <DomainObject.Predmet.ProtuStrankaListNazivFormated>
    <izvorni_sadrzaj>
      <item>DALMACIJA-PROJEKT d.o.o. za građevinarstvo</item>
    </izvorni_sadrzaj>
    <derivirana_varijabla naziv="DomainObject.Predmet.ProtuStrankaListNazivFormated_1">
      <item>DALMACIJA-PROJEKT d.o.o. za građevinarstvo</item>
    </derivirana_varijabla>
  </DomainObject.Predmet.ProtuStrankaListNazivFormated>
  <DomainObject.Predmet.ProtuStrankaListNazivFormatedOIB>
    <izvorni_sadrzaj>
      <item>DALMACIJA-PROJEKT d.o.o. za građevinarstvo, OIB 93426396839</item>
    </izvorni_sadrzaj>
    <derivirana_varijabla naziv="DomainObject.Predmet.ProtuStrankaListNazivFormatedOIB_1">
      <item>DALMACIJA-PROJEKT d.o.o. za građevinarstvo, OIB 93426396839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St-772/2016-32</izvorni_sadrzaj>
    <derivirana_varijabla naziv="DomainObject.PoslovniBrojDokumenta_1">St-772/2016-32</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DALMACIJA-PROJEKT d.o.o. za građevinarstvo</izvorni_sadrzaj>
    <derivirana_varijabla naziv="DomainObject.Predmet.ProtustrankaIDrugi_1">DALMACIJA-PROJEKT d.o.o. za građevinarstvo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DALMACIJA-PROJEKT d.o.o. za građevinarstvo, OIB 93426396839, Prološka 15, 23210 Pakoštane</izvorni_sadrzaj>
    <derivirana_varijabla naziv="DomainObject.Predmet.ProtustrankaIDrugiAdressOIB_1">DALMACIJA-PROJEKT d.o.o. za građevinarstvo, OIB 93426396839, Prološka 15, 23210 Pakoštane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DALMACIJA-PROJEKT d.o.o. za građevinarstvo</item>
      <item>FINA</item>
      <item>Ante Maksan</item>
    </izvorni_sadrzaj>
    <derivirana_varijabla naziv="DomainObject.Predmet.SudioniciListNaziv_1">
      <item>DALMACIJA-PROJEKT d.o.o. za građevinarstvo</item>
      <item>FINA</item>
      <item>Ante Maksan</item>
    </derivirana_varijabla>
  </DomainObject.Predmet.SudioniciListNaziv>
  <DomainObject.Predmet.SudioniciListAdressOIB>
    <izvorni_sadrzaj>
      <item>DALMACIJA-PROJEKT d.o.o. za građevinarstvo, OIB 93426396839, Prološka 15,23210 Pakoštane</item>
      <item>FINA, OIB 85821130368</item>
      <item>Ante Maksan, OIB 12533441299, Prološka Ulica 15,23210 Pakoštane</item>
    </izvorni_sadrzaj>
    <derivirana_varijabla naziv="DomainObject.Predmet.SudioniciListAdressOIB_1">
      <item>DALMACIJA-PROJEKT d.o.o. za građevinarstvo, OIB 93426396839, Prološka 15,23210 Pakoštane</item>
      <item>FINA, OIB 85821130368</item>
      <item>Ante Maksan, OIB 12533441299, Prološka Ulica 15,23210 Pakoštane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895181-9505-48D1-B688-0FAB738A7D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1137</properties:Words>
  <properties:Characters>6156</properties:Characters>
  <properties:Lines>128</properties:Lines>
  <properties:Paragraphs>32</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Martina Kalmeta</cp:lastModifiedBy>
  <dcterms:modified xmlns:xsi="http://www.w3.org/2001/XMLSchema-instance" xsi:type="dcterms:W3CDTF">2017-05-04T09:51:00Z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St-772/2016-32 / Odluka - Rješenje - određivanje nagrade stečajnom upravitelju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