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1a5c2" w14:paraId="741a5c2" w:rsidRDefault="00BD0C4A" w:rsidR="00BD0C4A">
      <w:pPr>
        <w:jc w:val="center"/>
        <w15:collapsed w:val="false"/>
        <w:rPr>
          <w:rFonts w:cs="Arial" w:hAnsi="Arial" w:ascii="Arial"/>
          <w:b/>
          <w:sz w:val="20"/>
          <w:szCs w:val="20"/>
        </w:rPr>
      </w:pPr>
      <w:bookmarkStart w:name="_GoBack" w:id="0"/>
      <w:bookmarkEnd w:id="0"/>
    </w:p>
    <w:p w:rsidRDefault="00852B31" w:rsidR="00BD0C4A">
      <w:pPr>
        <w:jc w:val="center"/>
        <w:rPr>
          <w:rFonts w:cs="Arial" w:hAnsi="Arial" w:ascii="Arial"/>
          <w:b/>
          <w:sz w:val="20"/>
          <w:szCs w:val="20"/>
        </w:rPr>
      </w:pPr>
      <w:r>
        <w:rPr>
          <w:rFonts w:cs="Arial" w:hAnsi="Arial" w:ascii="Arial"/>
          <w:b/>
          <w:sz w:val="20"/>
          <w:szCs w:val="20"/>
        </w:rPr>
        <w:t>Obrazac 21.</w:t>
      </w:r>
    </w:p>
    <w:p w:rsidRDefault="00BD0C4A" w:rsidR="00BD0C4A">
      <w:pPr>
        <w:jc w:val="center"/>
        <w:rPr>
          <w:rFonts w:cs="Arial" w:hAnsi="Arial" w:ascii="Arial"/>
          <w:b/>
          <w:sz w:val="20"/>
          <w:szCs w:val="20"/>
        </w:rPr>
      </w:pPr>
    </w:p>
    <w:p w:rsidRDefault="00852B31" w:rsidR="00BD0C4A">
      <w:pPr>
        <w:jc w:val="center"/>
        <w:rPr>
          <w:rFonts w:cs="Arial" w:hAnsi="Arial" w:ascii="Arial"/>
          <w:b/>
          <w:sz w:val="20"/>
          <w:szCs w:val="20"/>
        </w:rPr>
      </w:pPr>
      <w:r>
        <w:rPr>
          <w:rFonts w:cs="Arial" w:hAnsi="Arial" w:ascii="Arial"/>
          <w:b/>
          <w:sz w:val="20"/>
          <w:szCs w:val="20"/>
        </w:rPr>
        <w:t xml:space="preserve">IZVJEŠĆE STEČAJNOGA UPRAVITELJA O STANJU STEČAJNE MASE U RAZDOBLJU OD </w:t>
      </w:r>
    </w:p>
    <w:p w:rsidRDefault="00852B31" w:rsidR="00BD0C4A">
      <w:pPr>
        <w:jc w:val="center"/>
        <w:rPr>
          <w:rFonts w:cs="Arial" w:hAnsi="Arial" w:ascii="Arial"/>
          <w:b/>
          <w:sz w:val="20"/>
          <w:szCs w:val="20"/>
        </w:rPr>
      </w:pPr>
      <w:r>
        <w:rPr>
          <w:rFonts w:cs="Arial" w:hAnsi="Arial" w:ascii="Arial"/>
          <w:b/>
          <w:sz w:val="20"/>
          <w:szCs w:val="20"/>
        </w:rPr>
        <w:t>11.2.2015. DO 28.03.2018.</w:t>
      </w:r>
    </w:p>
    <w:p w:rsidRDefault="00BD0C4A" w:rsidR="00BD0C4A">
      <w:pPr>
        <w:jc w:val="center"/>
        <w:rPr>
          <w:rFonts w:cs="Arial" w:hAnsi="Arial" w:ascii="Arial"/>
          <w:b/>
          <w:sz w:val="20"/>
          <w:szCs w:val="20"/>
        </w:rPr>
      </w:pPr>
    </w:p>
    <w:p w:rsidRDefault="00BD0C4A" w:rsidR="00BD0C4A">
      <w:pPr>
        <w:jc w:val="center"/>
        <w:rPr>
          <w:rFonts w:cs="Arial" w:hAnsi="Arial" w:ascii="Arial"/>
          <w:b/>
          <w:sz w:val="20"/>
          <w:szCs w:val="20"/>
        </w:rPr>
      </w:pPr>
    </w:p>
    <w:p w:rsidRDefault="00852B31" w:rsidR="00BD0C4A">
      <w:pPr>
        <w:rPr>
          <w:rFonts w:cs="Arial" w:hAnsi="Arial" w:ascii="Arial"/>
          <w:sz w:val="20"/>
          <w:szCs w:val="20"/>
          <w:lang w:val="pl-PL"/>
        </w:rPr>
      </w:pPr>
      <w:r>
        <w:rPr>
          <w:rFonts w:cs="Arial" w:hAnsi="Arial" w:ascii="Arial"/>
          <w:sz w:val="20"/>
          <w:szCs w:val="20"/>
          <w:lang w:val="pl-PL"/>
        </w:rPr>
        <w:t xml:space="preserve">Nadležni trgovački sud :Trgovački sud u Zagrebu       </w:t>
      </w:r>
    </w:p>
    <w:p w:rsidRDefault="00852B31" w:rsidR="00BD0C4A">
      <w:pPr>
        <w:jc w:val="both"/>
        <w:rPr>
          <w:rFonts w:cs="Arial" w:hAnsi="Arial" w:ascii="Arial"/>
          <w:sz w:val="20"/>
          <w:szCs w:val="20"/>
          <w:lang w:val="pl-PL"/>
        </w:rPr>
      </w:pPr>
      <w:r>
        <w:rPr>
          <w:rFonts w:cs="Arial" w:hAnsi="Arial" w:ascii="Arial"/>
          <w:sz w:val="20"/>
          <w:szCs w:val="20"/>
          <w:lang w:val="pl-PL"/>
        </w:rPr>
        <w:t xml:space="preserve">Poslovni broj spisa:40.St-207/13 </w:t>
      </w:r>
    </w:p>
    <w:p w:rsidRDefault="00852B31" w:rsidR="00BD0C4A">
      <w:pPr>
        <w:rPr>
          <w:rFonts w:cs="Arial" w:hAnsi="Arial" w:ascii="Arial"/>
          <w:sz w:val="20"/>
          <w:szCs w:val="20"/>
          <w:lang w:val="pl-PL"/>
        </w:rPr>
      </w:pPr>
      <w:r>
        <w:rPr>
          <w:rFonts w:cs="Arial" w:hAnsi="Arial" w:ascii="Arial"/>
          <w:sz w:val="20"/>
          <w:szCs w:val="20"/>
          <w:lang w:val="pl-PL"/>
        </w:rPr>
        <w:t xml:space="preserve">Dužnik (ime i prezime / tvrtka ili naziv, OIB, adresa / sjedište) </w:t>
      </w:r>
    </w:p>
    <w:p w:rsidRDefault="00852B31" w:rsidR="00BD0C4A">
      <w:pPr>
        <w:rPr>
          <w:rFonts w:cs="Arial" w:hAnsi="Arial" w:ascii="Arial"/>
          <w:sz w:val="20"/>
          <w:szCs w:val="20"/>
          <w:lang w:val="pl-PL"/>
        </w:rPr>
      </w:pPr>
      <w:r>
        <w:rPr>
          <w:rFonts w:cs="Arial" w:hAnsi="Arial" w:ascii="Arial"/>
          <w:sz w:val="20"/>
          <w:szCs w:val="20"/>
          <w:lang w:val="pl-PL"/>
        </w:rPr>
        <w:t>Stečajna masa stečajnog dužnika MIRAN DAN d.o.o., Zagreb, Janka Rakuša 4</w:t>
      </w:r>
    </w:p>
    <w:p w:rsidRDefault="00BD0C4A" w:rsidR="00BD0C4A">
      <w:pPr>
        <w:pStyle w:val="Bezproreda"/>
        <w:rPr>
          <w:rFonts w:cs="Arial" w:hAnsi="Arial" w:ascii="Arial"/>
          <w:b/>
          <w:sz w:val="20"/>
          <w:szCs w:val="20"/>
        </w:rPr>
      </w:pPr>
    </w:p>
    <w:p w:rsidRDefault="00BD0C4A" w:rsidR="00BD0C4A">
      <w:pPr>
        <w:pStyle w:val="Bezproreda"/>
        <w:rPr>
          <w:rFonts w:cs="Arial" w:hAnsi="Arial" w:ascii="Arial"/>
          <w:b/>
          <w:sz w:val="20"/>
          <w:szCs w:val="20"/>
        </w:rPr>
      </w:pPr>
    </w:p>
    <w:p w:rsidRDefault="00852B31" w:rsidR="00BD0C4A">
      <w:pPr>
        <w:pStyle w:val="Bezproreda"/>
        <w:numPr>
          <w:ilvl w:val="0"/>
          <w:numId w:val="1"/>
        </w:numPr>
        <w:jc w:val="both"/>
        <w:rPr>
          <w:rFonts w:cs="Arial" w:hAnsi="Arial" w:ascii="Arial"/>
          <w:sz w:val="20"/>
          <w:szCs w:val="20"/>
        </w:rPr>
      </w:pPr>
      <w:r>
        <w:rPr>
          <w:rFonts w:cs="Arial" w:hAnsi="Arial" w:ascii="Arial"/>
          <w:sz w:val="20"/>
          <w:szCs w:val="20"/>
        </w:rPr>
        <w:t xml:space="preserve">STANJE STEČAJNE MASE </w:t>
      </w:r>
    </w:p>
    <w:p w:rsidRDefault="00BD0C4A" w:rsidR="00BD0C4A">
      <w:pPr>
        <w:pStyle w:val="Bezproreda"/>
        <w:jc w:val="both"/>
        <w:rPr>
          <w:rFonts w:cs="Arial" w:hAnsi="Arial" w:ascii="Arial"/>
          <w:b/>
          <w:sz w:val="20"/>
          <w:szCs w:val="20"/>
        </w:rPr>
      </w:pPr>
    </w:p>
    <w:p w:rsidRDefault="00852B31" w:rsidR="00BD0C4A">
      <w:pPr>
        <w:pStyle w:val="Bezproreda"/>
        <w:jc w:val="both"/>
        <w:rPr>
          <w:rFonts w:cs="Arial" w:hAnsi="Arial" w:ascii="Arial"/>
          <w:sz w:val="20"/>
          <w:szCs w:val="20"/>
        </w:rPr>
      </w:pPr>
      <w:r>
        <w:rPr>
          <w:rFonts w:cs="Arial" w:hAnsi="Arial" w:ascii="Arial"/>
          <w:sz w:val="20"/>
          <w:szCs w:val="20"/>
        </w:rPr>
        <w:t xml:space="preserve">Rješenjem nadležnog suda dana 9.siječnja 2015. godine zaključen je stečajni postupak nad dužnikom MIRAN DAN d.o.o., a dana 11.veljače 2015 održana je skupština vjerovnika na kojoj je razriješen dužnosti stečajni upravitelj Maroje Stjepović, te je imenovan stečajni upravitelj Paić za stečajnog upravitelja stečajne mase stečajnog dužnika MIRAN DAN d.o.o. Zapisnik o primopredaji dužnosti nad dužnikom stečajna masa MIRAN DAN d.o.o sastavljen je dana 26.ožujka 2015. godine, čemu je prethodila primopredaja dokumentacije dužnika. </w:t>
      </w:r>
    </w:p>
    <w:p w:rsidRDefault="00852B31" w:rsidR="00BD0C4A">
      <w:pPr>
        <w:pStyle w:val="Bezproreda"/>
        <w:jc w:val="both"/>
      </w:pPr>
      <w:r>
        <w:rPr>
          <w:rFonts w:cs="Arial" w:hAnsi="Arial" w:ascii="Arial"/>
          <w:sz w:val="20"/>
          <w:szCs w:val="20"/>
        </w:rPr>
        <w:t>Kako je prilikom preuzimanja dužnosti utvrđeno da stečajnu masu čine sredstva</w:t>
      </w:r>
      <w:r>
        <w:t xml:space="preserve"> </w:t>
      </w:r>
      <w:r>
        <w:rPr>
          <w:rFonts w:cs="Arial" w:hAnsi="Arial" w:ascii="Arial"/>
          <w:sz w:val="20"/>
          <w:szCs w:val="20"/>
        </w:rPr>
        <w:t xml:space="preserve">u iznosu od  =1.300.000,00 kn  rezervirana na ime troškova vođenja parnica (položena na depozitni račun suda dana 26.1.2015. godine)  i to  MIRANA DAN d.o.o. protiv VJESNIK d.d. radi naknade štete i VJESNIK d.d. protiv MIRAN DANA d.o.o. radi utvrđivanja osporene tražbine, sve provedene aktivnosti stečajnog upravitelja u izvještajnom razdoblju bile su usmjerene  na pokušaju mirnog rješenja navedenih sporova uz što manje troškove vođenja parnica za koje je bilo razvidno da se neće skoro okončati, a prema mišljenju struke i ishod oba spora je neizvjestan. </w:t>
      </w:r>
    </w:p>
    <w:p w:rsidRDefault="00BD0C4A" w:rsidR="00BD0C4A">
      <w:pPr>
        <w:pStyle w:val="Bezproreda"/>
        <w:jc w:val="both"/>
        <w:rPr>
          <w:rFonts w:cs="Arial" w:hAnsi="Arial" w:ascii="Arial"/>
          <w:sz w:val="20"/>
          <w:szCs w:val="20"/>
        </w:rPr>
      </w:pPr>
    </w:p>
    <w:p w:rsidRDefault="00852B31" w:rsidR="00BD0C4A">
      <w:pPr>
        <w:pStyle w:val="Bezproreda"/>
        <w:jc w:val="both"/>
        <w:rPr>
          <w:rFonts w:cs="Arial" w:hAnsi="Arial" w:ascii="Arial"/>
          <w:sz w:val="20"/>
          <w:szCs w:val="20"/>
        </w:rPr>
      </w:pPr>
      <w:r>
        <w:rPr>
          <w:rFonts w:cs="Arial" w:hAnsi="Arial" w:ascii="Arial"/>
          <w:sz w:val="20"/>
          <w:szCs w:val="20"/>
        </w:rPr>
        <w:t xml:space="preserve">Od lipnja 2015. godine stečajni upravitelj pokušava sa upravom VJESNIKA d.d. dogovoriti zaključenje izvansudske nagodbe uz napomenu da svu postupak  usporavale promjene Uprave u VJESNIKU d.d.  </w:t>
      </w:r>
    </w:p>
    <w:p w:rsidRDefault="00BD0C4A" w:rsidR="00BD0C4A">
      <w:pPr>
        <w:pStyle w:val="Bezproreda"/>
        <w:jc w:val="both"/>
        <w:rPr>
          <w:rFonts w:cs="Arial" w:hAnsi="Arial" w:ascii="Arial"/>
          <w:sz w:val="20"/>
          <w:szCs w:val="20"/>
        </w:rPr>
      </w:pPr>
    </w:p>
    <w:p w:rsidRDefault="00852B31" w:rsidR="00BD0C4A">
      <w:pPr>
        <w:pStyle w:val="Bezproreda"/>
        <w:jc w:val="both"/>
        <w:rPr>
          <w:rFonts w:cs="Arial" w:hAnsi="Arial" w:ascii="Arial"/>
          <w:b/>
          <w:sz w:val="20"/>
          <w:szCs w:val="20"/>
        </w:rPr>
      </w:pPr>
      <w:r>
        <w:rPr>
          <w:rFonts w:cs="Arial" w:hAnsi="Arial" w:ascii="Arial"/>
          <w:b/>
          <w:sz w:val="20"/>
          <w:szCs w:val="20"/>
        </w:rPr>
        <w:t xml:space="preserve">Stečajna masa </w:t>
      </w:r>
    </w:p>
    <w:p w:rsidRDefault="00BD0C4A" w:rsidR="00BD0C4A">
      <w:pPr>
        <w:pStyle w:val="Bezproreda"/>
        <w:jc w:val="both"/>
        <w:rPr>
          <w:rFonts w:cs="Arial" w:hAnsi="Arial" w:ascii="Arial"/>
          <w:b/>
          <w:sz w:val="20"/>
          <w:szCs w:val="20"/>
        </w:rPr>
      </w:pPr>
    </w:p>
    <w:p w:rsidRDefault="00852B31" w:rsidR="00BD0C4A">
      <w:pPr>
        <w:pStyle w:val="Bezproreda"/>
        <w:rPr>
          <w:rFonts w:cs="Arial" w:hAnsi="Arial" w:ascii="Arial"/>
          <w:sz w:val="20"/>
          <w:szCs w:val="20"/>
        </w:rPr>
      </w:pPr>
      <w:r>
        <w:rPr>
          <w:rFonts w:cs="Arial" w:hAnsi="Arial" w:ascii="Arial"/>
          <w:sz w:val="20"/>
          <w:szCs w:val="20"/>
        </w:rPr>
        <w:t xml:space="preserve">Stečajnu masu  čine  sredstava u iznosu od =1.295.961,00 kn ( iz sredstava na računu suda plaćen oglas u Narodnim novinama – objava zaključenja stečajnog postupka i financijsko vještačenje po rješenju Trgovačkog suda u Zagrebu broj P-2708/2014 od  25.10.2016.)  koja se  nalaze na računu depozita Trgovačkog suda u Zagrebu, obzirom da su parnice do čijeg okončanja su sredstva rezervirana još uvijek u tijeku.  </w:t>
      </w:r>
    </w:p>
    <w:p w:rsidRDefault="00852B31" w:rsidR="00BD0C4A">
      <w:pPr>
        <w:pStyle w:val="Bezproreda"/>
        <w:rPr>
          <w:rFonts w:cs="Arial" w:hAnsi="Arial" w:ascii="Arial"/>
          <w:sz w:val="20"/>
          <w:szCs w:val="20"/>
        </w:rPr>
      </w:pPr>
      <w:r>
        <w:rPr>
          <w:rFonts w:cs="Arial" w:hAnsi="Arial" w:ascii="Arial"/>
          <w:sz w:val="20"/>
          <w:szCs w:val="20"/>
        </w:rPr>
        <w:t xml:space="preserve">Nakon bezuspješnog pokušaja mirnog rješenja sporova, ponovo se promijenila uprava u VJESNIKU d.d. pa je stečajni upravitelje ponovo pokrenuo postupak mirnog rješenja sporova. </w:t>
      </w:r>
    </w:p>
    <w:p w:rsidRDefault="00852B31" w:rsidR="00BD0C4A">
      <w:pPr>
        <w:pStyle w:val="Bezproreda"/>
        <w:rPr>
          <w:rFonts w:cs="Arial" w:hAnsi="Arial" w:ascii="Arial"/>
          <w:sz w:val="20"/>
          <w:szCs w:val="20"/>
        </w:rPr>
      </w:pPr>
      <w:r>
        <w:rPr>
          <w:rFonts w:cs="Arial" w:hAnsi="Arial" w:ascii="Arial"/>
          <w:sz w:val="20"/>
          <w:szCs w:val="20"/>
        </w:rPr>
        <w:t xml:space="preserve">Dana 01.12.2017. godine dostavio je na sudski spis Prijedlog za zaključenje izvansudske nagodbe, a nakon   održanog sastanka sa novim predsjednikom uprave Vjesnika d.d. na način da :   </w:t>
      </w:r>
    </w:p>
    <w:p w:rsidRDefault="00852B31" w:rsidR="00BD0C4A">
      <w:pPr>
        <w:pStyle w:val="Bezproreda"/>
        <w:spacing w:after="0"/>
        <w:rPr>
          <w:rFonts w:cs="Arial" w:hAnsi="Arial" w:ascii="Arial"/>
          <w:sz w:val="20"/>
          <w:szCs w:val="20"/>
        </w:rPr>
      </w:pPr>
      <w:r>
        <w:rPr>
          <w:rFonts w:cs="Arial" w:hAnsi="Arial" w:ascii="Arial"/>
          <w:sz w:val="20"/>
          <w:szCs w:val="20"/>
        </w:rPr>
        <w:t xml:space="preserve">-Stečajna masa iza MIRAN DAN d.o.o. u stečaju će isplatiti odvjetničku nagradu svom punomoćniku </w:t>
      </w:r>
    </w:p>
    <w:p w:rsidRDefault="00852B31" w:rsidR="00BD0C4A">
      <w:pPr>
        <w:pStyle w:val="Bezproreda"/>
        <w:spacing w:after="0"/>
        <w:rPr>
          <w:rFonts w:cs="Arial" w:hAnsi="Arial" w:ascii="Arial"/>
          <w:sz w:val="20"/>
          <w:szCs w:val="20"/>
        </w:rPr>
      </w:pPr>
      <w:r>
        <w:rPr>
          <w:rFonts w:cs="Arial" w:hAnsi="Arial" w:ascii="Arial"/>
          <w:sz w:val="20"/>
          <w:szCs w:val="20"/>
        </w:rPr>
        <w:t>u iznosu od =150.000,00 kn uvećanu za pdv, i na ime parničnih troškova doznačiti VJESNIK u d.d. iznos od =150.000,00 kn uvećan za pdv , a sve po  zaključenoj izvansudskoj nagodbi.</w:t>
      </w:r>
    </w:p>
    <w:p w:rsidRDefault="00BD0C4A" w:rsidR="00BD0C4A">
      <w:pPr>
        <w:pStyle w:val="Bezproreda"/>
        <w:spacing w:after="0"/>
        <w:rPr>
          <w:rFonts w:cs="Arial" w:hAnsi="Arial" w:ascii="Arial"/>
          <w:sz w:val="20"/>
          <w:szCs w:val="20"/>
        </w:rPr>
      </w:pPr>
    </w:p>
    <w:p w:rsidRDefault="00852B31" w:rsidR="00BD0C4A">
      <w:pPr>
        <w:pStyle w:val="Bezproreda"/>
        <w:spacing w:after="0"/>
        <w:rPr>
          <w:rFonts w:cs="Arial" w:hAnsi="Arial" w:ascii="Arial"/>
          <w:sz w:val="20"/>
          <w:szCs w:val="20"/>
        </w:rPr>
      </w:pPr>
      <w:r>
        <w:rPr>
          <w:rFonts w:cs="Arial" w:hAnsi="Arial" w:ascii="Arial"/>
          <w:sz w:val="20"/>
          <w:szCs w:val="20"/>
        </w:rPr>
        <w:t xml:space="preserve">Po zaključenoj izvansudskoj nagodbi obje strane će  povući tužbe i to VJESNIK d.d. u predmetu koji se vodi pred Trgovačkim sudom u Zagrebu poslovni broj  P-2233/2016.,  a Stečajna masa iza MIRAN DAN d.o.o. u predmetu koji se vodi pred Trgovačkim sudom u Zagrebu  broj P-2708/14   i odreći se tužbenih zahtjeva. </w:t>
      </w:r>
    </w:p>
    <w:p w:rsidRDefault="00BD0C4A" w:rsidR="00BD0C4A">
      <w:pPr>
        <w:pStyle w:val="Bezproreda"/>
        <w:spacing w:after="0"/>
        <w:rPr>
          <w:rFonts w:cs="Arial" w:hAnsi="Arial" w:ascii="Arial"/>
          <w:sz w:val="20"/>
          <w:szCs w:val="20"/>
        </w:rPr>
      </w:pPr>
    </w:p>
    <w:p w:rsidRDefault="00852B31" w:rsidR="00BD0C4A">
      <w:pPr>
        <w:pStyle w:val="Bezproreda"/>
        <w:spacing w:after="0"/>
        <w:rPr>
          <w:rFonts w:cs="Arial" w:hAnsi="Arial" w:ascii="Arial"/>
          <w:sz w:val="20"/>
          <w:szCs w:val="20"/>
        </w:rPr>
      </w:pPr>
      <w:r>
        <w:rPr>
          <w:rFonts w:cs="Arial" w:hAnsi="Arial" w:ascii="Arial"/>
          <w:sz w:val="20"/>
          <w:szCs w:val="20"/>
        </w:rPr>
        <w:lastRenderedPageBreak/>
        <w:t xml:space="preserve">Po  ispunjenju naprijed navedenog VJESNIK d.d. i Stečajna masa  MIRAN DAN  d.o.o. u stečaju nemaju više nikakvih daljnjih potraživanja i obveza po bilo kojoj osnovi. </w:t>
      </w:r>
    </w:p>
    <w:p w:rsidRDefault="00BD0C4A" w:rsidR="00BD0C4A">
      <w:pPr>
        <w:pStyle w:val="Bezproreda"/>
        <w:rPr>
          <w:rFonts w:cs="Arial" w:hAnsi="Arial" w:ascii="Arial"/>
          <w:sz w:val="20"/>
          <w:szCs w:val="20"/>
        </w:rPr>
      </w:pPr>
    </w:p>
    <w:p w:rsidRDefault="00852B31" w:rsidR="00BD0C4A">
      <w:pPr>
        <w:pStyle w:val="Bezproreda"/>
        <w:rPr>
          <w:rFonts w:cs="Arial" w:hAnsi="Arial" w:ascii="Arial"/>
          <w:sz w:val="20"/>
          <w:szCs w:val="20"/>
        </w:rPr>
      </w:pPr>
      <w:r>
        <w:rPr>
          <w:rFonts w:cs="Arial" w:hAnsi="Arial" w:ascii="Arial"/>
          <w:sz w:val="20"/>
          <w:szCs w:val="20"/>
        </w:rPr>
        <w:t xml:space="preserve">Kako je  Nadzorni  odbor  VJESNIKA d.d. prihvatio prijedlog nagodbe, uprava je dostavila stečajnom upravitelju pisani prijedlog  IZVANSUDKE NAGODBE. </w:t>
      </w:r>
    </w:p>
    <w:p w:rsidRDefault="00BD0C4A" w:rsidR="00BD0C4A">
      <w:pPr>
        <w:pStyle w:val="Bezproreda"/>
        <w:rPr>
          <w:rFonts w:cs="Arial" w:hAnsi="Arial" w:ascii="Arial"/>
          <w:b/>
          <w:sz w:val="20"/>
          <w:szCs w:val="20"/>
        </w:rPr>
      </w:pPr>
    </w:p>
    <w:p w:rsidRDefault="00852B31" w:rsidR="00BD0C4A">
      <w:pPr>
        <w:pStyle w:val="Bezproreda"/>
        <w:rPr>
          <w:rFonts w:cs="Arial" w:hAnsi="Arial" w:ascii="Arial"/>
          <w:b/>
          <w:sz w:val="20"/>
          <w:szCs w:val="20"/>
        </w:rPr>
      </w:pPr>
      <w:r>
        <w:rPr>
          <w:rFonts w:cs="Arial" w:hAnsi="Arial" w:ascii="Arial"/>
          <w:b/>
          <w:sz w:val="20"/>
          <w:szCs w:val="20"/>
        </w:rPr>
        <w:t xml:space="preserve">Troškovi postupka </w:t>
      </w:r>
    </w:p>
    <w:p w:rsidRDefault="00BD0C4A" w:rsidR="00BD0C4A">
      <w:pPr>
        <w:pStyle w:val="Bezproreda"/>
        <w:rPr>
          <w:rFonts w:cs="Arial" w:hAnsi="Arial" w:ascii="Arial"/>
          <w:sz w:val="20"/>
          <w:szCs w:val="20"/>
        </w:rPr>
      </w:pPr>
    </w:p>
    <w:p w:rsidRDefault="00852B31" w:rsidR="00BD0C4A">
      <w:pPr>
        <w:pStyle w:val="Bezproreda"/>
        <w:rPr>
          <w:rFonts w:cs="Arial" w:hAnsi="Arial" w:ascii="Arial"/>
          <w:sz w:val="20"/>
          <w:szCs w:val="20"/>
        </w:rPr>
      </w:pPr>
      <w:r>
        <w:rPr>
          <w:rFonts w:cs="Arial" w:hAnsi="Arial" w:ascii="Arial"/>
          <w:sz w:val="20"/>
          <w:szCs w:val="20"/>
        </w:rPr>
        <w:t xml:space="preserve">Stečajni upravitelj je u prethodnom izvješću dostavio dospjele nepodmirene troškove, te po Zaključku suda od dana 27.prosinca 2017. godine dokumentirano i obrazloženo  izvješće o  istima. </w:t>
      </w:r>
    </w:p>
    <w:p w:rsidRDefault="00852B31" w:rsidR="00BD0C4A">
      <w:pPr>
        <w:pStyle w:val="Bezproreda"/>
        <w:rPr>
          <w:rFonts w:cs="Arial" w:hAnsi="Arial" w:ascii="Arial"/>
          <w:sz w:val="20"/>
          <w:szCs w:val="20"/>
        </w:rPr>
      </w:pPr>
      <w:r>
        <w:rPr>
          <w:rFonts w:cs="Arial" w:hAnsi="Arial" w:ascii="Arial"/>
          <w:sz w:val="20"/>
          <w:szCs w:val="20"/>
        </w:rPr>
        <w:t>Napominjemo da su troškovi u odnosu na prethodno izvješće usklađeni sa prijedlogom izvansudske nagodbe u dijelu koji se odnosi na odvjetničke usluge.</w:t>
      </w:r>
    </w:p>
    <w:p w:rsidRDefault="00BD0C4A" w:rsidR="00BD0C4A">
      <w:pPr>
        <w:pStyle w:val="Bezproreda"/>
        <w:rPr>
          <w:rFonts w:cs="Arial" w:hAnsi="Arial" w:ascii="Arial"/>
          <w:sz w:val="20"/>
          <w:szCs w:val="20"/>
        </w:rPr>
      </w:pPr>
    </w:p>
    <w:p w:rsidRDefault="00852B31" w:rsidR="00BD0C4A">
      <w:pPr>
        <w:pStyle w:val="Bezproreda"/>
        <w:jc w:val="both"/>
      </w:pPr>
      <w:r>
        <w:rPr>
          <w:rFonts w:cs="Arial" w:hAnsi="Arial" w:ascii="Arial"/>
          <w:sz w:val="20"/>
          <w:szCs w:val="20"/>
        </w:rPr>
        <w:t>1.Dospjeli nepodmireni troškovi na  dan  31.07.2017.</w:t>
      </w:r>
      <w:r>
        <w:rPr>
          <w:rFonts w:cs="Arial" w:hAnsi="Arial" w:ascii="Arial"/>
          <w:b/>
          <w:sz w:val="20"/>
          <w:szCs w:val="20"/>
        </w:rPr>
        <w:t xml:space="preserve"> </w:t>
      </w:r>
      <w:r>
        <w:rPr>
          <w:rFonts w:cs="Arial" w:hAnsi="Arial" w:ascii="Arial"/>
          <w:sz w:val="20"/>
          <w:szCs w:val="20"/>
        </w:rPr>
        <w:t xml:space="preserve">godine utvrđeni u prethodnom izvješću. </w:t>
      </w:r>
    </w:p>
    <w:tbl>
      <w:tblPr>
        <w:tblW w:type="dxa" w:w="9464"/>
        <w:tblCellMar>
          <w:left w:type="dxa" w:w="10"/>
          <w:right w:type="dxa" w:w="10"/>
        </w:tblCellMar>
        <w:tblLook w:val="0000" w:noVBand="0" w:noHBand="0" w:lastColumn="0" w:firstColumn="0" w:lastRow="0" w:firstRow="0"/>
      </w:tblPr>
      <w:tblGrid>
        <w:gridCol w:w="495"/>
        <w:gridCol w:w="7416"/>
        <w:gridCol w:w="1553"/>
      </w:tblGrid>
      <w:tr w:rsidR="00BD0C4A">
        <w:trPr>
          <w:trHeight w:val="339"/>
        </w:trPr>
        <w:tc>
          <w:tcPr>
            <w:tcW w:type="dxa" w:w="49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jc w:val="center"/>
              <w:rPr>
                <w:rFonts w:cs="Arial" w:hAnsi="Arial" w:ascii="Arial"/>
                <w:b/>
                <w:sz w:val="20"/>
                <w:szCs w:val="20"/>
              </w:rPr>
            </w:pPr>
            <w:r>
              <w:rPr>
                <w:rFonts w:cs="Arial" w:hAnsi="Arial" w:ascii="Arial"/>
                <w:b/>
                <w:sz w:val="20"/>
                <w:szCs w:val="20"/>
              </w:rPr>
              <w:t>rb</w:t>
            </w:r>
          </w:p>
        </w:tc>
        <w:tc>
          <w:tcPr>
            <w:tcW w:type="dxa" w:w="741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jc w:val="center"/>
              <w:rPr>
                <w:rFonts w:cs="Arial" w:hAnsi="Arial" w:ascii="Arial"/>
                <w:b/>
                <w:sz w:val="20"/>
                <w:szCs w:val="20"/>
              </w:rPr>
            </w:pPr>
            <w:r>
              <w:rPr>
                <w:rFonts w:cs="Arial" w:hAnsi="Arial" w:ascii="Arial"/>
                <w:b/>
                <w:sz w:val="20"/>
                <w:szCs w:val="20"/>
              </w:rPr>
              <w:t>Troškovi</w:t>
            </w:r>
          </w:p>
        </w:tc>
        <w:tc>
          <w:tcPr>
            <w:tcW w:type="dxa" w:w="1553"/>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jc w:val="center"/>
              <w:rPr>
                <w:rFonts w:cs="Arial" w:hAnsi="Arial" w:ascii="Arial"/>
                <w:b/>
                <w:sz w:val="20"/>
                <w:szCs w:val="20"/>
              </w:rPr>
            </w:pPr>
            <w:r>
              <w:rPr>
                <w:rFonts w:cs="Arial" w:hAnsi="Arial" w:ascii="Arial"/>
                <w:b/>
                <w:sz w:val="20"/>
                <w:szCs w:val="20"/>
              </w:rPr>
              <w:t>Iznos u kn</w:t>
            </w:r>
          </w:p>
        </w:tc>
      </w:tr>
      <w:tr w:rsidR="00BD0C4A">
        <w:trPr>
          <w:trHeight w:val="309"/>
        </w:trPr>
        <w:tc>
          <w:tcPr>
            <w:tcW w:type="dxa" w:w="49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jc w:val="center"/>
              <w:rPr>
                <w:rFonts w:cs="Arial" w:hAnsi="Arial" w:ascii="Arial"/>
                <w:sz w:val="20"/>
                <w:szCs w:val="20"/>
              </w:rPr>
            </w:pPr>
            <w:r>
              <w:rPr>
                <w:rFonts w:cs="Arial" w:hAnsi="Arial" w:ascii="Arial"/>
                <w:sz w:val="20"/>
                <w:szCs w:val="20"/>
              </w:rPr>
              <w:t>1.</w:t>
            </w:r>
          </w:p>
        </w:tc>
        <w:tc>
          <w:tcPr>
            <w:tcW w:type="dxa" w:w="741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rPr>
                <w:rFonts w:cs="Arial" w:hAnsi="Arial" w:ascii="Arial"/>
                <w:sz w:val="20"/>
                <w:szCs w:val="20"/>
              </w:rPr>
            </w:pPr>
            <w:r>
              <w:rPr>
                <w:rFonts w:cs="Arial" w:hAnsi="Arial" w:ascii="Arial"/>
                <w:sz w:val="20"/>
                <w:szCs w:val="20"/>
              </w:rPr>
              <w:t xml:space="preserve">Pravno mišljenje P.Mostarčić, angažirana po prethodnom stečajnom upravitelju </w:t>
            </w:r>
          </w:p>
          <w:p w:rsidRDefault="00852B31" w:rsidR="00BD0C4A">
            <w:pPr>
              <w:rPr>
                <w:rFonts w:cs="Arial" w:hAnsi="Arial" w:ascii="Arial"/>
                <w:sz w:val="20"/>
                <w:szCs w:val="20"/>
              </w:rPr>
            </w:pPr>
            <w:r>
              <w:rPr>
                <w:rFonts w:cs="Arial" w:hAnsi="Arial" w:ascii="Arial"/>
                <w:sz w:val="20"/>
                <w:szCs w:val="20"/>
              </w:rPr>
              <w:t>M.Stjepoviću , rn  br 13  od 24.04.2014</w:t>
            </w:r>
          </w:p>
        </w:tc>
        <w:tc>
          <w:tcPr>
            <w:tcW w:type="dxa" w:w="1553"/>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jc w:val="right"/>
              <w:rPr>
                <w:rFonts w:cs="Arial" w:hAnsi="Arial" w:ascii="Arial"/>
                <w:sz w:val="20"/>
                <w:szCs w:val="20"/>
              </w:rPr>
            </w:pPr>
            <w:r>
              <w:rPr>
                <w:rFonts w:cs="Arial" w:hAnsi="Arial" w:ascii="Arial"/>
                <w:sz w:val="20"/>
                <w:szCs w:val="20"/>
              </w:rPr>
              <w:t xml:space="preserve">1.875,00 </w:t>
            </w:r>
          </w:p>
        </w:tc>
      </w:tr>
      <w:tr w:rsidR="00BD0C4A">
        <w:trPr>
          <w:trHeight w:val="400"/>
        </w:trPr>
        <w:tc>
          <w:tcPr>
            <w:tcW w:type="dxa" w:w="49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jc w:val="center"/>
              <w:rPr>
                <w:rFonts w:cs="Arial" w:hAnsi="Arial" w:ascii="Arial"/>
                <w:sz w:val="20"/>
                <w:szCs w:val="20"/>
              </w:rPr>
            </w:pPr>
            <w:r>
              <w:rPr>
                <w:rFonts w:cs="Arial" w:hAnsi="Arial" w:ascii="Arial"/>
                <w:sz w:val="20"/>
                <w:szCs w:val="20"/>
              </w:rPr>
              <w:t>2.</w:t>
            </w:r>
          </w:p>
        </w:tc>
        <w:tc>
          <w:tcPr>
            <w:tcW w:type="dxa" w:w="741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rPr>
                <w:rFonts w:cs="Arial" w:hAnsi="Arial" w:ascii="Arial"/>
                <w:sz w:val="20"/>
                <w:szCs w:val="20"/>
              </w:rPr>
            </w:pPr>
            <w:r>
              <w:rPr>
                <w:rFonts w:cs="Arial" w:hAnsi="Arial" w:ascii="Arial"/>
                <w:sz w:val="20"/>
                <w:szCs w:val="20"/>
              </w:rPr>
              <w:t>Troškovi punomoćnika odvjetnika Rstića (neto 150.000,00 kn+pdv)</w:t>
            </w:r>
          </w:p>
        </w:tc>
        <w:tc>
          <w:tcPr>
            <w:tcW w:type="dxa" w:w="1553"/>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jc w:val="right"/>
              <w:rPr>
                <w:rFonts w:cs="Arial" w:hAnsi="Arial" w:ascii="Arial"/>
                <w:sz w:val="20"/>
                <w:szCs w:val="20"/>
              </w:rPr>
            </w:pPr>
            <w:r>
              <w:rPr>
                <w:rFonts w:cs="Arial" w:hAnsi="Arial" w:ascii="Arial"/>
                <w:sz w:val="20"/>
                <w:szCs w:val="20"/>
              </w:rPr>
              <w:t>187.500,00</w:t>
            </w:r>
          </w:p>
        </w:tc>
      </w:tr>
      <w:tr w:rsidR="00BD0C4A">
        <w:trPr>
          <w:trHeight w:val="400"/>
        </w:trPr>
        <w:tc>
          <w:tcPr>
            <w:tcW w:type="dxa" w:w="49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jc w:val="center"/>
              <w:rPr>
                <w:rFonts w:cs="Arial" w:hAnsi="Arial" w:ascii="Arial"/>
                <w:sz w:val="20"/>
                <w:szCs w:val="20"/>
              </w:rPr>
            </w:pPr>
            <w:r>
              <w:rPr>
                <w:rFonts w:cs="Arial" w:hAnsi="Arial" w:ascii="Arial"/>
                <w:sz w:val="20"/>
                <w:szCs w:val="20"/>
              </w:rPr>
              <w:t>3.</w:t>
            </w:r>
          </w:p>
        </w:tc>
        <w:tc>
          <w:tcPr>
            <w:tcW w:type="dxa" w:w="741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rPr>
                <w:rFonts w:cs="Arial" w:hAnsi="Arial" w:ascii="Arial"/>
                <w:sz w:val="20"/>
                <w:szCs w:val="20"/>
              </w:rPr>
            </w:pPr>
            <w:r>
              <w:rPr>
                <w:rFonts w:cs="Arial" w:hAnsi="Arial" w:ascii="Arial"/>
                <w:sz w:val="20"/>
                <w:szCs w:val="20"/>
              </w:rPr>
              <w:t>Dio parničnih troškova  VJESNIKA d.d. (neto 150.000,00 kn+pdv)</w:t>
            </w:r>
          </w:p>
        </w:tc>
        <w:tc>
          <w:tcPr>
            <w:tcW w:type="dxa" w:w="1553"/>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jc w:val="right"/>
              <w:rPr>
                <w:rFonts w:cs="Arial" w:hAnsi="Arial" w:ascii="Arial"/>
                <w:sz w:val="20"/>
                <w:szCs w:val="20"/>
              </w:rPr>
            </w:pPr>
            <w:r>
              <w:rPr>
                <w:rFonts w:cs="Arial" w:hAnsi="Arial" w:ascii="Arial"/>
                <w:sz w:val="20"/>
                <w:szCs w:val="20"/>
              </w:rPr>
              <w:t>187.500,00</w:t>
            </w:r>
          </w:p>
        </w:tc>
      </w:tr>
      <w:tr w:rsidR="00BD0C4A">
        <w:trPr>
          <w:trHeight w:val="400"/>
        </w:trPr>
        <w:tc>
          <w:tcPr>
            <w:tcW w:type="dxa" w:w="49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jc w:val="center"/>
              <w:rPr>
                <w:rFonts w:cs="Arial" w:hAnsi="Arial" w:ascii="Arial"/>
                <w:sz w:val="20"/>
                <w:szCs w:val="20"/>
              </w:rPr>
            </w:pPr>
            <w:r>
              <w:rPr>
                <w:rFonts w:cs="Arial" w:hAnsi="Arial" w:ascii="Arial"/>
                <w:sz w:val="20"/>
                <w:szCs w:val="20"/>
              </w:rPr>
              <w:t>4.</w:t>
            </w:r>
          </w:p>
        </w:tc>
        <w:tc>
          <w:tcPr>
            <w:tcW w:type="dxa" w:w="741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r>
              <w:rPr>
                <w:rFonts w:cs="Arial" w:hAnsi="Arial" w:ascii="Arial"/>
                <w:sz w:val="20"/>
                <w:szCs w:val="20"/>
              </w:rPr>
              <w:t xml:space="preserve">Nagrada stečajnom upravitelju po Uredbi  o kriterijima i načinu plaćanja nagrade stečajnim upraviteljima NN 71/15 na iznos od 1.300.000,00 kn, </w:t>
            </w:r>
            <w:r>
              <w:rPr>
                <w:rFonts w:cs="Arial" w:hAnsi="Arial" w:ascii="Arial"/>
                <w:sz w:val="18"/>
                <w:szCs w:val="18"/>
              </w:rPr>
              <w:t>odnosno neto iznos =72.613,51 kn, porezi i doprinosi =48.386,49 kn,  što čini bruto iznos</w:t>
            </w:r>
            <w:r>
              <w:rPr>
                <w:rFonts w:cs="Arial" w:hAnsi="Arial" w:ascii="Arial"/>
                <w:sz w:val="20"/>
                <w:szCs w:val="20"/>
              </w:rPr>
              <w:t xml:space="preserve"> </w:t>
            </w:r>
          </w:p>
        </w:tc>
        <w:tc>
          <w:tcPr>
            <w:tcW w:type="dxa" w:w="1553"/>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852B31" w:rsidR="00BD0C4A">
            <w:pPr>
              <w:jc w:val="right"/>
              <w:rPr>
                <w:rFonts w:cs="Arial" w:hAnsi="Arial" w:ascii="Arial"/>
                <w:sz w:val="20"/>
                <w:szCs w:val="20"/>
              </w:rPr>
            </w:pPr>
            <w:r>
              <w:rPr>
                <w:rFonts w:cs="Arial" w:hAnsi="Arial" w:ascii="Arial"/>
                <w:sz w:val="20"/>
                <w:szCs w:val="20"/>
              </w:rPr>
              <w:t xml:space="preserve">           121.000,00</w:t>
            </w:r>
          </w:p>
        </w:tc>
      </w:tr>
      <w:tr w:rsidR="00BD0C4A">
        <w:trPr>
          <w:trHeight w:val="400"/>
        </w:trPr>
        <w:tc>
          <w:tcPr>
            <w:tcW w:type="dxa" w:w="49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jc w:val="center"/>
              <w:rPr>
                <w:rFonts w:cs="Arial" w:hAnsi="Arial" w:ascii="Arial"/>
                <w:sz w:val="20"/>
                <w:szCs w:val="20"/>
              </w:rPr>
            </w:pPr>
            <w:r>
              <w:rPr>
                <w:rFonts w:cs="Arial" w:hAnsi="Arial" w:ascii="Arial"/>
                <w:sz w:val="20"/>
                <w:szCs w:val="20"/>
              </w:rPr>
              <w:t>5.</w:t>
            </w:r>
          </w:p>
        </w:tc>
        <w:tc>
          <w:tcPr>
            <w:tcW w:type="dxa" w:w="741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rPr>
                <w:rFonts w:cs="Arial" w:hAnsi="Arial" w:ascii="Arial"/>
                <w:sz w:val="20"/>
                <w:szCs w:val="20"/>
              </w:rPr>
            </w:pPr>
            <w:r>
              <w:rPr>
                <w:rFonts w:cs="Arial" w:hAnsi="Arial" w:ascii="Arial"/>
                <w:sz w:val="20"/>
                <w:szCs w:val="20"/>
              </w:rPr>
              <w:t xml:space="preserve">Pečat stečajna masa </w:t>
            </w:r>
          </w:p>
        </w:tc>
        <w:tc>
          <w:tcPr>
            <w:tcW w:type="dxa" w:w="1553"/>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jc w:val="right"/>
              <w:rPr>
                <w:rFonts w:cs="Arial" w:hAnsi="Arial" w:ascii="Arial"/>
                <w:sz w:val="20"/>
                <w:szCs w:val="20"/>
              </w:rPr>
            </w:pPr>
            <w:r>
              <w:rPr>
                <w:rFonts w:cs="Arial" w:hAnsi="Arial" w:ascii="Arial"/>
                <w:sz w:val="20"/>
                <w:szCs w:val="20"/>
              </w:rPr>
              <w:t>149,00</w:t>
            </w:r>
          </w:p>
        </w:tc>
      </w:tr>
      <w:tr w:rsidR="00BD0C4A">
        <w:tc>
          <w:tcPr>
            <w:tcW w:type="dxa" w:w="49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jc w:val="center"/>
              <w:rPr>
                <w:rFonts w:cs="Arial" w:hAnsi="Arial" w:ascii="Arial"/>
                <w:sz w:val="20"/>
                <w:szCs w:val="20"/>
              </w:rPr>
            </w:pPr>
            <w:r>
              <w:rPr>
                <w:rFonts w:cs="Arial" w:hAnsi="Arial" w:ascii="Arial"/>
                <w:sz w:val="20"/>
                <w:szCs w:val="20"/>
              </w:rPr>
              <w:t>6.</w:t>
            </w:r>
          </w:p>
        </w:tc>
        <w:tc>
          <w:tcPr>
            <w:tcW w:type="dxa" w:w="741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rPr>
                <w:rFonts w:cs="Arial" w:hAnsi="Arial" w:ascii="Arial"/>
                <w:sz w:val="20"/>
                <w:szCs w:val="20"/>
              </w:rPr>
            </w:pPr>
            <w:r>
              <w:rPr>
                <w:rFonts w:cs="Arial" w:hAnsi="Arial" w:ascii="Arial"/>
                <w:sz w:val="20"/>
                <w:szCs w:val="20"/>
              </w:rPr>
              <w:t>Materijalni troškovi, uredski materijal 200,00 kn/mj x19 mjeseci</w:t>
            </w:r>
          </w:p>
        </w:tc>
        <w:tc>
          <w:tcPr>
            <w:tcW w:type="dxa" w:w="1553"/>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jc w:val="right"/>
              <w:rPr>
                <w:rFonts w:cs="Arial" w:hAnsi="Arial" w:ascii="Arial"/>
                <w:sz w:val="20"/>
                <w:szCs w:val="20"/>
              </w:rPr>
            </w:pPr>
            <w:r>
              <w:rPr>
                <w:rFonts w:cs="Arial" w:hAnsi="Arial" w:ascii="Arial"/>
                <w:sz w:val="20"/>
                <w:szCs w:val="20"/>
              </w:rPr>
              <w:t>1.800,00</w:t>
            </w:r>
          </w:p>
        </w:tc>
      </w:tr>
      <w:tr w:rsidR="00BD0C4A">
        <w:tc>
          <w:tcPr>
            <w:tcW w:type="dxa" w:w="49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jc w:val="center"/>
              <w:rPr>
                <w:rFonts w:cs="Arial" w:hAnsi="Arial" w:ascii="Arial"/>
                <w:sz w:val="20"/>
                <w:szCs w:val="20"/>
              </w:rPr>
            </w:pPr>
            <w:r>
              <w:rPr>
                <w:rFonts w:cs="Arial" w:hAnsi="Arial" w:ascii="Arial"/>
                <w:sz w:val="20"/>
                <w:szCs w:val="20"/>
              </w:rPr>
              <w:t>7.</w:t>
            </w:r>
          </w:p>
        </w:tc>
        <w:tc>
          <w:tcPr>
            <w:tcW w:type="dxa" w:w="741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rPr>
                <w:rFonts w:cs="Arial" w:hAnsi="Arial" w:ascii="Arial"/>
                <w:sz w:val="20"/>
                <w:szCs w:val="20"/>
              </w:rPr>
            </w:pPr>
            <w:r>
              <w:rPr>
                <w:rFonts w:cs="Arial" w:hAnsi="Arial" w:ascii="Arial"/>
                <w:sz w:val="20"/>
                <w:szCs w:val="20"/>
              </w:rPr>
              <w:t>Bankarska naknada za održavanje računa  cca  27,00 x 29  mjeseci</w:t>
            </w:r>
          </w:p>
        </w:tc>
        <w:tc>
          <w:tcPr>
            <w:tcW w:type="dxa" w:w="1553"/>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jc w:val="right"/>
              <w:rPr>
                <w:rFonts w:cs="Arial" w:hAnsi="Arial" w:ascii="Arial"/>
                <w:sz w:val="20"/>
                <w:szCs w:val="20"/>
              </w:rPr>
            </w:pPr>
            <w:r>
              <w:rPr>
                <w:rFonts w:cs="Arial" w:hAnsi="Arial" w:ascii="Arial"/>
                <w:sz w:val="20"/>
                <w:szCs w:val="20"/>
              </w:rPr>
              <w:t>783,00</w:t>
            </w:r>
          </w:p>
        </w:tc>
      </w:tr>
      <w:tr w:rsidR="00BD0C4A">
        <w:tc>
          <w:tcPr>
            <w:tcW w:type="dxa" w:w="49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jc w:val="center"/>
              <w:rPr>
                <w:rFonts w:cs="Arial" w:hAnsi="Arial" w:ascii="Arial"/>
                <w:sz w:val="20"/>
                <w:szCs w:val="20"/>
              </w:rPr>
            </w:pPr>
            <w:r>
              <w:rPr>
                <w:rFonts w:cs="Arial" w:hAnsi="Arial" w:ascii="Arial"/>
                <w:sz w:val="20"/>
                <w:szCs w:val="20"/>
              </w:rPr>
              <w:t>8.</w:t>
            </w:r>
          </w:p>
        </w:tc>
        <w:tc>
          <w:tcPr>
            <w:tcW w:type="dxa" w:w="741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rPr>
                <w:rFonts w:cs="Arial" w:hAnsi="Arial" w:ascii="Arial"/>
                <w:sz w:val="20"/>
                <w:szCs w:val="20"/>
              </w:rPr>
            </w:pPr>
            <w:r>
              <w:rPr>
                <w:rFonts w:cs="Arial" w:hAnsi="Arial" w:ascii="Arial"/>
                <w:sz w:val="20"/>
                <w:szCs w:val="20"/>
              </w:rPr>
              <w:t>Najam ureda stečajnog  upravitelja 500,00 kn/mj x 19 mjeseci</w:t>
            </w:r>
          </w:p>
        </w:tc>
        <w:tc>
          <w:tcPr>
            <w:tcW w:type="dxa" w:w="1553"/>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jc w:val="right"/>
              <w:rPr>
                <w:rFonts w:cs="Arial" w:hAnsi="Arial" w:ascii="Arial"/>
                <w:sz w:val="20"/>
                <w:szCs w:val="20"/>
              </w:rPr>
            </w:pPr>
            <w:r>
              <w:rPr>
                <w:rFonts w:cs="Arial" w:hAnsi="Arial" w:ascii="Arial"/>
                <w:sz w:val="20"/>
                <w:szCs w:val="20"/>
              </w:rPr>
              <w:t>9.500,00</w:t>
            </w:r>
          </w:p>
        </w:tc>
      </w:tr>
      <w:tr w:rsidR="00BD0C4A">
        <w:tc>
          <w:tcPr>
            <w:tcW w:type="dxa" w:w="49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jc w:val="center"/>
              <w:rPr>
                <w:rFonts w:cs="Arial" w:hAnsi="Arial" w:ascii="Arial"/>
                <w:sz w:val="20"/>
                <w:szCs w:val="20"/>
              </w:rPr>
            </w:pPr>
            <w:r>
              <w:rPr>
                <w:rFonts w:cs="Arial" w:hAnsi="Arial" w:ascii="Arial"/>
                <w:sz w:val="20"/>
                <w:szCs w:val="20"/>
              </w:rPr>
              <w:t>9.</w:t>
            </w:r>
          </w:p>
        </w:tc>
        <w:tc>
          <w:tcPr>
            <w:tcW w:type="dxa" w:w="741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rPr>
                <w:rFonts w:cs="Arial" w:hAnsi="Arial" w:ascii="Arial"/>
                <w:sz w:val="20"/>
                <w:szCs w:val="20"/>
              </w:rPr>
            </w:pPr>
            <w:r>
              <w:rPr>
                <w:rFonts w:cs="Arial" w:hAnsi="Arial" w:ascii="Arial"/>
                <w:sz w:val="20"/>
                <w:szCs w:val="20"/>
              </w:rPr>
              <w:t>Knjigovodstvene usluge  500,00 kn bruto mj x 29 mjeseci</w:t>
            </w:r>
          </w:p>
        </w:tc>
        <w:tc>
          <w:tcPr>
            <w:tcW w:type="dxa" w:w="1553"/>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jc w:val="right"/>
              <w:rPr>
                <w:rFonts w:cs="Arial" w:hAnsi="Arial" w:ascii="Arial"/>
                <w:sz w:val="20"/>
                <w:szCs w:val="20"/>
              </w:rPr>
            </w:pPr>
            <w:r>
              <w:rPr>
                <w:rFonts w:cs="Arial" w:hAnsi="Arial" w:ascii="Arial"/>
                <w:sz w:val="20"/>
                <w:szCs w:val="20"/>
              </w:rPr>
              <w:t>14.500,00</w:t>
            </w:r>
          </w:p>
        </w:tc>
      </w:tr>
      <w:tr w:rsidR="00BD0C4A">
        <w:tc>
          <w:tcPr>
            <w:tcW w:type="dxa" w:w="49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jc w:val="center"/>
              <w:rPr>
                <w:rFonts w:cs="Arial" w:hAnsi="Arial" w:ascii="Arial"/>
                <w:sz w:val="20"/>
                <w:szCs w:val="20"/>
              </w:rPr>
            </w:pPr>
            <w:r>
              <w:rPr>
                <w:rFonts w:cs="Arial" w:hAnsi="Arial" w:ascii="Arial"/>
                <w:sz w:val="20"/>
                <w:szCs w:val="20"/>
              </w:rPr>
              <w:t>10.</w:t>
            </w:r>
          </w:p>
        </w:tc>
        <w:tc>
          <w:tcPr>
            <w:tcW w:type="dxa" w:w="741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rPr>
                <w:rFonts w:cs="Arial" w:hAnsi="Arial" w:ascii="Arial"/>
                <w:sz w:val="20"/>
                <w:szCs w:val="20"/>
              </w:rPr>
            </w:pPr>
            <w:r>
              <w:rPr>
                <w:rFonts w:cs="Arial" w:hAnsi="Arial" w:ascii="Arial"/>
                <w:sz w:val="20"/>
                <w:szCs w:val="20"/>
              </w:rPr>
              <w:t>Suradnik stečajnog upravitelja bruto 500,00 kn mj.x 29 mjeseci</w:t>
            </w:r>
          </w:p>
        </w:tc>
        <w:tc>
          <w:tcPr>
            <w:tcW w:type="dxa" w:w="1553"/>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852B31" w:rsidR="00BD0C4A">
            <w:pPr>
              <w:jc w:val="right"/>
              <w:rPr>
                <w:rFonts w:cs="Arial" w:hAnsi="Arial" w:ascii="Arial"/>
                <w:sz w:val="20"/>
                <w:szCs w:val="20"/>
              </w:rPr>
            </w:pPr>
            <w:r>
              <w:rPr>
                <w:rFonts w:cs="Arial" w:hAnsi="Arial" w:ascii="Arial"/>
                <w:sz w:val="20"/>
                <w:szCs w:val="20"/>
              </w:rPr>
              <w:t>14.500,00</w:t>
            </w:r>
          </w:p>
        </w:tc>
      </w:tr>
      <w:tr w:rsidR="00BD0C4A">
        <w:trPr>
          <w:trHeight w:val="364"/>
        </w:trPr>
        <w:tc>
          <w:tcPr>
            <w:tcW w:type="dxa" w:w="49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852B31" w:rsidR="00BD0C4A">
            <w:pPr>
              <w:jc w:val="center"/>
              <w:rPr>
                <w:rFonts w:cs="Arial" w:hAnsi="Arial" w:ascii="Arial"/>
                <w:sz w:val="20"/>
                <w:szCs w:val="20"/>
              </w:rPr>
            </w:pPr>
            <w:r>
              <w:rPr>
                <w:rFonts w:cs="Arial" w:hAnsi="Arial" w:ascii="Arial"/>
                <w:sz w:val="20"/>
                <w:szCs w:val="20"/>
              </w:rPr>
              <w:t>11.</w:t>
            </w:r>
          </w:p>
        </w:tc>
        <w:tc>
          <w:tcPr>
            <w:tcW w:type="dxa" w:w="741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852B31" w:rsidR="00BD0C4A">
            <w:pPr>
              <w:jc w:val="center"/>
              <w:rPr>
                <w:rFonts w:cs="Arial" w:hAnsi="Arial" w:ascii="Arial"/>
                <w:b/>
                <w:sz w:val="20"/>
                <w:szCs w:val="20"/>
              </w:rPr>
            </w:pPr>
            <w:r>
              <w:rPr>
                <w:rFonts w:cs="Arial" w:hAnsi="Arial" w:ascii="Arial"/>
                <w:b/>
                <w:sz w:val="20"/>
                <w:szCs w:val="20"/>
              </w:rPr>
              <w:t>Ukupno</w:t>
            </w:r>
          </w:p>
        </w:tc>
        <w:tc>
          <w:tcPr>
            <w:tcW w:type="dxa" w:w="1553"/>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852B31" w:rsidR="00BD0C4A">
            <w:pPr>
              <w:jc w:val="center"/>
              <w:rPr>
                <w:rFonts w:cs="Arial" w:hAnsi="Arial" w:ascii="Arial"/>
                <w:b/>
                <w:sz w:val="20"/>
                <w:szCs w:val="20"/>
              </w:rPr>
            </w:pPr>
            <w:r>
              <w:rPr>
                <w:rFonts w:cs="Arial" w:hAnsi="Arial" w:ascii="Arial"/>
                <w:b/>
                <w:sz w:val="20"/>
                <w:szCs w:val="20"/>
              </w:rPr>
              <w:t>539.107,00</w:t>
            </w:r>
          </w:p>
        </w:tc>
      </w:tr>
    </w:tbl>
    <w:p w:rsidRDefault="00BD0C4A" w:rsidR="00BD0C4A">
      <w:pPr>
        <w:pStyle w:val="Bezproreda"/>
        <w:jc w:val="both"/>
        <w:rPr>
          <w:rFonts w:cs="Arial" w:hAnsi="Arial" w:ascii="Arial"/>
          <w:sz w:val="20"/>
          <w:szCs w:val="20"/>
        </w:rPr>
      </w:pPr>
    </w:p>
    <w:p w:rsidRDefault="00852B31" w:rsidR="00BD0C4A">
      <w:pPr>
        <w:pStyle w:val="Bezproreda"/>
        <w:jc w:val="both"/>
        <w:rPr>
          <w:rFonts w:cs="Arial" w:hAnsi="Arial" w:ascii="Arial"/>
          <w:sz w:val="20"/>
          <w:szCs w:val="20"/>
        </w:rPr>
      </w:pPr>
      <w:r>
        <w:rPr>
          <w:rFonts w:cs="Arial" w:hAnsi="Arial" w:ascii="Arial"/>
          <w:sz w:val="20"/>
          <w:szCs w:val="20"/>
        </w:rPr>
        <w:t xml:space="preserve">Napomena uz obračun nagrade: </w:t>
      </w:r>
    </w:p>
    <w:tbl>
      <w:tblPr>
        <w:tblW w:type="dxa" w:w="8885"/>
        <w:tblInd w:type="dxa" w:w="93"/>
        <w:tblCellMar>
          <w:left w:type="dxa" w:w="10"/>
          <w:right w:type="dxa" w:w="10"/>
        </w:tblCellMar>
        <w:tblLook w:val="0000" w:noVBand="0" w:noHBand="0" w:lastColumn="0" w:firstColumn="0" w:lastRow="0" w:firstRow="0"/>
      </w:tblPr>
      <w:tblGrid>
        <w:gridCol w:w="2640"/>
        <w:gridCol w:w="1800"/>
        <w:gridCol w:w="1245"/>
        <w:gridCol w:w="1540"/>
        <w:gridCol w:w="1660"/>
      </w:tblGrid>
      <w:tr w:rsidR="00BD0C4A">
        <w:trPr>
          <w:trHeight w:val="300"/>
        </w:trPr>
        <w:tc>
          <w:tcPr>
            <w:tcW w:type="dxa" w:w="2640"/>
            <w:tcBorders>
              <w:bottom w:space="0" w:sz="4" w:color="000000" w:val="single"/>
            </w:tcBorders>
            <w:shd w:fill="auto" w:color="auto" w:val="clear"/>
            <w:noWrap/>
            <w:tcMar>
              <w:top w:type="dxa" w:w="0"/>
              <w:left w:type="dxa" w:w="108"/>
              <w:bottom w:type="dxa" w:w="0"/>
              <w:right w:type="dxa" w:w="108"/>
            </w:tcMar>
            <w:vAlign w:val="bottom"/>
          </w:tcPr>
          <w:p w:rsidRDefault="00BD0C4A" w:rsidR="00BD0C4A">
            <w:pPr>
              <w:suppressAutoHyphens w:val="false"/>
              <w:spacing w:after="0"/>
              <w:textAlignment w:val="auto"/>
              <w:rPr>
                <w:rFonts w:cs="Arial" w:eastAsia="Times New Roman" w:hAnsi="Arial" w:ascii="Arial"/>
                <w:b/>
                <w:bCs/>
                <w:sz w:val="20"/>
                <w:szCs w:val="20"/>
                <w:lang w:eastAsia="hr-HR"/>
              </w:rPr>
            </w:pPr>
          </w:p>
        </w:tc>
        <w:tc>
          <w:tcPr>
            <w:tcW w:type="dxa" w:w="1800"/>
            <w:tcBorders>
              <w:bottom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textAlignment w:val="auto"/>
              <w:rPr>
                <w:rFonts w:cs="Arial" w:eastAsia="Times New Roman" w:hAnsi="Arial" w:ascii="Arial"/>
                <w:sz w:val="20"/>
                <w:szCs w:val="20"/>
                <w:lang w:eastAsia="hr-HR"/>
              </w:rPr>
            </w:pPr>
            <w:r>
              <w:rPr>
                <w:rFonts w:cs="Arial" w:eastAsia="Times New Roman" w:hAnsi="Arial" w:ascii="Arial"/>
                <w:sz w:val="20"/>
                <w:szCs w:val="20"/>
                <w:lang w:eastAsia="hr-HR"/>
              </w:rPr>
              <w:t> </w:t>
            </w:r>
          </w:p>
        </w:tc>
        <w:tc>
          <w:tcPr>
            <w:tcW w:type="dxa" w:w="1245"/>
            <w:tcBorders>
              <w:bottom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textAlignment w:val="auto"/>
              <w:rPr>
                <w:rFonts w:cs="Arial" w:eastAsia="Times New Roman" w:hAnsi="Arial" w:ascii="Arial"/>
                <w:sz w:val="20"/>
                <w:szCs w:val="20"/>
                <w:lang w:eastAsia="hr-HR"/>
              </w:rPr>
            </w:pPr>
            <w:r>
              <w:rPr>
                <w:rFonts w:cs="Arial" w:eastAsia="Times New Roman" w:hAnsi="Arial" w:ascii="Arial"/>
                <w:sz w:val="20"/>
                <w:szCs w:val="20"/>
                <w:lang w:eastAsia="hr-HR"/>
              </w:rPr>
              <w:t> </w:t>
            </w:r>
          </w:p>
        </w:tc>
        <w:tc>
          <w:tcPr>
            <w:tcW w:type="dxa" w:w="1540"/>
            <w:tcBorders>
              <w:bottom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textAlignment w:val="auto"/>
              <w:rPr>
                <w:rFonts w:cs="Arial" w:eastAsia="Times New Roman" w:hAnsi="Arial" w:ascii="Arial"/>
                <w:sz w:val="20"/>
                <w:szCs w:val="20"/>
                <w:lang w:eastAsia="hr-HR"/>
              </w:rPr>
            </w:pPr>
            <w:r>
              <w:rPr>
                <w:rFonts w:cs="Arial" w:eastAsia="Times New Roman" w:hAnsi="Arial" w:ascii="Arial"/>
                <w:sz w:val="20"/>
                <w:szCs w:val="20"/>
                <w:lang w:eastAsia="hr-HR"/>
              </w:rPr>
              <w:t> </w:t>
            </w:r>
          </w:p>
        </w:tc>
        <w:tc>
          <w:tcPr>
            <w:tcW w:type="dxa" w:w="1660"/>
            <w:shd w:fill="auto" w:color="auto" w:val="clear"/>
            <w:noWrap/>
            <w:tcMar>
              <w:top w:type="dxa" w:w="0"/>
              <w:left w:type="dxa" w:w="108"/>
              <w:bottom w:type="dxa" w:w="0"/>
              <w:right w:type="dxa" w:w="108"/>
            </w:tcMar>
            <w:vAlign w:val="bottom"/>
          </w:tcPr>
          <w:p w:rsidRDefault="00852B31" w:rsidR="00BD0C4A">
            <w:pPr>
              <w:suppressAutoHyphens w:val="false"/>
              <w:spacing w:after="0"/>
              <w:textAlignment w:val="auto"/>
              <w:rPr>
                <w:rFonts w:cs="Arial" w:eastAsia="Times New Roman" w:hAnsi="Arial" w:ascii="Arial"/>
                <w:sz w:val="20"/>
                <w:szCs w:val="20"/>
                <w:lang w:eastAsia="hr-HR"/>
              </w:rPr>
            </w:pPr>
            <w:r>
              <w:rPr>
                <w:rFonts w:cs="Arial" w:eastAsia="Times New Roman" w:hAnsi="Arial" w:ascii="Arial"/>
                <w:sz w:val="20"/>
                <w:szCs w:val="20"/>
                <w:lang w:eastAsia="hr-HR"/>
              </w:rPr>
              <w:t> </w:t>
            </w:r>
          </w:p>
        </w:tc>
      </w:tr>
      <w:tr w:rsidR="00BD0C4A">
        <w:trPr>
          <w:trHeight w:val="300"/>
        </w:trPr>
        <w:tc>
          <w:tcPr>
            <w:tcW w:type="dxa" w:w="2640"/>
            <w:tcBorders>
              <w:top w:space="0" w:sz="4" w:color="000000" w:val="single"/>
              <w:left w:space="0" w:sz="4" w:color="000000" w:val="single"/>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textAlignment w:val="auto"/>
              <w:rPr>
                <w:rFonts w:cs="Arial" w:eastAsia="Times New Roman" w:hAnsi="Arial" w:ascii="Arial"/>
                <w:b/>
                <w:sz w:val="16"/>
                <w:szCs w:val="16"/>
                <w:lang w:eastAsia="hr-HR"/>
              </w:rPr>
            </w:pPr>
            <w:r>
              <w:rPr>
                <w:rFonts w:cs="Arial" w:eastAsia="Times New Roman" w:hAnsi="Arial" w:ascii="Arial"/>
                <w:b/>
                <w:sz w:val="16"/>
                <w:szCs w:val="16"/>
                <w:lang w:eastAsia="hr-HR"/>
              </w:rPr>
              <w:t xml:space="preserve"> NN /2.10.2015 </w:t>
            </w:r>
          </w:p>
        </w:tc>
        <w:tc>
          <w:tcPr>
            <w:tcW w:type="dxa" w:w="1800"/>
            <w:tcBorders>
              <w:top w:space="0" w:sz="4" w:color="000000" w:val="single"/>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textAlignment w:val="auto"/>
              <w:rPr>
                <w:rFonts w:cs="Arial" w:eastAsia="Times New Roman" w:hAnsi="Arial" w:ascii="Arial"/>
                <w:b/>
                <w:sz w:val="16"/>
                <w:szCs w:val="16"/>
                <w:lang w:eastAsia="hr-HR"/>
              </w:rPr>
            </w:pPr>
            <w:r>
              <w:rPr>
                <w:rFonts w:cs="Arial" w:eastAsia="Times New Roman" w:hAnsi="Arial" w:ascii="Arial"/>
                <w:b/>
                <w:sz w:val="16"/>
                <w:szCs w:val="16"/>
                <w:lang w:eastAsia="hr-HR"/>
              </w:rPr>
              <w:t> </w:t>
            </w:r>
          </w:p>
        </w:tc>
        <w:tc>
          <w:tcPr>
            <w:tcW w:type="dxa" w:w="1245"/>
            <w:tcBorders>
              <w:top w:space="0" w:sz="4" w:color="000000" w:val="single"/>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jc w:val="center"/>
              <w:textAlignment w:val="auto"/>
              <w:rPr>
                <w:rFonts w:cs="Arial" w:eastAsia="Times New Roman" w:hAnsi="Arial" w:ascii="Arial"/>
                <w:b/>
                <w:sz w:val="16"/>
                <w:szCs w:val="16"/>
                <w:lang w:eastAsia="hr-HR"/>
              </w:rPr>
            </w:pPr>
            <w:r>
              <w:rPr>
                <w:rFonts w:cs="Arial" w:eastAsia="Times New Roman" w:hAnsi="Arial" w:ascii="Arial"/>
                <w:b/>
                <w:sz w:val="16"/>
                <w:szCs w:val="16"/>
                <w:lang w:eastAsia="hr-HR"/>
              </w:rPr>
              <w:t>nagrada %</w:t>
            </w:r>
          </w:p>
        </w:tc>
        <w:tc>
          <w:tcPr>
            <w:tcW w:type="dxa" w:w="1540"/>
            <w:tcBorders>
              <w:top w:space="0" w:sz="4" w:color="000000" w:val="single"/>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textAlignment w:val="auto"/>
              <w:rPr>
                <w:rFonts w:cs="Arial" w:eastAsia="Times New Roman" w:hAnsi="Arial" w:ascii="Arial"/>
                <w:b/>
                <w:sz w:val="16"/>
                <w:szCs w:val="16"/>
                <w:lang w:eastAsia="hr-HR"/>
              </w:rPr>
            </w:pPr>
            <w:r>
              <w:rPr>
                <w:rFonts w:cs="Arial" w:eastAsia="Times New Roman" w:hAnsi="Arial" w:ascii="Arial"/>
                <w:b/>
                <w:sz w:val="16"/>
                <w:szCs w:val="16"/>
                <w:lang w:eastAsia="hr-HR"/>
              </w:rPr>
              <w:t> </w:t>
            </w:r>
          </w:p>
        </w:tc>
        <w:tc>
          <w:tcPr>
            <w:tcW w:type="dxa" w:w="1660"/>
            <w:tcBorders>
              <w:lef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textAlignment w:val="auto"/>
              <w:rPr>
                <w:rFonts w:eastAsia="Times New Roman"/>
                <w:b/>
                <w:color w:val="000000"/>
                <w:sz w:val="16"/>
                <w:szCs w:val="16"/>
                <w:lang w:eastAsia="hr-HR"/>
              </w:rPr>
            </w:pPr>
            <w:r>
              <w:rPr>
                <w:rFonts w:eastAsia="Times New Roman"/>
                <w:b/>
                <w:color w:val="000000"/>
                <w:sz w:val="16"/>
                <w:szCs w:val="16"/>
                <w:lang w:eastAsia="hr-HR"/>
              </w:rPr>
              <w:t> </w:t>
            </w:r>
          </w:p>
        </w:tc>
      </w:tr>
      <w:tr w:rsidR="00BD0C4A">
        <w:trPr>
          <w:trHeight w:val="300"/>
        </w:trPr>
        <w:tc>
          <w:tcPr>
            <w:tcW w:type="dxa" w:w="2640"/>
            <w:tcBorders>
              <w:top w:space="0" w:sz="4" w:color="000000" w:val="single"/>
              <w:left w:space="0" w:sz="4" w:color="000000" w:val="single"/>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textAlignment w:val="auto"/>
              <w:rPr>
                <w:rFonts w:cs="Arial" w:eastAsia="Times New Roman" w:hAnsi="Arial" w:ascii="Arial"/>
                <w:sz w:val="16"/>
                <w:szCs w:val="16"/>
                <w:lang w:eastAsia="hr-HR"/>
              </w:rPr>
            </w:pPr>
            <w:r>
              <w:rPr>
                <w:rFonts w:cs="Arial" w:eastAsia="Times New Roman" w:hAnsi="Arial" w:ascii="Arial"/>
                <w:sz w:val="16"/>
                <w:szCs w:val="16"/>
                <w:lang w:eastAsia="hr-HR"/>
              </w:rPr>
              <w:t xml:space="preserve"> unovčena stečajna masa do </w:t>
            </w:r>
          </w:p>
        </w:tc>
        <w:tc>
          <w:tcPr>
            <w:tcW w:type="dxa" w:w="1800"/>
            <w:tcBorders>
              <w:top w:space="0" w:sz="4" w:color="000000" w:val="single"/>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jc w:val="right"/>
              <w:textAlignment w:val="auto"/>
              <w:rPr>
                <w:rFonts w:cs="Arial" w:eastAsia="Times New Roman" w:hAnsi="Arial" w:ascii="Arial"/>
                <w:sz w:val="16"/>
                <w:szCs w:val="16"/>
                <w:lang w:eastAsia="hr-HR"/>
              </w:rPr>
            </w:pPr>
            <w:r>
              <w:rPr>
                <w:rFonts w:cs="Arial" w:eastAsia="Times New Roman" w:hAnsi="Arial" w:ascii="Arial"/>
                <w:sz w:val="16"/>
                <w:szCs w:val="16"/>
                <w:lang w:eastAsia="hr-HR"/>
              </w:rPr>
              <w:t>100.000,00</w:t>
            </w:r>
          </w:p>
        </w:tc>
        <w:tc>
          <w:tcPr>
            <w:tcW w:type="dxa" w:w="1245"/>
            <w:tcBorders>
              <w:top w:space="0" w:sz="4" w:color="000000" w:val="single"/>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jc w:val="center"/>
              <w:textAlignment w:val="auto"/>
              <w:rPr>
                <w:rFonts w:cs="Arial" w:eastAsia="Times New Roman" w:hAnsi="Arial" w:ascii="Arial"/>
                <w:sz w:val="16"/>
                <w:szCs w:val="16"/>
                <w:lang w:eastAsia="hr-HR"/>
              </w:rPr>
            </w:pPr>
            <w:r>
              <w:rPr>
                <w:rFonts w:cs="Arial" w:eastAsia="Times New Roman" w:hAnsi="Arial" w:ascii="Arial"/>
                <w:sz w:val="16"/>
                <w:szCs w:val="16"/>
                <w:lang w:eastAsia="hr-HR"/>
              </w:rPr>
              <w:t>16,00</w:t>
            </w:r>
          </w:p>
        </w:tc>
        <w:tc>
          <w:tcPr>
            <w:tcW w:type="dxa" w:w="1540"/>
            <w:tcBorders>
              <w:top w:space="0" w:sz="4" w:color="000000" w:val="single"/>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jc w:val="right"/>
              <w:textAlignment w:val="auto"/>
              <w:rPr>
                <w:rFonts w:cs="Arial" w:eastAsia="Times New Roman" w:hAnsi="Arial" w:ascii="Arial"/>
                <w:sz w:val="16"/>
                <w:szCs w:val="16"/>
                <w:lang w:eastAsia="hr-HR"/>
              </w:rPr>
            </w:pPr>
            <w:r>
              <w:rPr>
                <w:rFonts w:cs="Arial" w:eastAsia="Times New Roman" w:hAnsi="Arial" w:ascii="Arial"/>
                <w:sz w:val="16"/>
                <w:szCs w:val="16"/>
                <w:lang w:eastAsia="hr-HR"/>
              </w:rPr>
              <w:t>16.000,00</w:t>
            </w:r>
          </w:p>
        </w:tc>
        <w:tc>
          <w:tcPr>
            <w:tcW w:type="dxa" w:w="1660"/>
            <w:tcBorders>
              <w:lef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textAlignment w:val="auto"/>
              <w:rPr>
                <w:rFonts w:eastAsia="Times New Roman"/>
                <w:color w:val="000000"/>
                <w:sz w:val="16"/>
                <w:szCs w:val="16"/>
                <w:lang w:eastAsia="hr-HR"/>
              </w:rPr>
            </w:pPr>
            <w:r>
              <w:rPr>
                <w:rFonts w:eastAsia="Times New Roman"/>
                <w:color w:val="000000"/>
                <w:sz w:val="16"/>
                <w:szCs w:val="16"/>
                <w:lang w:eastAsia="hr-HR"/>
              </w:rPr>
              <w:t> </w:t>
            </w:r>
          </w:p>
        </w:tc>
      </w:tr>
      <w:tr w:rsidR="00BD0C4A">
        <w:trPr>
          <w:trHeight w:val="300"/>
        </w:trPr>
        <w:tc>
          <w:tcPr>
            <w:tcW w:type="dxa" w:w="2640"/>
            <w:tcBorders>
              <w:left w:space="0" w:sz="4" w:color="000000" w:val="single"/>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textAlignment w:val="auto"/>
              <w:rPr>
                <w:rFonts w:cs="Arial" w:eastAsia="Times New Roman" w:hAnsi="Arial" w:ascii="Arial"/>
                <w:sz w:val="16"/>
                <w:szCs w:val="16"/>
                <w:lang w:eastAsia="hr-HR"/>
              </w:rPr>
            </w:pPr>
            <w:r>
              <w:rPr>
                <w:rFonts w:cs="Arial" w:eastAsia="Times New Roman" w:hAnsi="Arial" w:ascii="Arial"/>
                <w:sz w:val="16"/>
                <w:szCs w:val="16"/>
                <w:lang w:eastAsia="hr-HR"/>
              </w:rPr>
              <w:t>100000,01 do 300.000,00</w:t>
            </w:r>
          </w:p>
        </w:tc>
        <w:tc>
          <w:tcPr>
            <w:tcW w:type="dxa" w:w="1800"/>
            <w:tcBorders>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jc w:val="right"/>
              <w:textAlignment w:val="auto"/>
              <w:rPr>
                <w:rFonts w:cs="Arial" w:eastAsia="Times New Roman" w:hAnsi="Arial" w:ascii="Arial"/>
                <w:sz w:val="16"/>
                <w:szCs w:val="16"/>
                <w:lang w:eastAsia="hr-HR"/>
              </w:rPr>
            </w:pPr>
            <w:r>
              <w:rPr>
                <w:rFonts w:cs="Arial" w:eastAsia="Times New Roman" w:hAnsi="Arial" w:ascii="Arial"/>
                <w:sz w:val="16"/>
                <w:szCs w:val="16"/>
                <w:lang w:eastAsia="hr-HR"/>
              </w:rPr>
              <w:t>200.000,00</w:t>
            </w:r>
          </w:p>
        </w:tc>
        <w:tc>
          <w:tcPr>
            <w:tcW w:type="dxa" w:w="1245"/>
            <w:tcBorders>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jc w:val="center"/>
              <w:textAlignment w:val="auto"/>
              <w:rPr>
                <w:rFonts w:cs="Arial" w:eastAsia="Times New Roman" w:hAnsi="Arial" w:ascii="Arial"/>
                <w:sz w:val="16"/>
                <w:szCs w:val="16"/>
                <w:lang w:eastAsia="hr-HR"/>
              </w:rPr>
            </w:pPr>
            <w:r>
              <w:rPr>
                <w:rFonts w:cs="Arial" w:eastAsia="Times New Roman" w:hAnsi="Arial" w:ascii="Arial"/>
                <w:sz w:val="16"/>
                <w:szCs w:val="16"/>
                <w:lang w:eastAsia="hr-HR"/>
              </w:rPr>
              <w:t>12,00</w:t>
            </w:r>
          </w:p>
        </w:tc>
        <w:tc>
          <w:tcPr>
            <w:tcW w:type="dxa" w:w="1540"/>
            <w:tcBorders>
              <w:top w:space="0" w:sz="4" w:color="000000" w:val="single"/>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jc w:val="right"/>
              <w:textAlignment w:val="auto"/>
              <w:rPr>
                <w:rFonts w:cs="Arial" w:eastAsia="Times New Roman" w:hAnsi="Arial" w:ascii="Arial"/>
                <w:sz w:val="16"/>
                <w:szCs w:val="16"/>
                <w:lang w:eastAsia="hr-HR"/>
              </w:rPr>
            </w:pPr>
            <w:r>
              <w:rPr>
                <w:rFonts w:cs="Arial" w:eastAsia="Times New Roman" w:hAnsi="Arial" w:ascii="Arial"/>
                <w:sz w:val="16"/>
                <w:szCs w:val="16"/>
                <w:lang w:eastAsia="hr-HR"/>
              </w:rPr>
              <w:t>24.000,00</w:t>
            </w:r>
          </w:p>
        </w:tc>
        <w:tc>
          <w:tcPr>
            <w:tcW w:type="dxa" w:w="1660"/>
            <w:tcBorders>
              <w:lef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textAlignment w:val="auto"/>
              <w:rPr>
                <w:rFonts w:eastAsia="Times New Roman"/>
                <w:color w:val="000000"/>
                <w:sz w:val="16"/>
                <w:szCs w:val="16"/>
                <w:lang w:eastAsia="hr-HR"/>
              </w:rPr>
            </w:pPr>
            <w:r>
              <w:rPr>
                <w:rFonts w:eastAsia="Times New Roman"/>
                <w:color w:val="000000"/>
                <w:sz w:val="16"/>
                <w:szCs w:val="16"/>
                <w:lang w:eastAsia="hr-HR"/>
              </w:rPr>
              <w:t> </w:t>
            </w:r>
          </w:p>
        </w:tc>
      </w:tr>
      <w:tr w:rsidR="00BD0C4A">
        <w:trPr>
          <w:trHeight w:val="300"/>
        </w:trPr>
        <w:tc>
          <w:tcPr>
            <w:tcW w:type="dxa" w:w="2640"/>
            <w:tcBorders>
              <w:left w:space="0" w:sz="4" w:color="000000" w:val="single"/>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textAlignment w:val="auto"/>
              <w:rPr>
                <w:rFonts w:cs="Arial" w:eastAsia="Times New Roman" w:hAnsi="Arial" w:ascii="Arial"/>
                <w:sz w:val="16"/>
                <w:szCs w:val="16"/>
                <w:lang w:eastAsia="hr-HR"/>
              </w:rPr>
            </w:pPr>
            <w:r>
              <w:rPr>
                <w:rFonts w:cs="Arial" w:eastAsia="Times New Roman" w:hAnsi="Arial" w:ascii="Arial"/>
                <w:sz w:val="16"/>
                <w:szCs w:val="16"/>
                <w:lang w:eastAsia="hr-HR"/>
              </w:rPr>
              <w:t>300000,01 do 500.000,00</w:t>
            </w:r>
          </w:p>
        </w:tc>
        <w:tc>
          <w:tcPr>
            <w:tcW w:type="dxa" w:w="1800"/>
            <w:tcBorders>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jc w:val="right"/>
              <w:textAlignment w:val="auto"/>
              <w:rPr>
                <w:rFonts w:cs="Arial" w:eastAsia="Times New Roman" w:hAnsi="Arial" w:ascii="Arial"/>
                <w:sz w:val="16"/>
                <w:szCs w:val="16"/>
                <w:lang w:eastAsia="hr-HR"/>
              </w:rPr>
            </w:pPr>
            <w:r>
              <w:rPr>
                <w:rFonts w:cs="Arial" w:eastAsia="Times New Roman" w:hAnsi="Arial" w:ascii="Arial"/>
                <w:sz w:val="16"/>
                <w:szCs w:val="16"/>
                <w:lang w:eastAsia="hr-HR"/>
              </w:rPr>
              <w:t>200.000,00</w:t>
            </w:r>
          </w:p>
        </w:tc>
        <w:tc>
          <w:tcPr>
            <w:tcW w:type="dxa" w:w="1245"/>
            <w:tcBorders>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jc w:val="center"/>
              <w:textAlignment w:val="auto"/>
              <w:rPr>
                <w:rFonts w:cs="Arial" w:eastAsia="Times New Roman" w:hAnsi="Arial" w:ascii="Arial"/>
                <w:sz w:val="16"/>
                <w:szCs w:val="16"/>
                <w:lang w:eastAsia="hr-HR"/>
              </w:rPr>
            </w:pPr>
            <w:r>
              <w:rPr>
                <w:rFonts w:cs="Arial" w:eastAsia="Times New Roman" w:hAnsi="Arial" w:ascii="Arial"/>
                <w:sz w:val="16"/>
                <w:szCs w:val="16"/>
                <w:lang w:eastAsia="hr-HR"/>
              </w:rPr>
              <w:t>10,00</w:t>
            </w:r>
          </w:p>
        </w:tc>
        <w:tc>
          <w:tcPr>
            <w:tcW w:type="dxa" w:w="1540"/>
            <w:tcBorders>
              <w:top w:space="0" w:sz="4" w:color="000000" w:val="single"/>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jc w:val="right"/>
              <w:textAlignment w:val="auto"/>
              <w:rPr>
                <w:rFonts w:cs="Arial" w:eastAsia="Times New Roman" w:hAnsi="Arial" w:ascii="Arial"/>
                <w:sz w:val="16"/>
                <w:szCs w:val="16"/>
                <w:lang w:eastAsia="hr-HR"/>
              </w:rPr>
            </w:pPr>
            <w:r>
              <w:rPr>
                <w:rFonts w:cs="Arial" w:eastAsia="Times New Roman" w:hAnsi="Arial" w:ascii="Arial"/>
                <w:sz w:val="16"/>
                <w:szCs w:val="16"/>
                <w:lang w:eastAsia="hr-HR"/>
              </w:rPr>
              <w:t>20.000,00</w:t>
            </w:r>
          </w:p>
        </w:tc>
        <w:tc>
          <w:tcPr>
            <w:tcW w:type="dxa" w:w="1660"/>
            <w:tcBorders>
              <w:lef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textAlignment w:val="auto"/>
              <w:rPr>
                <w:rFonts w:eastAsia="Times New Roman"/>
                <w:color w:val="000000"/>
                <w:sz w:val="16"/>
                <w:szCs w:val="16"/>
                <w:lang w:eastAsia="hr-HR"/>
              </w:rPr>
            </w:pPr>
            <w:r>
              <w:rPr>
                <w:rFonts w:eastAsia="Times New Roman"/>
                <w:color w:val="000000"/>
                <w:sz w:val="16"/>
                <w:szCs w:val="16"/>
                <w:lang w:eastAsia="hr-HR"/>
              </w:rPr>
              <w:t> </w:t>
            </w:r>
          </w:p>
        </w:tc>
      </w:tr>
      <w:tr w:rsidR="00BD0C4A">
        <w:trPr>
          <w:trHeight w:val="300"/>
        </w:trPr>
        <w:tc>
          <w:tcPr>
            <w:tcW w:type="dxa" w:w="2640"/>
            <w:tcBorders>
              <w:left w:space="0" w:sz="4" w:color="000000" w:val="single"/>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textAlignment w:val="auto"/>
              <w:rPr>
                <w:rFonts w:cs="Arial" w:eastAsia="Times New Roman" w:hAnsi="Arial" w:ascii="Arial"/>
                <w:sz w:val="16"/>
                <w:szCs w:val="16"/>
                <w:lang w:eastAsia="hr-HR"/>
              </w:rPr>
            </w:pPr>
            <w:r>
              <w:rPr>
                <w:rFonts w:cs="Arial" w:eastAsia="Times New Roman" w:hAnsi="Arial" w:ascii="Arial"/>
                <w:sz w:val="16"/>
                <w:szCs w:val="16"/>
                <w:lang w:eastAsia="hr-HR"/>
              </w:rPr>
              <w:t>500000,01 do 1.000.000,00</w:t>
            </w:r>
          </w:p>
        </w:tc>
        <w:tc>
          <w:tcPr>
            <w:tcW w:type="dxa" w:w="1800"/>
            <w:tcBorders>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jc w:val="right"/>
              <w:textAlignment w:val="auto"/>
              <w:rPr>
                <w:rFonts w:cs="Arial" w:eastAsia="Times New Roman" w:hAnsi="Arial" w:ascii="Arial"/>
                <w:sz w:val="16"/>
                <w:szCs w:val="16"/>
                <w:lang w:eastAsia="hr-HR"/>
              </w:rPr>
            </w:pPr>
            <w:r>
              <w:rPr>
                <w:rFonts w:cs="Arial" w:eastAsia="Times New Roman" w:hAnsi="Arial" w:ascii="Arial"/>
                <w:sz w:val="16"/>
                <w:szCs w:val="16"/>
                <w:lang w:eastAsia="hr-HR"/>
              </w:rPr>
              <w:t>500.000,00</w:t>
            </w:r>
          </w:p>
        </w:tc>
        <w:tc>
          <w:tcPr>
            <w:tcW w:type="dxa" w:w="1245"/>
            <w:tcBorders>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jc w:val="center"/>
              <w:textAlignment w:val="auto"/>
              <w:rPr>
                <w:rFonts w:cs="Arial" w:eastAsia="Times New Roman" w:hAnsi="Arial" w:ascii="Arial"/>
                <w:sz w:val="16"/>
                <w:szCs w:val="16"/>
                <w:lang w:eastAsia="hr-HR"/>
              </w:rPr>
            </w:pPr>
            <w:r>
              <w:rPr>
                <w:rFonts w:cs="Arial" w:eastAsia="Times New Roman" w:hAnsi="Arial" w:ascii="Arial"/>
                <w:sz w:val="16"/>
                <w:szCs w:val="16"/>
                <w:lang w:eastAsia="hr-HR"/>
              </w:rPr>
              <w:t>8,00</w:t>
            </w:r>
          </w:p>
        </w:tc>
        <w:tc>
          <w:tcPr>
            <w:tcW w:type="dxa" w:w="1540"/>
            <w:tcBorders>
              <w:top w:space="0" w:sz="4" w:color="000000" w:val="single"/>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jc w:val="right"/>
              <w:textAlignment w:val="auto"/>
              <w:rPr>
                <w:rFonts w:cs="Arial" w:eastAsia="Times New Roman" w:hAnsi="Arial" w:ascii="Arial"/>
                <w:sz w:val="16"/>
                <w:szCs w:val="16"/>
                <w:lang w:eastAsia="hr-HR"/>
              </w:rPr>
            </w:pPr>
            <w:r>
              <w:rPr>
                <w:rFonts w:cs="Arial" w:eastAsia="Times New Roman" w:hAnsi="Arial" w:ascii="Arial"/>
                <w:sz w:val="16"/>
                <w:szCs w:val="16"/>
                <w:lang w:eastAsia="hr-HR"/>
              </w:rPr>
              <w:t>40.000,00</w:t>
            </w:r>
          </w:p>
        </w:tc>
        <w:tc>
          <w:tcPr>
            <w:tcW w:type="dxa" w:w="1660"/>
            <w:tcBorders>
              <w:lef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textAlignment w:val="auto"/>
              <w:rPr>
                <w:rFonts w:eastAsia="Times New Roman"/>
                <w:color w:val="000000"/>
                <w:sz w:val="16"/>
                <w:szCs w:val="16"/>
                <w:lang w:eastAsia="hr-HR"/>
              </w:rPr>
            </w:pPr>
            <w:r>
              <w:rPr>
                <w:rFonts w:eastAsia="Times New Roman"/>
                <w:color w:val="000000"/>
                <w:sz w:val="16"/>
                <w:szCs w:val="16"/>
                <w:lang w:eastAsia="hr-HR"/>
              </w:rPr>
              <w:t> </w:t>
            </w:r>
          </w:p>
        </w:tc>
      </w:tr>
      <w:tr w:rsidR="00BD0C4A">
        <w:trPr>
          <w:trHeight w:val="300"/>
        </w:trPr>
        <w:tc>
          <w:tcPr>
            <w:tcW w:type="dxa" w:w="2640"/>
            <w:tcBorders>
              <w:left w:space="0" w:sz="4" w:color="000000" w:val="single"/>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textAlignment w:val="auto"/>
              <w:rPr>
                <w:rFonts w:cs="Arial" w:eastAsia="Times New Roman" w:hAnsi="Arial" w:ascii="Arial"/>
                <w:sz w:val="16"/>
                <w:szCs w:val="16"/>
                <w:lang w:eastAsia="hr-HR"/>
              </w:rPr>
            </w:pPr>
            <w:r>
              <w:rPr>
                <w:rFonts w:cs="Arial" w:eastAsia="Times New Roman" w:hAnsi="Arial" w:ascii="Arial"/>
                <w:sz w:val="16"/>
                <w:szCs w:val="16"/>
                <w:lang w:eastAsia="hr-HR"/>
              </w:rPr>
              <w:t xml:space="preserve">1000000,01 do </w:t>
            </w:r>
          </w:p>
        </w:tc>
        <w:tc>
          <w:tcPr>
            <w:tcW w:type="dxa" w:w="1800"/>
            <w:tcBorders>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jc w:val="right"/>
              <w:textAlignment w:val="auto"/>
              <w:rPr>
                <w:rFonts w:cs="Arial" w:eastAsia="Times New Roman" w:hAnsi="Arial" w:ascii="Arial"/>
                <w:sz w:val="16"/>
                <w:szCs w:val="16"/>
                <w:lang w:eastAsia="hr-HR"/>
              </w:rPr>
            </w:pPr>
            <w:r>
              <w:rPr>
                <w:rFonts w:cs="Arial" w:eastAsia="Times New Roman" w:hAnsi="Arial" w:ascii="Arial"/>
                <w:sz w:val="16"/>
                <w:szCs w:val="16"/>
                <w:lang w:eastAsia="hr-HR"/>
              </w:rPr>
              <w:t>300.000,00</w:t>
            </w:r>
          </w:p>
        </w:tc>
        <w:tc>
          <w:tcPr>
            <w:tcW w:type="dxa" w:w="1245"/>
            <w:tcBorders>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jc w:val="center"/>
              <w:textAlignment w:val="auto"/>
              <w:rPr>
                <w:rFonts w:cs="Arial" w:eastAsia="Times New Roman" w:hAnsi="Arial" w:ascii="Arial"/>
                <w:sz w:val="16"/>
                <w:szCs w:val="16"/>
                <w:lang w:eastAsia="hr-HR"/>
              </w:rPr>
            </w:pPr>
            <w:r>
              <w:rPr>
                <w:rFonts w:cs="Arial" w:eastAsia="Times New Roman" w:hAnsi="Arial" w:ascii="Arial"/>
                <w:sz w:val="16"/>
                <w:szCs w:val="16"/>
                <w:lang w:eastAsia="hr-HR"/>
              </w:rPr>
              <w:t>7,00</w:t>
            </w:r>
          </w:p>
        </w:tc>
        <w:tc>
          <w:tcPr>
            <w:tcW w:type="dxa" w:w="1540"/>
            <w:tcBorders>
              <w:top w:space="0" w:sz="4" w:color="000000" w:val="single"/>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jc w:val="right"/>
              <w:textAlignment w:val="auto"/>
              <w:rPr>
                <w:rFonts w:cs="Arial" w:eastAsia="Times New Roman" w:hAnsi="Arial" w:ascii="Arial"/>
                <w:sz w:val="16"/>
                <w:szCs w:val="16"/>
                <w:lang w:eastAsia="hr-HR"/>
              </w:rPr>
            </w:pPr>
            <w:r>
              <w:rPr>
                <w:rFonts w:cs="Arial" w:eastAsia="Times New Roman" w:hAnsi="Arial" w:ascii="Arial"/>
                <w:sz w:val="16"/>
                <w:szCs w:val="16"/>
                <w:lang w:eastAsia="hr-HR"/>
              </w:rPr>
              <w:t>21.000,00</w:t>
            </w:r>
          </w:p>
        </w:tc>
        <w:tc>
          <w:tcPr>
            <w:tcW w:type="dxa" w:w="1660"/>
            <w:tcBorders>
              <w:left w:space="0" w:sz="4" w:color="000000" w:val="single"/>
              <w:bottom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textAlignment w:val="auto"/>
              <w:rPr>
                <w:rFonts w:eastAsia="Times New Roman"/>
                <w:color w:val="000000"/>
                <w:sz w:val="16"/>
                <w:szCs w:val="16"/>
                <w:lang w:eastAsia="hr-HR"/>
              </w:rPr>
            </w:pPr>
            <w:r>
              <w:rPr>
                <w:rFonts w:eastAsia="Times New Roman"/>
                <w:color w:val="000000"/>
                <w:sz w:val="16"/>
                <w:szCs w:val="16"/>
                <w:lang w:eastAsia="hr-HR"/>
              </w:rPr>
              <w:t> </w:t>
            </w:r>
          </w:p>
        </w:tc>
      </w:tr>
      <w:tr w:rsidR="00BD0C4A">
        <w:trPr>
          <w:trHeight w:val="300"/>
        </w:trPr>
        <w:tc>
          <w:tcPr>
            <w:tcW w:type="dxa" w:w="2640"/>
            <w:tcBorders>
              <w:left w:space="0" w:sz="4" w:color="000000" w:val="single"/>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textAlignment w:val="auto"/>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800"/>
            <w:tcBorders>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jc w:val="right"/>
              <w:textAlignment w:val="auto"/>
              <w:rPr>
                <w:rFonts w:cs="Arial" w:eastAsia="Times New Roman" w:hAnsi="Arial" w:ascii="Arial"/>
                <w:b/>
                <w:bCs/>
                <w:sz w:val="16"/>
                <w:szCs w:val="16"/>
                <w:lang w:eastAsia="hr-HR"/>
              </w:rPr>
            </w:pPr>
            <w:r>
              <w:rPr>
                <w:rFonts w:cs="Arial" w:eastAsia="Times New Roman" w:hAnsi="Arial" w:ascii="Arial"/>
                <w:b/>
                <w:bCs/>
                <w:sz w:val="16"/>
                <w:szCs w:val="16"/>
                <w:lang w:eastAsia="hr-HR"/>
              </w:rPr>
              <w:t>1.300.000,00</w:t>
            </w:r>
          </w:p>
        </w:tc>
        <w:tc>
          <w:tcPr>
            <w:tcW w:type="dxa" w:w="1245"/>
            <w:tcBorders>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textAlignment w:val="auto"/>
              <w:rPr>
                <w:rFonts w:eastAsia="Times New Roman"/>
                <w:color w:val="000000"/>
                <w:sz w:val="16"/>
                <w:szCs w:val="16"/>
                <w:lang w:eastAsia="hr-HR"/>
              </w:rPr>
            </w:pPr>
            <w:r>
              <w:rPr>
                <w:rFonts w:eastAsia="Times New Roman"/>
                <w:color w:val="000000"/>
                <w:sz w:val="16"/>
                <w:szCs w:val="16"/>
                <w:lang w:eastAsia="hr-HR"/>
              </w:rPr>
              <w:t> </w:t>
            </w:r>
          </w:p>
        </w:tc>
        <w:tc>
          <w:tcPr>
            <w:tcW w:type="dxa" w:w="1540"/>
            <w:tcBorders>
              <w:top w:space="0" w:sz="4" w:color="000000" w:val="single"/>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jc w:val="right"/>
              <w:textAlignment w:val="auto"/>
              <w:rPr>
                <w:rFonts w:cs="Arial" w:eastAsia="Times New Roman" w:hAnsi="Arial" w:ascii="Arial"/>
                <w:b/>
                <w:bCs/>
                <w:sz w:val="16"/>
                <w:szCs w:val="16"/>
                <w:lang w:eastAsia="hr-HR"/>
              </w:rPr>
            </w:pPr>
            <w:r>
              <w:rPr>
                <w:rFonts w:cs="Arial" w:eastAsia="Times New Roman" w:hAnsi="Arial" w:ascii="Arial"/>
                <w:b/>
                <w:bCs/>
                <w:sz w:val="16"/>
                <w:szCs w:val="16"/>
                <w:lang w:eastAsia="hr-HR"/>
              </w:rPr>
              <w:t>121.000,00</w:t>
            </w:r>
          </w:p>
        </w:tc>
        <w:tc>
          <w:tcPr>
            <w:tcW w:type="dxa" w:w="1660"/>
            <w:tcBorders>
              <w:top w:space="0" w:sz="4" w:color="000000" w:val="single"/>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jc w:val="center"/>
              <w:textAlignment w:val="auto"/>
              <w:rPr>
                <w:rFonts w:cs="Arial" w:eastAsia="Times New Roman" w:hAnsi="Arial" w:ascii="Arial"/>
                <w:b/>
                <w:bCs/>
                <w:sz w:val="16"/>
                <w:szCs w:val="16"/>
                <w:lang w:eastAsia="hr-HR"/>
              </w:rPr>
            </w:pPr>
            <w:r>
              <w:rPr>
                <w:rFonts w:cs="Arial" w:eastAsia="Times New Roman" w:hAnsi="Arial" w:ascii="Arial"/>
                <w:b/>
                <w:bCs/>
                <w:sz w:val="16"/>
                <w:szCs w:val="16"/>
                <w:lang w:eastAsia="hr-HR"/>
              </w:rPr>
              <w:t xml:space="preserve">bruto </w:t>
            </w:r>
          </w:p>
        </w:tc>
      </w:tr>
      <w:tr w:rsidR="00BD0C4A">
        <w:trPr>
          <w:trHeight w:val="300"/>
        </w:trPr>
        <w:tc>
          <w:tcPr>
            <w:tcW w:type="dxa" w:w="2640"/>
            <w:tcBorders>
              <w:left w:space="0" w:sz="4" w:color="000000" w:val="single"/>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textAlignment w:val="auto"/>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800"/>
            <w:tcBorders>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textAlignment w:val="auto"/>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245"/>
            <w:tcBorders>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textAlignment w:val="auto"/>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dxa" w:w="1540"/>
            <w:tcBorders>
              <w:top w:space="0" w:sz="4" w:color="000000" w:val="single"/>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jc w:val="right"/>
              <w:textAlignment w:val="auto"/>
              <w:rPr>
                <w:rFonts w:cs="Arial" w:eastAsia="Times New Roman" w:hAnsi="Arial" w:ascii="Arial"/>
                <w:b/>
                <w:bCs/>
                <w:sz w:val="16"/>
                <w:szCs w:val="16"/>
                <w:lang w:eastAsia="hr-HR"/>
              </w:rPr>
            </w:pPr>
            <w:r>
              <w:rPr>
                <w:rFonts w:cs="Arial" w:eastAsia="Times New Roman" w:hAnsi="Arial" w:ascii="Arial"/>
                <w:b/>
                <w:bCs/>
                <w:sz w:val="16"/>
                <w:szCs w:val="16"/>
                <w:lang w:eastAsia="hr-HR"/>
              </w:rPr>
              <w:t>72.613,51</w:t>
            </w:r>
          </w:p>
        </w:tc>
        <w:tc>
          <w:tcPr>
            <w:tcW w:type="dxa" w:w="1660"/>
            <w:tcBorders>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852B31" w:rsidR="00BD0C4A">
            <w:pPr>
              <w:suppressAutoHyphens w:val="false"/>
              <w:spacing w:after="0"/>
              <w:jc w:val="center"/>
              <w:textAlignment w:val="auto"/>
              <w:rPr>
                <w:rFonts w:cs="Arial" w:eastAsia="Times New Roman" w:hAnsi="Arial" w:ascii="Arial"/>
                <w:b/>
                <w:bCs/>
                <w:sz w:val="16"/>
                <w:szCs w:val="16"/>
                <w:lang w:eastAsia="hr-HR"/>
              </w:rPr>
            </w:pPr>
            <w:r>
              <w:rPr>
                <w:rFonts w:cs="Arial" w:eastAsia="Times New Roman" w:hAnsi="Arial" w:ascii="Arial"/>
                <w:b/>
                <w:bCs/>
                <w:sz w:val="16"/>
                <w:szCs w:val="16"/>
                <w:lang w:eastAsia="hr-HR"/>
              </w:rPr>
              <w:t>neto</w:t>
            </w:r>
          </w:p>
        </w:tc>
      </w:tr>
    </w:tbl>
    <w:p w:rsidRDefault="00BD0C4A" w:rsidR="00BD0C4A">
      <w:pPr>
        <w:pStyle w:val="Bezproreda"/>
        <w:jc w:val="both"/>
        <w:rPr>
          <w:rFonts w:cs="Arial" w:hAnsi="Arial" w:ascii="Arial"/>
          <w:sz w:val="20"/>
          <w:szCs w:val="20"/>
        </w:rPr>
      </w:pPr>
    </w:p>
    <w:p w:rsidRDefault="00852B31" w:rsidR="00BD0C4A">
      <w:pPr>
        <w:pStyle w:val="Bezproreda"/>
        <w:jc w:val="both"/>
        <w:rPr>
          <w:rFonts w:cs="Arial" w:hAnsi="Arial" w:ascii="Arial"/>
          <w:sz w:val="20"/>
          <w:szCs w:val="20"/>
        </w:rPr>
      </w:pPr>
      <w:r>
        <w:rPr>
          <w:rFonts w:cs="Arial" w:hAnsi="Arial" w:ascii="Arial"/>
          <w:sz w:val="20"/>
          <w:szCs w:val="20"/>
        </w:rPr>
        <w:t xml:space="preserve">Stanje na računu Stečajne mase Miran dan d.o.o nije promijenjeno od dana 15.11.2015. godine obzirom da nije bilo nikakvog priljeva kao niti odljeva po računu. Zadnji izvod po računu broj 007  od dana 15.11.2015. godine sa stanjem na računu =22,09 kn. </w:t>
      </w:r>
    </w:p>
    <w:p w:rsidRDefault="00BD0C4A" w:rsidR="00BD0C4A">
      <w:pPr>
        <w:pStyle w:val="Bezproreda"/>
        <w:jc w:val="both"/>
        <w:rPr>
          <w:rFonts w:cs="Arial" w:hAnsi="Arial" w:ascii="Arial"/>
          <w:sz w:val="20"/>
          <w:szCs w:val="20"/>
        </w:rPr>
      </w:pPr>
    </w:p>
    <w:p w:rsidRDefault="00BD0C4A" w:rsidR="00BD0C4A">
      <w:pPr>
        <w:pStyle w:val="Bezproreda"/>
        <w:jc w:val="both"/>
        <w:rPr>
          <w:rFonts w:cs="Arial" w:hAnsi="Arial" w:ascii="Arial"/>
          <w:sz w:val="20"/>
          <w:szCs w:val="20"/>
        </w:rPr>
      </w:pPr>
    </w:p>
    <w:p w:rsidRDefault="00852B31" w:rsidR="00BD0C4A">
      <w:pPr>
        <w:pStyle w:val="Bezproreda"/>
        <w:jc w:val="both"/>
        <w:rPr>
          <w:rFonts w:cs="Arial" w:hAnsi="Arial" w:ascii="Arial"/>
          <w:sz w:val="20"/>
          <w:szCs w:val="20"/>
        </w:rPr>
      </w:pPr>
      <w:r>
        <w:rPr>
          <w:rFonts w:cs="Arial" w:hAnsi="Arial" w:ascii="Arial"/>
          <w:sz w:val="20"/>
          <w:szCs w:val="20"/>
        </w:rPr>
        <w:lastRenderedPageBreak/>
        <w:t xml:space="preserve">2.Troškovi nastali od dana 31.07.2017 do 31.03.2018. ( 8 mjeseci) </w:t>
      </w:r>
    </w:p>
    <w:tbl>
      <w:tblPr>
        <w:tblW w:type="dxa" w:w="9180"/>
        <w:tblCellMar>
          <w:left w:type="dxa" w:w="10"/>
          <w:right w:type="dxa" w:w="10"/>
        </w:tblCellMar>
        <w:tblLook w:val="0000" w:noVBand="0" w:noHBand="0" w:lastColumn="0" w:firstColumn="0" w:lastRow="0" w:firstRow="0"/>
      </w:tblPr>
      <w:tblGrid>
        <w:gridCol w:w="439"/>
        <w:gridCol w:w="7182"/>
        <w:gridCol w:w="1559"/>
      </w:tblGrid>
      <w:tr w:rsidR="00BD0C4A">
        <w:tc>
          <w:tcPr>
            <w:tcW w:type="dxa" w:w="43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spacing w:lineRule="auto" w:line="276"/>
              <w:jc w:val="center"/>
              <w:rPr>
                <w:rFonts w:cs="Arial" w:hAnsi="Arial" w:ascii="Arial"/>
                <w:sz w:val="20"/>
                <w:szCs w:val="20"/>
              </w:rPr>
            </w:pPr>
            <w:r>
              <w:rPr>
                <w:rFonts w:cs="Arial" w:hAnsi="Arial" w:ascii="Arial"/>
                <w:sz w:val="20"/>
                <w:szCs w:val="20"/>
              </w:rPr>
              <w:t>rb</w:t>
            </w:r>
          </w:p>
        </w:tc>
        <w:tc>
          <w:tcPr>
            <w:tcW w:type="dxa" w:w="718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spacing w:lineRule="auto" w:line="276"/>
              <w:rPr>
                <w:rFonts w:cs="Arial" w:hAnsi="Arial" w:ascii="Arial"/>
                <w:sz w:val="20"/>
                <w:szCs w:val="20"/>
              </w:rPr>
            </w:pPr>
            <w:r>
              <w:rPr>
                <w:rFonts w:cs="Arial" w:hAnsi="Arial" w:ascii="Arial"/>
                <w:sz w:val="20"/>
                <w:szCs w:val="20"/>
              </w:rPr>
              <w:t>Troškovi</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spacing w:lineRule="auto" w:line="276"/>
              <w:jc w:val="right"/>
              <w:rPr>
                <w:rFonts w:cs="Arial" w:hAnsi="Arial" w:ascii="Arial"/>
                <w:sz w:val="20"/>
                <w:szCs w:val="20"/>
              </w:rPr>
            </w:pPr>
            <w:r>
              <w:rPr>
                <w:rFonts w:cs="Arial" w:hAnsi="Arial" w:ascii="Arial"/>
                <w:sz w:val="20"/>
                <w:szCs w:val="20"/>
              </w:rPr>
              <w:t>Iznos u kn</w:t>
            </w:r>
          </w:p>
        </w:tc>
      </w:tr>
      <w:tr w:rsidR="00BD0C4A">
        <w:tc>
          <w:tcPr>
            <w:tcW w:type="dxa" w:w="43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spacing w:lineRule="auto" w:line="276"/>
              <w:jc w:val="center"/>
              <w:rPr>
                <w:rFonts w:cs="Arial" w:hAnsi="Arial" w:ascii="Arial"/>
                <w:sz w:val="20"/>
                <w:szCs w:val="20"/>
              </w:rPr>
            </w:pPr>
            <w:r>
              <w:rPr>
                <w:rFonts w:cs="Arial" w:hAnsi="Arial" w:ascii="Arial"/>
                <w:sz w:val="20"/>
                <w:szCs w:val="20"/>
              </w:rPr>
              <w:t>1.</w:t>
            </w:r>
          </w:p>
        </w:tc>
        <w:tc>
          <w:tcPr>
            <w:tcW w:type="dxa" w:w="718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spacing w:lineRule="auto" w:line="276" w:after="0"/>
              <w:rPr>
                <w:rFonts w:cs="Arial" w:hAnsi="Arial" w:ascii="Arial"/>
                <w:sz w:val="20"/>
                <w:szCs w:val="20"/>
              </w:rPr>
            </w:pPr>
            <w:r>
              <w:rPr>
                <w:rFonts w:cs="Arial" w:hAnsi="Arial" w:ascii="Arial"/>
                <w:sz w:val="20"/>
                <w:szCs w:val="20"/>
              </w:rPr>
              <w:t xml:space="preserve">Bankarska naknada za održavanje računa  cca  27,00 x 8  mjeseci, naknada za platni promet eventualna dioba cca 300,00 kn; naknada za zatvaranje računa-plan 200,00 kn </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spacing w:lineRule="auto" w:line="276"/>
              <w:jc w:val="right"/>
              <w:rPr>
                <w:rFonts w:cs="Arial" w:hAnsi="Arial" w:ascii="Arial"/>
                <w:sz w:val="20"/>
                <w:szCs w:val="20"/>
              </w:rPr>
            </w:pPr>
            <w:r>
              <w:rPr>
                <w:rFonts w:cs="Arial" w:hAnsi="Arial" w:ascii="Arial"/>
                <w:sz w:val="20"/>
                <w:szCs w:val="20"/>
              </w:rPr>
              <w:t>716,00</w:t>
            </w:r>
          </w:p>
        </w:tc>
      </w:tr>
      <w:tr w:rsidR="00BD0C4A">
        <w:tc>
          <w:tcPr>
            <w:tcW w:type="dxa" w:w="43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spacing w:lineRule="auto" w:line="276"/>
              <w:jc w:val="center"/>
              <w:rPr>
                <w:rFonts w:cs="Arial" w:hAnsi="Arial" w:ascii="Arial"/>
                <w:sz w:val="20"/>
                <w:szCs w:val="20"/>
              </w:rPr>
            </w:pPr>
            <w:r>
              <w:rPr>
                <w:rFonts w:cs="Arial" w:hAnsi="Arial" w:ascii="Arial"/>
                <w:sz w:val="20"/>
                <w:szCs w:val="20"/>
              </w:rPr>
              <w:t>2.</w:t>
            </w:r>
          </w:p>
        </w:tc>
        <w:tc>
          <w:tcPr>
            <w:tcW w:type="dxa" w:w="718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spacing w:lineRule="auto" w:line="276"/>
              <w:rPr>
                <w:rFonts w:cs="Arial" w:hAnsi="Arial" w:ascii="Arial"/>
                <w:sz w:val="20"/>
                <w:szCs w:val="20"/>
              </w:rPr>
            </w:pPr>
            <w:r>
              <w:rPr>
                <w:rFonts w:cs="Arial" w:hAnsi="Arial" w:ascii="Arial"/>
                <w:sz w:val="20"/>
                <w:szCs w:val="20"/>
              </w:rPr>
              <w:t>Knjigovodstvene usluge  bruto 500,00 kn mj.x 8 mjeseci</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spacing w:lineRule="auto" w:line="276"/>
              <w:jc w:val="right"/>
              <w:rPr>
                <w:rFonts w:cs="Arial" w:hAnsi="Arial" w:ascii="Arial"/>
                <w:sz w:val="20"/>
                <w:szCs w:val="20"/>
              </w:rPr>
            </w:pPr>
            <w:r>
              <w:rPr>
                <w:rFonts w:cs="Arial" w:hAnsi="Arial" w:ascii="Arial"/>
                <w:sz w:val="20"/>
                <w:szCs w:val="20"/>
              </w:rPr>
              <w:t>4.000,00</w:t>
            </w:r>
          </w:p>
        </w:tc>
      </w:tr>
      <w:tr w:rsidR="00BD0C4A">
        <w:tc>
          <w:tcPr>
            <w:tcW w:type="dxa" w:w="43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spacing w:lineRule="auto" w:line="276"/>
              <w:jc w:val="center"/>
              <w:rPr>
                <w:rFonts w:cs="Arial" w:hAnsi="Arial" w:ascii="Arial"/>
                <w:sz w:val="20"/>
                <w:szCs w:val="20"/>
              </w:rPr>
            </w:pPr>
            <w:r>
              <w:rPr>
                <w:rFonts w:cs="Arial" w:hAnsi="Arial" w:ascii="Arial"/>
                <w:sz w:val="20"/>
                <w:szCs w:val="20"/>
              </w:rPr>
              <w:t>3</w:t>
            </w:r>
          </w:p>
        </w:tc>
        <w:tc>
          <w:tcPr>
            <w:tcW w:type="dxa" w:w="718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spacing w:lineRule="auto" w:line="276"/>
              <w:jc w:val="center"/>
              <w:rPr>
                <w:rFonts w:cs="Arial" w:hAnsi="Arial" w:ascii="Arial"/>
                <w:b/>
                <w:sz w:val="20"/>
                <w:szCs w:val="20"/>
              </w:rPr>
            </w:pPr>
            <w:r>
              <w:rPr>
                <w:rFonts w:cs="Arial" w:hAnsi="Arial" w:ascii="Arial"/>
                <w:b/>
                <w:sz w:val="20"/>
                <w:szCs w:val="20"/>
              </w:rPr>
              <w:t>Ukupno</w:t>
            </w:r>
          </w:p>
        </w:tc>
        <w:tc>
          <w:tcPr>
            <w:tcW w:type="dxa" w:w="155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852B31" w:rsidR="00BD0C4A">
            <w:pPr>
              <w:spacing w:lineRule="auto" w:line="276"/>
              <w:jc w:val="center"/>
              <w:rPr>
                <w:rFonts w:cs="Arial" w:hAnsi="Arial" w:ascii="Arial"/>
                <w:b/>
                <w:sz w:val="20"/>
                <w:szCs w:val="20"/>
              </w:rPr>
            </w:pPr>
            <w:r>
              <w:rPr>
                <w:rFonts w:cs="Arial" w:hAnsi="Arial" w:ascii="Arial"/>
                <w:b/>
                <w:sz w:val="20"/>
                <w:szCs w:val="20"/>
              </w:rPr>
              <w:t xml:space="preserve">       4.716,00</w:t>
            </w:r>
          </w:p>
        </w:tc>
      </w:tr>
    </w:tbl>
    <w:p w:rsidRDefault="00BD0C4A" w:rsidR="00BD0C4A">
      <w:pPr>
        <w:pStyle w:val="Bezproreda"/>
        <w:jc w:val="both"/>
        <w:rPr>
          <w:rFonts w:cs="Arial" w:hAnsi="Arial" w:ascii="Arial"/>
          <w:sz w:val="20"/>
          <w:szCs w:val="20"/>
        </w:rPr>
      </w:pPr>
    </w:p>
    <w:p w:rsidRDefault="00852B31" w:rsidR="00BD0C4A">
      <w:pPr>
        <w:jc w:val="both"/>
      </w:pPr>
      <w:r>
        <w:rPr>
          <w:rFonts w:cs="Arial" w:hAnsi="Arial" w:ascii="Arial"/>
          <w:b/>
          <w:sz w:val="20"/>
          <w:szCs w:val="20"/>
        </w:rPr>
        <w:t xml:space="preserve">Ukupno troškovi:     </w:t>
      </w:r>
      <w:r>
        <w:rPr>
          <w:rFonts w:cs="Arial" w:hAnsi="Arial" w:ascii="Arial"/>
          <w:b/>
          <w:sz w:val="20"/>
          <w:szCs w:val="20"/>
        </w:rPr>
        <w:tab/>
      </w:r>
      <w:r>
        <w:rPr>
          <w:rFonts w:cs="Arial" w:hAnsi="Arial" w:ascii="Arial"/>
          <w:b/>
          <w:sz w:val="20"/>
          <w:szCs w:val="20"/>
        </w:rPr>
        <w:tab/>
      </w:r>
      <w:r>
        <w:rPr>
          <w:rFonts w:cs="Arial" w:hAnsi="Arial" w:ascii="Arial"/>
          <w:b/>
          <w:sz w:val="20"/>
          <w:szCs w:val="20"/>
        </w:rPr>
        <w:tab/>
      </w:r>
      <w:r>
        <w:rPr>
          <w:rFonts w:cs="Arial" w:hAnsi="Arial" w:ascii="Arial"/>
          <w:b/>
          <w:sz w:val="20"/>
          <w:szCs w:val="20"/>
        </w:rPr>
        <w:tab/>
      </w:r>
      <w:r>
        <w:rPr>
          <w:rFonts w:cs="Arial" w:hAnsi="Arial" w:ascii="Arial"/>
          <w:b/>
          <w:sz w:val="20"/>
          <w:szCs w:val="20"/>
        </w:rPr>
        <w:tab/>
      </w:r>
      <w:r>
        <w:rPr>
          <w:rFonts w:cs="Arial" w:hAnsi="Arial" w:ascii="Arial"/>
          <w:b/>
          <w:sz w:val="20"/>
          <w:szCs w:val="20"/>
        </w:rPr>
        <w:tab/>
        <w:t xml:space="preserve">              </w:t>
      </w:r>
      <w:r>
        <w:rPr>
          <w:rFonts w:cs="Arial" w:hAnsi="Arial" w:ascii="Arial"/>
          <w:b/>
          <w:sz w:val="20"/>
          <w:szCs w:val="20"/>
        </w:rPr>
        <w:tab/>
        <w:t>=</w:t>
      </w:r>
      <w:r>
        <w:rPr>
          <w:rFonts w:eastAsia="Times New Roman"/>
          <w:b/>
          <w:color w:val="000000"/>
          <w:lang w:eastAsia="hr-HR"/>
        </w:rPr>
        <w:t>543.823,00 kn</w:t>
      </w:r>
    </w:p>
    <w:p w:rsidRDefault="00BD0C4A" w:rsidR="00BD0C4A">
      <w:pPr>
        <w:pStyle w:val="Bezproreda"/>
        <w:jc w:val="both"/>
        <w:rPr>
          <w:rFonts w:cs="Arial" w:hAnsi="Arial" w:ascii="Arial"/>
          <w:sz w:val="20"/>
          <w:szCs w:val="20"/>
        </w:rPr>
      </w:pPr>
    </w:p>
    <w:p w:rsidRDefault="00BD0C4A" w:rsidR="00BD0C4A">
      <w:pPr>
        <w:pStyle w:val="Bezproreda"/>
        <w:jc w:val="both"/>
        <w:rPr>
          <w:rFonts w:cs="Arial" w:hAnsi="Arial" w:ascii="Arial"/>
          <w:sz w:val="20"/>
          <w:szCs w:val="20"/>
        </w:rPr>
      </w:pPr>
    </w:p>
    <w:p w:rsidRDefault="00852B31" w:rsidR="00BD0C4A">
      <w:pPr>
        <w:pStyle w:val="Bezproreda"/>
        <w:rPr>
          <w:rFonts w:cs="Arial" w:hAnsi="Arial" w:ascii="Arial"/>
        </w:rPr>
      </w:pPr>
      <w:r>
        <w:rPr>
          <w:rFonts w:cs="Arial" w:hAnsi="Arial" w:ascii="Arial"/>
        </w:rPr>
        <w:t xml:space="preserve">II. POSTUPANJE SA STEČAJNOM  MASOM </w:t>
      </w:r>
    </w:p>
    <w:p w:rsidRDefault="00BD0C4A" w:rsidR="00BD0C4A">
      <w:pPr>
        <w:pStyle w:val="Bezproreda"/>
        <w:rPr>
          <w:rFonts w:hAnsi="Times New Roman" w:ascii="Times New Roman"/>
          <w:sz w:val="24"/>
          <w:szCs w:val="24"/>
        </w:rPr>
      </w:pPr>
    </w:p>
    <w:p w:rsidRDefault="00852B31" w:rsidR="00BD0C4A">
      <w:pPr>
        <w:pStyle w:val="Bezproreda"/>
      </w:pPr>
      <w:r>
        <w:rPr>
          <w:rFonts w:cs="Arial" w:hAnsi="Arial" w:ascii="Arial"/>
          <w:sz w:val="20"/>
          <w:szCs w:val="20"/>
        </w:rPr>
        <w:t xml:space="preserve">Stečajni dužnik  sada Stečajna masa  MIRAN DAN d.o.o. u stečaju ne posjeduje više nikakvu imovinu osim po zaključenju stečajnog postupka rezervirana sredstva za vođenje naprijed navedenih parnica u iznosu od </w:t>
      </w:r>
      <w:r>
        <w:rPr>
          <w:rFonts w:cs="Arial" w:hAnsi="Arial" w:ascii="Arial"/>
          <w:b/>
          <w:sz w:val="20"/>
          <w:szCs w:val="20"/>
        </w:rPr>
        <w:t>=1.295.961,00</w:t>
      </w:r>
      <w:r>
        <w:rPr>
          <w:rFonts w:cs="Arial" w:hAnsi="Arial" w:ascii="Arial"/>
          <w:sz w:val="20"/>
          <w:szCs w:val="20"/>
        </w:rPr>
        <w:t xml:space="preserve"> kn.</w:t>
      </w:r>
    </w:p>
    <w:p w:rsidRDefault="00BD0C4A" w:rsidR="00BD0C4A">
      <w:pPr>
        <w:pStyle w:val="Bezproreda"/>
        <w:rPr>
          <w:rFonts w:cs="Arial" w:hAnsi="Arial" w:ascii="Arial"/>
          <w:sz w:val="20"/>
          <w:szCs w:val="20"/>
        </w:rPr>
      </w:pPr>
    </w:p>
    <w:p w:rsidRDefault="00852B31" w:rsidR="00BD0C4A">
      <w:pPr>
        <w:pStyle w:val="Bezproreda"/>
      </w:pPr>
      <w:r>
        <w:rPr>
          <w:rFonts w:cs="Arial" w:hAnsi="Arial" w:ascii="Arial"/>
          <w:sz w:val="20"/>
          <w:szCs w:val="20"/>
        </w:rPr>
        <w:t xml:space="preserve"> Sredstva se nalaze na depozitnom računu Trgovačkog suda u Zagrebu.</w:t>
      </w:r>
    </w:p>
    <w:p w:rsidRDefault="00852B31" w:rsidR="00BD0C4A">
      <w:pPr>
        <w:pStyle w:val="Bezproreda"/>
        <w:rPr>
          <w:rFonts w:cs="Arial" w:hAnsi="Arial" w:ascii="Arial"/>
          <w:sz w:val="20"/>
          <w:szCs w:val="20"/>
        </w:rPr>
      </w:pPr>
      <w:r>
        <w:rPr>
          <w:rFonts w:cs="Arial" w:hAnsi="Arial" w:ascii="Arial"/>
          <w:sz w:val="20"/>
          <w:szCs w:val="20"/>
        </w:rPr>
        <w:t xml:space="preserve">Utvrđene tražbine vjerovnika u stečajnom postupku su: </w:t>
      </w:r>
    </w:p>
    <w:p w:rsidRDefault="00852B31" w:rsidR="00BD0C4A">
      <w:pPr>
        <w:pStyle w:val="Bezproreda"/>
        <w:numPr>
          <w:ilvl w:val="0"/>
          <w:numId w:val="2"/>
        </w:numPr>
        <w:suppressAutoHyphens w:val="false"/>
        <w:textAlignment w:val="auto"/>
        <w:rPr>
          <w:rFonts w:cs="Arial" w:hAnsi="Arial" w:ascii="Arial"/>
          <w:sz w:val="20"/>
          <w:szCs w:val="20"/>
        </w:rPr>
      </w:pPr>
      <w:r>
        <w:rPr>
          <w:rFonts w:cs="Arial" w:hAnsi="Arial" w:ascii="Arial"/>
          <w:sz w:val="20"/>
          <w:szCs w:val="20"/>
        </w:rPr>
        <w:t>Vjerovnici I. višeg isplatnog reda – radnici                     iznos=1.952.506,00 kn</w:t>
      </w:r>
    </w:p>
    <w:p w:rsidRDefault="00852B31" w:rsidR="00BD0C4A">
      <w:pPr>
        <w:pStyle w:val="Bezproreda"/>
        <w:numPr>
          <w:ilvl w:val="0"/>
          <w:numId w:val="2"/>
        </w:numPr>
        <w:suppressAutoHyphens w:val="false"/>
        <w:textAlignment w:val="auto"/>
        <w:rPr>
          <w:rFonts w:cs="Arial" w:hAnsi="Arial" w:ascii="Arial"/>
          <w:sz w:val="20"/>
          <w:szCs w:val="20"/>
        </w:rPr>
      </w:pPr>
      <w:r>
        <w:rPr>
          <w:rFonts w:cs="Arial" w:hAnsi="Arial" w:ascii="Arial"/>
          <w:sz w:val="20"/>
          <w:szCs w:val="20"/>
        </w:rPr>
        <w:t>Vjerovnici II. višeg isplatnog reda, svi ostali vjerovnici   iznos=8.882.364,00 kn</w:t>
      </w:r>
    </w:p>
    <w:p w:rsidRDefault="00BD0C4A" w:rsidR="00BD0C4A">
      <w:pPr>
        <w:pStyle w:val="Bezproreda"/>
        <w:rPr>
          <w:rFonts w:cs="Arial" w:hAnsi="Arial" w:ascii="Arial"/>
          <w:sz w:val="20"/>
          <w:szCs w:val="20"/>
        </w:rPr>
      </w:pPr>
    </w:p>
    <w:p w:rsidRDefault="00852B31" w:rsidR="00BD0C4A">
      <w:pPr>
        <w:pStyle w:val="Bezproreda"/>
        <w:rPr>
          <w:rFonts w:cs="Arial" w:hAnsi="Arial" w:ascii="Arial"/>
          <w:sz w:val="20"/>
          <w:szCs w:val="20"/>
        </w:rPr>
      </w:pPr>
      <w:r>
        <w:rPr>
          <w:rFonts w:cs="Arial" w:hAnsi="Arial" w:ascii="Arial"/>
          <w:sz w:val="20"/>
          <w:szCs w:val="20"/>
        </w:rPr>
        <w:t xml:space="preserve">U  stečajnom postupku MIRAN DAN d.o.o.  u završnoj diobi isplaćeno je  vjerovnicima  I. višeg isplatnog reda – radnicima iznos od =550.606,69 kn te je preostao  iznos za isplatu prema završnom popisu  od  =1.401.899,31 kn. </w:t>
      </w:r>
    </w:p>
    <w:p w:rsidRDefault="00BD0C4A" w:rsidR="00BD0C4A">
      <w:pPr>
        <w:pStyle w:val="Bezproreda"/>
        <w:rPr>
          <w:rFonts w:hAnsi="Times New Roman" w:ascii="Times New Roman"/>
          <w:sz w:val="20"/>
          <w:szCs w:val="20"/>
        </w:rPr>
      </w:pPr>
    </w:p>
    <w:p w:rsidRDefault="00852B31" w:rsidR="00BD0C4A">
      <w:pPr>
        <w:pStyle w:val="Bezproreda"/>
        <w:rPr>
          <w:rFonts w:cs="Arial" w:hAnsi="Arial" w:ascii="Arial"/>
          <w:sz w:val="20"/>
          <w:szCs w:val="20"/>
        </w:rPr>
      </w:pPr>
      <w:r>
        <w:rPr>
          <w:rFonts w:cs="Arial" w:hAnsi="Arial" w:ascii="Arial"/>
          <w:sz w:val="20"/>
          <w:szCs w:val="20"/>
        </w:rPr>
        <w:t xml:space="preserve">U slučaju da se predložena izvansudska nagodba prihvati od strane skupštine vjerovnika, a nakon podmirenja  troškova postupka u iznosu od =543.823,00 kn, preostala sredstva u iznosu od =752.138,00 kn isplatila bi se vjerovnicima I.višeg isplatnog reda u naknadnoj diobi. </w:t>
      </w:r>
    </w:p>
    <w:p w:rsidRDefault="00BD0C4A" w:rsidR="00BD0C4A">
      <w:pPr>
        <w:pStyle w:val="Bezproreda"/>
        <w:rPr>
          <w:rFonts w:hAnsi="Times New Roman" w:ascii="Times New Roman"/>
          <w:sz w:val="24"/>
          <w:szCs w:val="24"/>
        </w:rPr>
      </w:pPr>
    </w:p>
    <w:p w:rsidRDefault="00BD0C4A" w:rsidR="00BD0C4A">
      <w:pPr>
        <w:pStyle w:val="Bezproreda"/>
        <w:rPr>
          <w:rFonts w:hAnsi="Times New Roman" w:ascii="Times New Roman"/>
          <w:sz w:val="24"/>
          <w:szCs w:val="24"/>
        </w:rPr>
      </w:pPr>
    </w:p>
    <w:p w:rsidRDefault="00852B31" w:rsidR="00BD0C4A">
      <w:pPr>
        <w:pStyle w:val="Bezproreda"/>
        <w:jc w:val="both"/>
        <w:rPr>
          <w:rFonts w:cs="Arial" w:hAnsi="Arial" w:ascii="Arial"/>
          <w:sz w:val="20"/>
          <w:szCs w:val="20"/>
        </w:rPr>
      </w:pPr>
      <w:r>
        <w:rPr>
          <w:rFonts w:cs="Arial" w:hAnsi="Arial" w:ascii="Arial"/>
          <w:sz w:val="20"/>
          <w:szCs w:val="20"/>
        </w:rPr>
        <w:t xml:space="preserve">III. PRIJEDLOG NAKNADNE DIOBE PREMA ZAVRŠNOM POPISU AKO SE PREOSTALA STEČAJNA MASA DIJELI STEČAJNIM VJEROVNICIMA </w:t>
      </w:r>
    </w:p>
    <w:p w:rsidRDefault="00BD0C4A" w:rsidR="00BD0C4A">
      <w:pPr>
        <w:pStyle w:val="Bezproreda"/>
        <w:jc w:val="both"/>
        <w:rPr>
          <w:rFonts w:cs="Arial" w:hAnsi="Arial" w:ascii="Arial"/>
          <w:sz w:val="20"/>
          <w:szCs w:val="20"/>
        </w:rPr>
      </w:pPr>
    </w:p>
    <w:p w:rsidRDefault="00852B31" w:rsidR="00BD0C4A">
      <w:pPr>
        <w:pStyle w:val="Bezproreda"/>
        <w:jc w:val="both"/>
        <w:rPr>
          <w:rFonts w:cs="Arial" w:hAnsi="Arial" w:ascii="Arial"/>
          <w:sz w:val="20"/>
          <w:szCs w:val="20"/>
        </w:rPr>
      </w:pPr>
      <w:r>
        <w:rPr>
          <w:rFonts w:cs="Arial" w:hAnsi="Arial" w:ascii="Arial"/>
          <w:sz w:val="20"/>
          <w:szCs w:val="20"/>
        </w:rPr>
        <w:t>U završnom diobnom popis utvrđeni su iznosi preostali za isplatu nakon provedene završne diobe:</w:t>
      </w:r>
    </w:p>
    <w:p w:rsidRDefault="00852B31" w:rsidR="00BD0C4A">
      <w:pPr>
        <w:pStyle w:val="Bezproreda"/>
        <w:jc w:val="both"/>
        <w:rPr>
          <w:rFonts w:cs="Arial" w:hAnsi="Arial" w:ascii="Arial"/>
          <w:sz w:val="20"/>
          <w:szCs w:val="20"/>
        </w:rPr>
      </w:pPr>
      <w:r>
        <w:rPr>
          <w:rFonts w:cs="Arial" w:hAnsi="Arial" w:ascii="Arial"/>
          <w:sz w:val="20"/>
          <w:szCs w:val="20"/>
        </w:rPr>
        <w:t xml:space="preserve">   I.Viši isplatni red     1.401.899,31 kn</w:t>
      </w:r>
    </w:p>
    <w:p w:rsidRDefault="00852B31" w:rsidR="00BD0C4A">
      <w:pPr>
        <w:pStyle w:val="Bezproreda"/>
        <w:jc w:val="both"/>
        <w:rPr>
          <w:rFonts w:cs="Arial" w:hAnsi="Arial" w:ascii="Arial"/>
          <w:sz w:val="20"/>
          <w:szCs w:val="20"/>
        </w:rPr>
      </w:pPr>
      <w:r>
        <w:rPr>
          <w:rFonts w:cs="Arial" w:hAnsi="Arial" w:ascii="Arial"/>
          <w:sz w:val="20"/>
          <w:szCs w:val="20"/>
        </w:rPr>
        <w:t xml:space="preserve">  II. Viši isplatni red    8.820.522,75 kn</w:t>
      </w:r>
    </w:p>
    <w:p w:rsidRDefault="00BD0C4A" w:rsidR="00BD0C4A">
      <w:pPr>
        <w:pStyle w:val="Bezproreda"/>
        <w:rPr>
          <w:rFonts w:cs="Arial" w:hAnsi="Arial" w:ascii="Arial"/>
          <w:sz w:val="20"/>
          <w:szCs w:val="20"/>
        </w:rPr>
      </w:pPr>
    </w:p>
    <w:p w:rsidRDefault="00852B31" w:rsidR="00BD0C4A">
      <w:pPr>
        <w:pStyle w:val="Bezproreda"/>
        <w:rPr>
          <w:rFonts w:cs="Arial" w:hAnsi="Arial" w:ascii="Arial"/>
          <w:sz w:val="20"/>
          <w:szCs w:val="20"/>
        </w:rPr>
      </w:pPr>
      <w:r>
        <w:rPr>
          <w:rFonts w:cs="Arial" w:hAnsi="Arial" w:ascii="Arial"/>
          <w:sz w:val="20"/>
          <w:szCs w:val="20"/>
        </w:rPr>
        <w:t xml:space="preserve">Iz raspoloživih sredstava koja čine stečajnu masu, a nakon zaključenja izvansudske nagodbe i podmirenja troškova stečajnog postupka u iznosu od =543.823,00 kn,  iz preostalog  iznosa od =752.138,00 kn,   namirili bi se   vjerovnici I.Višeg isplatnog reda u 53,65% tnom iznosu. </w:t>
      </w:r>
    </w:p>
    <w:p w:rsidRDefault="00852B31" w:rsidR="00BD0C4A">
      <w:pPr>
        <w:pStyle w:val="Bezproreda"/>
        <w:rPr>
          <w:rFonts w:cs="Arial" w:hAnsi="Arial" w:ascii="Arial"/>
          <w:sz w:val="20"/>
          <w:szCs w:val="20"/>
        </w:rPr>
      </w:pPr>
      <w:r>
        <w:rPr>
          <w:rFonts w:cs="Arial" w:hAnsi="Arial" w:ascii="Arial"/>
          <w:sz w:val="20"/>
          <w:szCs w:val="20"/>
        </w:rPr>
        <w:t xml:space="preserve">Vjerovnici II. Višeg isplatnog reda neće biti namireni u naknadnoj diobi. </w:t>
      </w:r>
    </w:p>
    <w:p w:rsidRDefault="00BD0C4A" w:rsidR="00BD0C4A">
      <w:pPr>
        <w:pStyle w:val="Bezproreda"/>
        <w:rPr>
          <w:rFonts w:cs="Arial" w:hAnsi="Arial" w:ascii="Arial"/>
          <w:sz w:val="20"/>
          <w:szCs w:val="20"/>
        </w:rPr>
      </w:pPr>
    </w:p>
    <w:p w:rsidRDefault="00BD0C4A" w:rsidR="00BD0C4A">
      <w:pPr>
        <w:pStyle w:val="Bezproreda"/>
        <w:rPr>
          <w:rFonts w:cs="Arial" w:hAnsi="Arial" w:ascii="Arial"/>
          <w:sz w:val="20"/>
          <w:szCs w:val="20"/>
        </w:rPr>
      </w:pPr>
    </w:p>
    <w:p w:rsidRDefault="00BD0C4A" w:rsidR="00BD0C4A">
      <w:pPr>
        <w:pStyle w:val="Bezproreda"/>
        <w:rPr>
          <w:rFonts w:cs="Arial" w:hAnsi="Arial" w:ascii="Arial"/>
          <w:sz w:val="20"/>
          <w:szCs w:val="20"/>
        </w:rPr>
      </w:pPr>
    </w:p>
    <w:p w:rsidRDefault="00BD0C4A" w:rsidR="00BD0C4A">
      <w:pPr>
        <w:pStyle w:val="Bezproreda"/>
        <w:rPr>
          <w:rFonts w:cs="Arial" w:hAnsi="Arial" w:ascii="Arial"/>
          <w:sz w:val="20"/>
          <w:szCs w:val="20"/>
        </w:rPr>
      </w:pPr>
    </w:p>
    <w:p w:rsidRDefault="00BD0C4A" w:rsidR="00BD0C4A">
      <w:pPr>
        <w:pStyle w:val="Bezproreda"/>
        <w:rPr>
          <w:rFonts w:cs="Arial" w:hAnsi="Arial" w:ascii="Arial"/>
          <w:sz w:val="20"/>
          <w:szCs w:val="20"/>
        </w:rPr>
      </w:pPr>
    </w:p>
    <w:p w:rsidRDefault="00BD0C4A" w:rsidR="00BD0C4A">
      <w:pPr>
        <w:pStyle w:val="Bezproreda"/>
        <w:rPr>
          <w:rFonts w:cs="Arial" w:hAnsi="Arial" w:ascii="Arial"/>
          <w:sz w:val="20"/>
          <w:szCs w:val="20"/>
        </w:rPr>
      </w:pPr>
    </w:p>
    <w:p w:rsidRDefault="00BD0C4A" w:rsidR="00BD0C4A">
      <w:pPr>
        <w:pStyle w:val="Bezproreda"/>
        <w:rPr>
          <w:rFonts w:cs="Arial" w:hAnsi="Arial" w:ascii="Arial"/>
          <w:sz w:val="20"/>
          <w:szCs w:val="20"/>
        </w:rPr>
      </w:pPr>
    </w:p>
    <w:p w:rsidRDefault="00852B31" w:rsidR="00BD0C4A">
      <w:pPr>
        <w:pStyle w:val="Bezproreda"/>
        <w:rPr>
          <w:rFonts w:cs="Arial" w:hAnsi="Arial" w:ascii="Arial"/>
          <w:sz w:val="20"/>
          <w:szCs w:val="20"/>
        </w:rPr>
      </w:pPr>
      <w:r>
        <w:rPr>
          <w:rFonts w:cs="Arial" w:hAnsi="Arial" w:ascii="Arial"/>
          <w:sz w:val="20"/>
          <w:szCs w:val="20"/>
        </w:rPr>
        <w:t>IV. PRIJEDLOZI STEČAJNOG UPRAVITLJA ZA SKUPŠTINU VJEROVNIKA</w:t>
      </w:r>
    </w:p>
    <w:p w:rsidRDefault="00BD0C4A" w:rsidR="00BD0C4A">
      <w:pPr>
        <w:pStyle w:val="Bezproreda"/>
        <w:rPr>
          <w:rFonts w:cs="Arial" w:hAnsi="Arial" w:ascii="Arial"/>
          <w:sz w:val="20"/>
          <w:szCs w:val="20"/>
        </w:rPr>
      </w:pPr>
    </w:p>
    <w:p w:rsidRDefault="00852B31" w:rsidR="00BD0C4A">
      <w:pPr>
        <w:pStyle w:val="Bezproreda"/>
        <w:rPr>
          <w:rFonts w:cs="Arial" w:hAnsi="Arial" w:ascii="Arial"/>
          <w:sz w:val="20"/>
          <w:szCs w:val="20"/>
        </w:rPr>
      </w:pPr>
      <w:r>
        <w:rPr>
          <w:rFonts w:cs="Arial" w:hAnsi="Arial" w:ascii="Arial"/>
          <w:sz w:val="20"/>
          <w:szCs w:val="20"/>
        </w:rPr>
        <w:t xml:space="preserve">Nastavno na sve gore navedeno stečajni upravitelja predlaže da skupština vjerovnika donese slijedeće odluke: </w:t>
      </w:r>
    </w:p>
    <w:p w:rsidRDefault="00BD0C4A" w:rsidR="00BD0C4A">
      <w:pPr>
        <w:pStyle w:val="Bezproreda"/>
        <w:rPr>
          <w:rFonts w:cs="Arial" w:hAnsi="Arial" w:ascii="Arial"/>
          <w:sz w:val="20"/>
          <w:szCs w:val="20"/>
        </w:rPr>
      </w:pPr>
    </w:p>
    <w:p w:rsidRDefault="00852B31" w:rsidR="00BD0C4A">
      <w:pPr>
        <w:pStyle w:val="Bezproreda"/>
        <w:ind w:left="142"/>
        <w:rPr>
          <w:rFonts w:cs="Arial" w:hAnsi="Arial" w:ascii="Arial"/>
          <w:sz w:val="20"/>
          <w:szCs w:val="20"/>
        </w:rPr>
      </w:pPr>
      <w:r>
        <w:rPr>
          <w:rFonts w:cs="Arial" w:hAnsi="Arial" w:ascii="Arial"/>
          <w:sz w:val="20"/>
          <w:szCs w:val="20"/>
        </w:rPr>
        <w:t xml:space="preserve">1..Prihvaća se izvješće stečajnog upravitelja u odnosu na učinjene radnje u postupku nad stečajnom masom, a poglavito radnje vezane za zaključenje izvansudske nagodbe u predmetima: VJESNIK d.d. protiv Stečajna masa  MIRAN DAN d.o.o.  koji se vodi pred Trgovačkim sudom u Zagrebu poslovni broj  P-2233/2016.,  a  Stečajna masa iza MIRAN DAN d.o.o. protiv VJESNIK d.d.  u predmetu koji se vodi pred Trgovačkim sudom u Zagrebu  broj P-2708/14, financijsko izvješće u odnosu na dospjele a nepodmirene troškove u iznosu od =543.823,00 kn  specificirane na str 2 i 3 ovoga izvješća, a  u kojima je iznos obračunate nagrade stečajnom upravitelju,  te prijedlog naknadne diobe nakon podmirenja navedenih  troškova postupka u iznosu od =543.823,00 kn, u kojoj bi se  od preostalog iznosa od ==752.138,00 kn  po zaključenoj izvansudskoj  nagodbi  vjerovnicima I.višeg isplatnog reda isplatio iznosu  od  53,65%   njihovih priznatih a neisplaćenih tražbina u završnoj diobi. </w:t>
      </w:r>
    </w:p>
    <w:p w:rsidRDefault="00BD0C4A" w:rsidR="00BD0C4A">
      <w:pPr>
        <w:pStyle w:val="Bezproreda"/>
        <w:rPr>
          <w:rFonts w:cs="Arial" w:hAnsi="Arial" w:ascii="Arial"/>
          <w:sz w:val="20"/>
          <w:szCs w:val="20"/>
        </w:rPr>
      </w:pPr>
    </w:p>
    <w:p w:rsidRDefault="00852B31" w:rsidR="00BD0C4A">
      <w:pPr>
        <w:pStyle w:val="Bezproreda"/>
        <w:rPr>
          <w:rFonts w:cs="Arial" w:hAnsi="Arial" w:ascii="Arial"/>
          <w:sz w:val="20"/>
          <w:szCs w:val="20"/>
        </w:rPr>
      </w:pPr>
      <w:r>
        <w:rPr>
          <w:rFonts w:cs="Arial" w:hAnsi="Arial" w:ascii="Arial"/>
          <w:sz w:val="20"/>
          <w:szCs w:val="20"/>
        </w:rPr>
        <w:t xml:space="preserve">2.Daje se suglasnost stečajnom upravitelju za zaključenje izvansudske nagodbe sa VJESNIK d.d. </w:t>
      </w:r>
    </w:p>
    <w:p w:rsidRDefault="00BD0C4A" w:rsidR="00BD0C4A">
      <w:pPr>
        <w:pStyle w:val="Bezproreda"/>
        <w:rPr>
          <w:rFonts w:cs="Arial" w:hAnsi="Arial" w:ascii="Arial"/>
          <w:sz w:val="20"/>
          <w:szCs w:val="20"/>
        </w:rPr>
      </w:pPr>
    </w:p>
    <w:p w:rsidRDefault="00BD0C4A" w:rsidR="00BD0C4A">
      <w:pPr>
        <w:pStyle w:val="Bezproreda"/>
        <w:rPr>
          <w:rFonts w:cs="Arial" w:hAnsi="Arial" w:ascii="Arial"/>
          <w:sz w:val="20"/>
          <w:szCs w:val="20"/>
        </w:rPr>
      </w:pPr>
    </w:p>
    <w:p w:rsidRDefault="00BD0C4A" w:rsidR="00BD0C4A">
      <w:pPr>
        <w:pStyle w:val="Bezproreda"/>
        <w:rPr>
          <w:rFonts w:cs="Arial" w:hAnsi="Arial" w:ascii="Arial"/>
          <w:sz w:val="20"/>
          <w:szCs w:val="20"/>
        </w:rPr>
      </w:pPr>
    </w:p>
    <w:p w:rsidRDefault="00BD0C4A" w:rsidR="00BD0C4A">
      <w:pPr>
        <w:pStyle w:val="Bezproreda"/>
        <w:rPr>
          <w:rFonts w:cs="Arial" w:hAnsi="Arial" w:ascii="Arial"/>
          <w:sz w:val="20"/>
          <w:szCs w:val="20"/>
        </w:rPr>
      </w:pPr>
    </w:p>
    <w:p w:rsidRDefault="00BD0C4A" w:rsidR="00BD0C4A">
      <w:pPr>
        <w:pStyle w:val="Bezproreda"/>
        <w:rPr>
          <w:rFonts w:cs="Arial" w:hAnsi="Arial" w:ascii="Arial"/>
          <w:sz w:val="20"/>
          <w:szCs w:val="20"/>
        </w:rPr>
      </w:pPr>
    </w:p>
    <w:p w:rsidRDefault="00BD0C4A" w:rsidR="00BD0C4A">
      <w:pPr>
        <w:pStyle w:val="Bezproreda"/>
        <w:rPr>
          <w:rFonts w:cs="Arial" w:hAnsi="Arial" w:ascii="Arial"/>
          <w:sz w:val="20"/>
          <w:szCs w:val="20"/>
        </w:rPr>
      </w:pPr>
    </w:p>
    <w:p w:rsidRDefault="00852B31" w:rsidR="00BD0C4A">
      <w:pPr>
        <w:pStyle w:val="Bezproreda"/>
        <w:rPr>
          <w:rFonts w:cs="Arial" w:hAnsi="Arial" w:ascii="Arial"/>
          <w:sz w:val="20"/>
          <w:szCs w:val="20"/>
        </w:rPr>
      </w:pPr>
      <w:r>
        <w:rPr>
          <w:rFonts w:cs="Arial" w:hAnsi="Arial" w:ascii="Arial"/>
          <w:sz w:val="20"/>
          <w:szCs w:val="20"/>
        </w:rPr>
        <w:t xml:space="preserve">   Mjesto i datum</w:t>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t>Stečajni upravitelj</w:t>
      </w:r>
    </w:p>
    <w:p w:rsidRDefault="00852B31" w:rsidR="00BD0C4A">
      <w:pPr>
        <w:pStyle w:val="Bezproreda"/>
        <w:rPr>
          <w:rFonts w:cs="Arial" w:hAnsi="Arial" w:ascii="Arial"/>
          <w:sz w:val="20"/>
          <w:szCs w:val="20"/>
        </w:rPr>
      </w:pPr>
      <w:r>
        <w:rPr>
          <w:rFonts w:cs="Arial" w:hAnsi="Arial" w:ascii="Arial"/>
          <w:sz w:val="20"/>
          <w:szCs w:val="20"/>
        </w:rPr>
        <w:t xml:space="preserve">   Zagreb,03.04.2018.</w:t>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t xml:space="preserve">   Marinko Paić, univ.spec.oec. </w:t>
      </w:r>
    </w:p>
    <w:p w:rsidRDefault="00BD0C4A" w:rsidR="00BD0C4A"/>
    <w:sectPr w:rsidR="00BD0C4A">
      <w:footerReference w:type="default" r:id="rId9"/>
      <w:pgSz w:h="16838" w:w="11906"/>
      <w:pgMar w:gutter="0" w:footer="720" w:header="720"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2B31" w:rsidR="001242ED">
      <w:pPr>
        <w:spacing w:after="0"/>
      </w:pPr>
      <w:r>
        <w:separator/>
      </w:r>
    </w:p>
  </w:endnote>
  <w:endnote w:id="0" w:type="continuationSeparator">
    <w:p w:rsidRDefault="00852B31" w:rsidR="001242ED">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2B31" w:rsidR="00001139">
    <w:pPr>
      <w:pStyle w:val="Podnoje"/>
      <w:jc w:val="right"/>
    </w:pPr>
    <w:r>
      <w:fldChar w:fldCharType="begin"/>
    </w:r>
    <w:r>
      <w:instrText xml:space="preserve"> PAGE </w:instrText>
    </w:r>
    <w:r>
      <w:fldChar w:fldCharType="separate"/>
    </w:r>
    <w:r w:rsidR="0043251F">
      <w:rPr>
        <w:noProof/>
      </w:rPr>
      <w:t>4</w:t>
    </w:r>
    <w:r>
      <w:fldChar w:fldCharType="end"/>
    </w:r>
  </w:p>
  <w:p w:rsidRDefault="0043251F" w:rsidR="0000113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2B31" w:rsidR="001242ED">
      <w:pPr>
        <w:spacing w:after="0"/>
      </w:pPr>
      <w:r>
        <w:rPr>
          <w:color w:val="000000"/>
        </w:rPr>
        <w:separator/>
      </w:r>
    </w:p>
  </w:footnote>
  <w:footnote w:id="0" w:type="continuationSeparator">
    <w:p w:rsidRDefault="00852B31" w:rsidR="001242ED">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E543E7"/>
    <w:multiLevelType w:val="multilevel"/>
    <w:tmpl w:val="4D2C0BCA"/>
    <w:lvl w:ilvl="0">
      <w:numFmt w:val="bullet"/>
      <w:lvlText w:val="-"/>
      <w:lvlJc w:val="left"/>
      <w:pPr>
        <w:ind w:hanging="360" w:left="720"/>
      </w:pPr>
      <w:rPr>
        <w:rFonts w:cs="Arial" w:eastAsia="Times New Roman"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
    <w:nsid w:val="31FB1723"/>
    <w:multiLevelType w:val="multilevel"/>
    <w:tmpl w:val="BDDAFBCA"/>
    <w:lvl w:ilvl="0">
      <w:start w:val="1"/>
      <w:numFmt w:val="upperRoman"/>
      <w:lvlText w:val="%1."/>
      <w:lvlJc w:val="lef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BD0C4A"/>
    <w:rsid w:val="00003CDA"/>
    <w:rsid w:val="001242ED"/>
    <w:rsid w:val="0043251F"/>
    <w:rsid w:val="00852B31"/>
    <w:rsid w:val="00BD0C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76" w:after="20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after="8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pPr>
      <w:suppressAutoHyphens/>
      <w:spacing w:lineRule="auto" w:line="240" w:after="80"/>
    </w:pPr>
    <w:rPr>
      <w:rFonts w:eastAsia="Times New Roman"/>
    </w:rPr>
  </w:style>
  <w:style w:styleId="Zaglavlje" w:type="paragraph">
    <w:name w:val="header"/>
    <w:basedOn w:val="Normal"/>
    <w:pPr>
      <w:tabs>
        <w:tab w:pos="4536" w:val="center"/>
        <w:tab w:pos="9072" w:val="right"/>
      </w:tabs>
      <w:spacing w:after="0"/>
    </w:pPr>
  </w:style>
  <w:style w:customStyle="true" w:styleId="HeaderChar" w:type="character">
    <w:name w:val="Header Char"/>
    <w:basedOn w:val="Zadanifontodlomka"/>
  </w:style>
  <w:style w:styleId="Podnoje" w:type="paragraph">
    <w:name w:val="footer"/>
    <w:basedOn w:val="Normal"/>
    <w:pPr>
      <w:tabs>
        <w:tab w:pos="4536" w:val="center"/>
        <w:tab w:pos="9072" w:val="right"/>
      </w:tabs>
      <w:spacing w:after="0"/>
    </w:pPr>
  </w:style>
  <w:style w:customStyle="true" w:styleId="FooterChar" w:type="character">
    <w:name w:val="Footer Char"/>
    <w:basedOn w:val="Zadanifontodlomka"/>
  </w:style>
  <w:style w:styleId="Tekstrezerviranogmjesta" w:type="character">
    <w:name w:val="Placeholder Text"/>
    <w:basedOn w:val="Zadanifontodlomka"/>
    <w:uiPriority w:val="99"/>
    <w:semiHidden/>
    <w:rsid w:val="00003CDA"/>
    <w:rPr>
      <w:color w:val="808080"/>
      <w:bdr w:space="0" w:sz="0" w:color="auto" w:val="none"/>
      <w:shd w:fill="auto" w:color="auto" w:val="clear"/>
    </w:rPr>
  </w:style>
  <w:style w:customStyle="true" w:styleId="eSPISCCParagraphDefaultFont" w:type="character">
    <w:name w:val="eSPIS_CC_Paragraph Default Font"/>
    <w:basedOn w:val="Zadanifontodlomka"/>
    <w:rsid w:val="00003CDA"/>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003CDA"/>
    <w:rPr>
      <w:rFonts w:cs="Arial" w:hAnsi="Arial" w:ascii="Arial"/>
      <w:b/>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003CDA"/>
    <w:rPr>
      <w:rFonts w:cs="Arial" w:hAnsi="Arial" w:ascii="Arial"/>
      <w:b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003CDA"/>
    <w:rPr>
      <w:rFonts w:cs="Arial" w:hAnsi="Arial" w:ascii="Arial"/>
      <w:b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200" w:line="276"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after="80"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pPr>
      <w:suppressAutoHyphens/>
      <w:spacing w:after="80" w:line="240" w:lineRule="auto"/>
    </w:pPr>
    <w:rPr>
      <w:rFonts w:eastAsia="Times New Roman"/>
    </w:rPr>
  </w:style>
  <w:style w:styleId="Zaglavlje" w:type="paragraph">
    <w:name w:val="header"/>
    <w:basedOn w:val="Normal"/>
    <w:pPr>
      <w:tabs>
        <w:tab w:pos="4536" w:val="center"/>
        <w:tab w:pos="9072" w:val="right"/>
      </w:tabs>
      <w:spacing w:after="0"/>
    </w:pPr>
  </w:style>
  <w:style w:customStyle="1" w:styleId="HeaderChar" w:type="character">
    <w:name w:val="Header Char"/>
    <w:basedOn w:val="Zadanifontodlomka"/>
  </w:style>
  <w:style w:styleId="Podnoje" w:type="paragraph">
    <w:name w:val="footer"/>
    <w:basedOn w:val="Normal"/>
    <w:pPr>
      <w:tabs>
        <w:tab w:pos="4536" w:val="center"/>
        <w:tab w:pos="9072" w:val="right"/>
      </w:tabs>
      <w:spacing w:after="0"/>
    </w:pPr>
  </w:style>
  <w:style w:customStyle="1" w:styleId="FooterChar" w:type="character">
    <w:name w:val="Footer Char"/>
    <w:basedOn w:val="Zadanifontodlomka"/>
  </w:style>
  <w:style w:styleId="Tekstrezerviranogmjesta" w:type="character">
    <w:name w:val="Placeholder Text"/>
    <w:basedOn w:val="Zadanifontodlomka"/>
    <w:uiPriority w:val="99"/>
    <w:semiHidden/>
    <w:rsid w:val="00003CDA"/>
    <w:rPr>
      <w:color w:val="808080"/>
      <w:bdr w:color="auto" w:space="0" w:sz="0" w:val="none"/>
      <w:shd w:color="auto" w:fill="auto" w:val="clear"/>
    </w:rPr>
  </w:style>
  <w:style w:customStyle="1" w:styleId="eSPISCCParagraphDefaultFont" w:type="character">
    <w:name w:val="eSPIS_CC_Paragraph Default Font"/>
    <w:basedOn w:val="Zadanifontodlomka"/>
    <w:rsid w:val="00003CDA"/>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003CDA"/>
    <w:rPr>
      <w:rFonts w:ascii="Arial" w:cs="Arial" w:hAnsi="Arial"/>
      <w:b/>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003CDA"/>
    <w:rPr>
      <w:rFonts w:ascii="Arial" w:cs="Arial" w:hAnsi="Arial"/>
      <w:b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003CDA"/>
    <w:rPr>
      <w:rFonts w:ascii="Arial" w:cs="Arial" w:hAnsi="Arial"/>
      <w:b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1258</properties:Words>
  <properties:Characters>7426</properties:Characters>
  <properties:Lines>242</properties:Lines>
  <properties:Paragraphs>124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2018-04-05T07:56:00Z</dcterms:created>
  <dc:creator>Darko</dc:creator>
  <cp:lastModifiedBy>Valentina Delač</cp:lastModifiedBy>
  <cp:lastPrinted>2018-04-03T08:47:00Z</cp:lastPrinted>
  <dcterms:modified xmlns:xsi="http://www.w3.org/2001/XMLSchema-instance" xsi:type="dcterms:W3CDTF">2018-04-05T07:57:00Z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St-207/2013-190 / Podnesak - Izvješće stečajnog upravitelja (Obrazac_21____03.04.3.18_.18_)</vt:lpwstr>
  </prop:property>
  <prop:property name="CC_coloring" pid="4" fmtid="{D5CDD505-2E9C-101B-9397-08002B2CF9AE}">
    <vt:bool>false</vt:bool>
  </prop:property>
  <prop:property name="BrojStranica" pid="5" fmtid="{D5CDD505-2E9C-101B-9397-08002B2CF9AE}">
    <vt:i4>4</vt:i4>
  </prop:property>
</prop:Properties>
</file>