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b883" w14:paraId="ba3b883" w:rsidRDefault="003442D5" w:rsidR="009F6D7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3442D5" w:rsidR="009F6D74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F6D74" w:rsidR="009F6D74">
      <w:pPr>
        <w:jc w:val="center"/>
        <w:rPr>
          <w:rFonts w:hAnsi="Times New Roman" w:ascii="Times New Roman"/>
          <w:sz w:val="24"/>
        </w:rPr>
      </w:pPr>
    </w:p>
    <w:p w:rsidRDefault="003442D5" w:rsidR="009F6D74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u Zagrebu</w:t>
      </w:r>
    </w:p>
    <w:p w:rsidRDefault="003442D5" w:rsidR="009F6D74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</w:rPr>
        <w:t>St-628/2015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 Apus Zaštita d.o.o. – u stečaju, Zagreb, Oranice 125, </w:t>
      </w:r>
      <w:r>
        <w:rPr>
          <w:rFonts w:hAnsi="Times New Roman" w:ascii="Times New Roman"/>
          <w:sz w:val="24"/>
          <w:szCs w:val="24"/>
        </w:rPr>
        <w:t>OIB: 04849873470</w:t>
      </w:r>
    </w:p>
    <w:p w:rsidRDefault="009F6D74" w:rsidR="009F6D7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>
        <w:rPr>
          <w:rFonts w:hAnsi="Times New Roman" w:ascii="Times New Roman"/>
          <w:sz w:val="24"/>
          <w:szCs w:val="24"/>
        </w:rPr>
        <w:t>06.07.2016.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>
        <w:rPr>
          <w:rFonts w:hAnsi="Times New Roman" w:ascii="Times New Roman"/>
          <w:sz w:val="24"/>
          <w:szCs w:val="24"/>
        </w:rPr>
        <w:t>12.11.2018.</w:t>
      </w:r>
    </w:p>
    <w:p w:rsidRDefault="003442D5" w:rsidR="009F6D74">
      <w:pPr>
        <w:jc w:val="both"/>
      </w:pPr>
      <w:r>
        <w:rPr>
          <w:rFonts w:hAnsi="Times New Roman" w:ascii="Times New Roman"/>
          <w:sz w:val="24"/>
          <w:szCs w:val="24"/>
        </w:rPr>
        <w:t xml:space="preserve">u navedenom periodu stečajna upraviteljica je poduzela određene radnje radi unovčenja stečajne mase. Stečajna mase je se sastojala od nekretnine i to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vosobn</w:t>
      </w:r>
      <w:r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  <w:lang w:val="pl-PL"/>
        </w:rPr>
        <w:t xml:space="preserve"> stan</w:t>
      </w:r>
      <w:r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koji se nalazi u Zagrebu na adresi Livadarski put - Harambašićeva, površine 38,21 m2 i garažno</w:t>
      </w:r>
      <w:r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 parkirno mjest</w:t>
      </w:r>
      <w:r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na istoj adresi, upisan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u zk.ul.6901 k.o. Grad Zagreb, etaža 22 i 146 </w:t>
      </w:r>
      <w:r>
        <w:rPr>
          <w:rFonts w:hAnsi="Times New Roman" w:ascii="Times New Roman"/>
          <w:sz w:val="24"/>
          <w:szCs w:val="24"/>
        </w:rPr>
        <w:t>i od potraživanje prema društvu Parketi Sabljo d.o.o. u iznosu od  3.428,97 kn</w:t>
      </w:r>
    </w:p>
    <w:p w:rsidRDefault="009F6D74" w:rsidR="009F6D7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</w:rPr>
        <w:t>Predmetne nekretnine su procijenjene na iznos od 579.000,00 kuna i iste su prodane na prvoj javnoj dražbi za iznos od 579.000,00 kuna, te su s tim iznosom podmireni stvarno nastali troškovi i obveze stečajne mase sukladno čl.254. Stečajnog zakona u iznosu od 87.295,00 kn, a sa preostalim iznosom od 491.705.00 kn podmireno je potraživanje razlučnog vjerovnika Societe Generale-Splitske banke d.d.</w:t>
      </w:r>
    </w:p>
    <w:p w:rsidRDefault="003442D5" w:rsidR="009F6D74">
      <w:r>
        <w:rPr>
          <w:rFonts w:hAnsi="Times New Roman" w:ascii="Times New Roman"/>
          <w:sz w:val="24"/>
          <w:szCs w:val="24"/>
        </w:rPr>
        <w:t>Razlučno pravo je stečeno na temelju sporazuma radi osiguranja novčane tražbine u iznosu od 2.281.608.15 Eur-a.</w:t>
      </w:r>
    </w:p>
    <w:p w:rsidRDefault="003442D5" w:rsidR="009F6D74">
      <w:r>
        <w:rPr>
          <w:rFonts w:hAnsi="Times New Roman" w:ascii="Times New Roman"/>
          <w:sz w:val="24"/>
          <w:szCs w:val="24"/>
        </w:rPr>
        <w:t>Upisani tereti su se odnosili na potraživanje Societe Generale-Splitske banke d.d. prema društvu Stipić nekretnine d.o.o. iz Zagreba, a predmetne nekretnine su bile opterećene u trenutku kada je stečajni dužnik stekao pravo vlasništva na istima.</w:t>
      </w:r>
    </w:p>
    <w:p w:rsidRDefault="003442D5" w:rsidR="009F6D74">
      <w:r>
        <w:rPr>
          <w:rFonts w:hAnsi="Times New Roman" w:ascii="Times New Roman"/>
          <w:sz w:val="24"/>
          <w:szCs w:val="24"/>
        </w:rPr>
        <w:t>Izlučna prava ne postoje.</w:t>
      </w:r>
    </w:p>
    <w:p w:rsidRDefault="003442D5" w:rsidR="009F6D74">
      <w:r>
        <w:rPr>
          <w:rFonts w:hAnsi="Times New Roman" w:ascii="Times New Roman"/>
          <w:sz w:val="24"/>
          <w:szCs w:val="24"/>
        </w:rPr>
        <w:t>Stečajni dužnik ima potraživanje prema društvu Parketi Sabljo d.o.o. iz Bjelovara i to na temelju rješenja kojim se odobrava predstečajna nagodba nad tim društvom. Ukupno potraživanje po predstečajnoj nagodbi iznosi 3.428,97 kn, a do sad je plaćeno 1,714.56 kn. Parketi Sabljo d.o.o. plaćaju mjesečnu ratu u iznosu od 71,44 kn, a imaju za platiti još 24 rate.</w:t>
      </w:r>
    </w:p>
    <w:p w:rsidRDefault="009F6D74" w:rsidR="009F6D7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pPr>
        <w:jc w:val="both"/>
      </w:pPr>
      <w:r>
        <w:rPr>
          <w:rFonts w:hAnsi="Times New Roman" w:ascii="Times New Roman"/>
          <w:sz w:val="24"/>
          <w:szCs w:val="24"/>
        </w:rPr>
        <w:t>Vjerovnici stečajne mase su podmireni iz ostvarene kupovnine.</w:t>
      </w:r>
    </w:p>
    <w:p w:rsidRDefault="009F6D74" w:rsidR="009F6D7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  <w:lang w:val="pl-PL"/>
        </w:rPr>
        <w:t xml:space="preserve">. RAČUN PRIHODA I RASHODA 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I.1. Pregled svih prihoda tijekom stečajnog postupka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Prihodi od naplate potraživanja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                         1,714.56</w:t>
      </w:r>
    </w:p>
    <w:p w:rsidRDefault="003442D5" w:rsidR="009F6D74">
      <w:r>
        <w:rPr>
          <w:rFonts w:hAnsi="Times New Roman" w:ascii="Times New Roman"/>
          <w:sz w:val="24"/>
          <w:szCs w:val="24"/>
        </w:rPr>
        <w:t xml:space="preserve">Prihodi od unovčenja nekretnine              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>579.000.00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Prihodi od pripisa pasivne kamate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</w:t>
      </w:r>
      <w:r>
        <w:rPr>
          <w:rFonts w:hAnsi="Times New Roman" w:ascii="Times New Roman"/>
          <w:sz w:val="24"/>
          <w:szCs w:val="24"/>
        </w:rPr>
        <w:t>0.71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lastRenderedPageBreak/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UKUPNO: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                 </w:t>
      </w:r>
      <w:r>
        <w:rPr>
          <w:rFonts w:hAnsi="Times New Roman" w:ascii="Times New Roman"/>
          <w:sz w:val="24"/>
          <w:szCs w:val="24"/>
        </w:rPr>
        <w:t>580.715.27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I.2. Pregled svih podmirenih rashoda stečajnog postupka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Troškovi računovodstva i Trošak FINA-e za 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javnu objavu GFI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ab/>
        <w:t>1</w:t>
      </w:r>
      <w:r>
        <w:rPr>
          <w:rFonts w:hAnsi="Times New Roman" w:ascii="Times New Roman"/>
          <w:sz w:val="24"/>
          <w:szCs w:val="24"/>
        </w:rPr>
        <w:t>1.625</w:t>
      </w:r>
      <w:r>
        <w:rPr>
          <w:rFonts w:hAnsi="Times New Roman" w:ascii="Times New Roman"/>
          <w:sz w:val="24"/>
          <w:szCs w:val="24"/>
          <w:lang w:val="pl-PL"/>
        </w:rPr>
        <w:t>,00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Nagrada privremenog upravitelja i 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stečajnog upravitelja (bruto)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69.820,</w:t>
      </w:r>
      <w:r>
        <w:rPr>
          <w:rFonts w:hAnsi="Times New Roman" w:ascii="Times New Roman"/>
          <w:sz w:val="24"/>
          <w:szCs w:val="24"/>
        </w:rPr>
        <w:t>00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>Trošak arhiviranja dokumentacije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4,211.75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Troškovi naknade banke za platni promet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7</w:t>
      </w:r>
      <w:r>
        <w:rPr>
          <w:rFonts w:hAnsi="Times New Roman" w:ascii="Times New Roman"/>
          <w:sz w:val="24"/>
          <w:szCs w:val="24"/>
        </w:rPr>
        <w:t>60.4</w:t>
      </w:r>
      <w:r>
        <w:rPr>
          <w:rFonts w:hAnsi="Times New Roman" w:ascii="Times New Roman"/>
          <w:sz w:val="24"/>
          <w:szCs w:val="24"/>
          <w:lang w:val="pl-PL"/>
        </w:rPr>
        <w:t>0</w:t>
      </w:r>
    </w:p>
    <w:p w:rsidRDefault="003442D5" w:rsidR="009F6D74">
      <w:r>
        <w:rPr>
          <w:rFonts w:hAnsi="Times New Roman" w:ascii="Times New Roman"/>
          <w:sz w:val="24"/>
          <w:szCs w:val="24"/>
        </w:rPr>
        <w:t>Izrada procjene tržišne vrijednosti nekretnine                                                             2,500.00</w:t>
      </w:r>
    </w:p>
    <w:p w:rsidRDefault="003442D5" w:rsidR="009F6D74">
      <w:r>
        <w:rPr>
          <w:rFonts w:hAnsi="Times New Roman" w:ascii="Times New Roman"/>
          <w:sz w:val="24"/>
          <w:szCs w:val="24"/>
        </w:rPr>
        <w:t xml:space="preserve">Namirenje razlučnog vjerovnika                                                                              491.705.00 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UKUPNO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                           5</w:t>
      </w:r>
      <w:r>
        <w:rPr>
          <w:rFonts w:hAnsi="Times New Roman" w:ascii="Times New Roman"/>
          <w:sz w:val="24"/>
          <w:szCs w:val="24"/>
        </w:rPr>
        <w:t>80.622.15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9F6D74" w:rsidR="009F6D7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Budući je sva imovina stečajnog dužnika unovčena, te da </w:t>
      </w:r>
      <w:r>
        <w:rPr>
          <w:rFonts w:hAnsi="Times New Roman" w:ascii="Times New Roman"/>
          <w:sz w:val="24"/>
          <w:szCs w:val="24"/>
        </w:rPr>
        <w:t xml:space="preserve">je ostalo neunovčeno jedino potraživanje prema društvu Parketi Sabljo d.o.o. u iznosu od 1.714,41 kn, smatram da nije oportuno nastaviti unovčavati ovo potraživanje iz razloga jer mjesečni iznos rate/prihoda nije dostatan niti za podmirenje naknade banke i troška knjigovodstva, te da od unovčenja ove tražbine vjerovnici neće imati nikakve koristi. Stoga </w:t>
      </w: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 P r e d l a ž e m</w:t>
      </w:r>
    </w:p>
    <w:p w:rsidRDefault="009F6D74" w:rsidR="009F6D74">
      <w:pPr>
        <w:rPr>
          <w:rFonts w:hAnsi="Times New Roman" w:ascii="Times New Roman"/>
          <w:sz w:val="24"/>
          <w:szCs w:val="24"/>
          <w:lang w:val="pl-PL"/>
        </w:rPr>
      </w:pPr>
    </w:p>
    <w:p w:rsidRDefault="003442D5" w:rsidR="009F6D74">
      <w:r>
        <w:rPr>
          <w:rFonts w:hAnsi="Times New Roman" w:ascii="Times New Roman"/>
          <w:sz w:val="24"/>
          <w:szCs w:val="24"/>
          <w:lang w:val="pl-PL"/>
        </w:rPr>
        <w:t xml:space="preserve">Da sud </w:t>
      </w:r>
      <w:r>
        <w:rPr>
          <w:rFonts w:hAnsi="Times New Roman" w:ascii="Times New Roman"/>
          <w:sz w:val="24"/>
          <w:szCs w:val="24"/>
        </w:rPr>
        <w:t>sazove skupštinu vjerovnika radi:</w:t>
      </w:r>
    </w:p>
    <w:p w:rsidRDefault="003442D5" w:rsidR="009F6D74">
      <w:r>
        <w:rPr>
          <w:rFonts w:hAnsi="Times New Roman" w:ascii="Times New Roman"/>
          <w:sz w:val="24"/>
          <w:szCs w:val="24"/>
        </w:rPr>
        <w:t>1.Donošenje Odluke o naplati preostalog novčanog potraživanja stečajnog dužnika</w:t>
      </w:r>
    </w:p>
    <w:p w:rsidRDefault="003442D5" w:rsidR="009F6D74">
      <w:r>
        <w:rPr>
          <w:rFonts w:hAnsi="Times New Roman" w:ascii="Times New Roman"/>
          <w:sz w:val="24"/>
          <w:szCs w:val="24"/>
        </w:rPr>
        <w:t>2. Zaključenju stečajnog postupka</w:t>
      </w:r>
    </w:p>
    <w:p w:rsidRDefault="009F6D74" w:rsidR="009F6D74">
      <w:pPr>
        <w:rPr>
          <w:rFonts w:hAnsi="Times New Roman" w:ascii="Times New Roman"/>
          <w:sz w:val="24"/>
          <w:szCs w:val="24"/>
        </w:rPr>
      </w:pPr>
    </w:p>
    <w:p w:rsidRDefault="003442D5" w:rsidR="009F6D74">
      <w:r>
        <w:rPr>
          <w:rFonts w:hAnsi="Times New Roman" w:ascii="Times New Roman"/>
          <w:sz w:val="24"/>
          <w:szCs w:val="24"/>
        </w:rPr>
        <w:t xml:space="preserve">Mjesto i datum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Stečajni upravitelj</w:t>
      </w:r>
    </w:p>
    <w:p w:rsidRDefault="003442D5" w:rsidR="009F6D74">
      <w:r>
        <w:rPr>
          <w:rFonts w:hAnsi="Times New Roman" w:ascii="Times New Roman"/>
          <w:sz w:val="24"/>
          <w:szCs w:val="24"/>
        </w:rPr>
        <w:t>Zagreb, 12.11.2018.g.                                                            Irena Kelava</w:t>
      </w:r>
    </w:p>
    <w:sectPr w:rsidR="009F6D74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D74"/>
    <w:rsid w:val="003442D5"/>
    <w:rsid w:val="00450B61"/>
    <w:rsid w:val="009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Times New Roman" w:eastAsia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qFormat/>
    <w:rPr>
      <w:rFonts w:cs="Times New Roman" w:hAnsi="Times New Roman" w:ascii="Times New Roman"/>
      <w:sz w:val="24"/>
    </w:rPr>
  </w:style>
  <w:style w:customStyle="true" w:styleId="ListLabel2" w:type="character">
    <w:name w:val="ListLabel 2"/>
    <w:qFormat/>
    <w:rPr>
      <w:rFonts w:cs="Times New Roman"/>
    </w:rPr>
  </w:style>
  <w:style w:customStyle="true" w:styleId="ListLabel3" w:type="character">
    <w:name w:val="ListLabel 3"/>
    <w:qFormat/>
    <w:rPr>
      <w:rFonts w:cs="Times New Roman"/>
    </w:rPr>
  </w:style>
  <w:style w:customStyle="true" w:styleId="ListLabel4" w:type="character">
    <w:name w:val="ListLabel 4"/>
    <w:qFormat/>
    <w:rPr>
      <w:rFonts w:cs="Times New Roman"/>
    </w:rPr>
  </w:style>
  <w:style w:customStyle="true" w:styleId="ListLabel5" w:type="character">
    <w:name w:val="ListLabel 5"/>
    <w:qFormat/>
    <w:rPr>
      <w:rFonts w:cs="Times New Roman"/>
    </w:rPr>
  </w:style>
  <w:style w:customStyle="true" w:styleId="ListLabel6" w:type="character">
    <w:name w:val="ListLabel 6"/>
    <w:qFormat/>
    <w:rPr>
      <w:rFonts w:cs="Times New Roman"/>
    </w:rPr>
  </w:style>
  <w:style w:customStyle="true" w:styleId="ListLabel7" w:type="character">
    <w:name w:val="ListLabel 7"/>
    <w:qFormat/>
    <w:rPr>
      <w:rFonts w:cs="Times New Roman"/>
    </w:rPr>
  </w:style>
  <w:style w:customStyle="true" w:styleId="ListLabel8" w:type="character">
    <w:name w:val="ListLabel 8"/>
    <w:qFormat/>
    <w:rPr>
      <w:rFonts w:cs="Times New Roman"/>
    </w:rPr>
  </w:style>
  <w:style w:customStyle="true" w:styleId="ListLabel9" w:type="character">
    <w:name w:val="ListLabel 9"/>
    <w:qFormat/>
    <w:rPr>
      <w:rFonts w:cs="Times New Roman"/>
    </w:rPr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450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B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B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B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B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Times New Roman" w:eastAsia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qFormat/>
    <w:rPr>
      <w:rFonts w:ascii="Times New Roman" w:cs="Times New Roman" w:hAnsi="Times New Roman"/>
      <w:sz w:val="24"/>
    </w:rPr>
  </w:style>
  <w:style w:customStyle="1" w:styleId="ListLabel2" w:type="character">
    <w:name w:val="ListLabel 2"/>
    <w:qFormat/>
    <w:rPr>
      <w:rFonts w:cs="Times New Roman"/>
    </w:rPr>
  </w:style>
  <w:style w:customStyle="1" w:styleId="ListLabel3" w:type="character">
    <w:name w:val="ListLabel 3"/>
    <w:qFormat/>
    <w:rPr>
      <w:rFonts w:cs="Times New Roman"/>
    </w:rPr>
  </w:style>
  <w:style w:customStyle="1" w:styleId="ListLabel4" w:type="character">
    <w:name w:val="ListLabel 4"/>
    <w:qFormat/>
    <w:rPr>
      <w:rFonts w:cs="Times New Roman"/>
    </w:rPr>
  </w:style>
  <w:style w:customStyle="1" w:styleId="ListLabel5" w:type="character">
    <w:name w:val="ListLabel 5"/>
    <w:qFormat/>
    <w:rPr>
      <w:rFonts w:cs="Times New Roman"/>
    </w:rPr>
  </w:style>
  <w:style w:customStyle="1" w:styleId="ListLabel6" w:type="character">
    <w:name w:val="ListLabel 6"/>
    <w:qFormat/>
    <w:rPr>
      <w:rFonts w:cs="Times New Roman"/>
    </w:rPr>
  </w:style>
  <w:style w:customStyle="1" w:styleId="ListLabel7" w:type="character">
    <w:name w:val="ListLabel 7"/>
    <w:qFormat/>
    <w:rPr>
      <w:rFonts w:cs="Times New Roman"/>
    </w:rPr>
  </w:style>
  <w:style w:customStyle="1" w:styleId="ListLabel8" w:type="character">
    <w:name w:val="ListLabel 8"/>
    <w:qFormat/>
    <w:rPr>
      <w:rFonts w:cs="Times New Roman"/>
    </w:rPr>
  </w:style>
  <w:style w:customStyle="1" w:styleId="ListLabel9" w:type="character">
    <w:name w:val="ListLabel 9"/>
    <w:qFormat/>
    <w:rPr>
      <w:rFonts w:cs="Times New Roman"/>
    </w:rPr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Tekstrezerviranogmjesta" w:type="character">
    <w:name w:val="Placeholder Text"/>
    <w:basedOn w:val="Zadanifontodlomka"/>
    <w:uiPriority w:val="99"/>
    <w:semiHidden/>
    <w:rsid w:val="00450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B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B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B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B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481</properties:Words>
  <properties:Characters>2826</properties:Characters>
  <properties:Lines>77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2018-11-16T08:04:00Z</dcterms:created>
  <dc:creator>ADMINIBM</dc:creator>
  <dc:language>en-GB</dc:language>
  <cp:lastModifiedBy>Valentina Delač</cp:lastModifiedBy>
  <cp:lastPrinted>2018-11-12T17:20:00Z</cp:lastPrinted>
  <dcterms:modified xmlns:xsi="http://www.w3.org/2001/XMLSchema-instance" xsi:type="dcterms:W3CDTF">2018-11-16T08:05:00Z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St-628/2015-56 / Podnesak - Izvješće stečajnog upravitelja (O20 Izvješće stečajnoga upravitelja- Apus zaštita.docx)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