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933b" w14:paraId="946933b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26F6F">
        <w:rPr>
          <w:rFonts w:hAnsi="Times New Roman" w:ascii="Times New Roman"/>
        </w:rPr>
        <w:t xml:space="preserve">                           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43828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43828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574EB0" w:rsidP="00BD5440" w:rsidR="00733BA9">
      <w:pPr>
        <w:ind w:firstLine="708"/>
        <w:jc w:val="both"/>
        <w:rPr>
          <w:rFonts w:hAnsi="Times New Roman" w:ascii="Times New Roman"/>
        </w:rPr>
      </w:pPr>
      <w:r w:rsidRPr="00574EB0">
        <w:rPr>
          <w:rFonts w:hAnsi="Times New Roman" w:ascii="Times New Roman"/>
        </w:rPr>
        <w:t>Trgovački sud u Zagrebu Stalna Služba</w:t>
      </w:r>
      <w:r w:rsidR="00B43828">
        <w:rPr>
          <w:rFonts w:hAnsi="Times New Roman" w:ascii="Times New Roman"/>
        </w:rPr>
        <w:t xml:space="preserve"> u Karlovcu,</w:t>
      </w:r>
      <w:r w:rsidR="00FF04DC">
        <w:rPr>
          <w:rFonts w:hAnsi="Times New Roman" w:ascii="Times New Roman"/>
        </w:rPr>
        <w:t xml:space="preserve"> </w:t>
      </w:r>
      <w:r w:rsidRPr="00574EB0">
        <w:rPr>
          <w:rFonts w:hAnsi="Times New Roman" w:ascii="Times New Roman"/>
        </w:rPr>
        <w:t xml:space="preserve">po sucu, Vesni Fundurulić Perišin kao stečajnom sucu u stečajnom postupku nad dužnikom </w:t>
      </w:r>
      <w:r w:rsidR="00B04B0C" w:rsidRPr="00B04B0C">
        <w:rPr>
          <w:rFonts w:hAnsi="Times New Roman" w:ascii="Times New Roman"/>
        </w:rPr>
        <w:t>TEM-95</w:t>
      </w:r>
      <w:r w:rsidR="00B04B0C">
        <w:rPr>
          <w:rFonts w:hAnsi="Times New Roman" w:ascii="Times New Roman"/>
        </w:rPr>
        <w:t>,</w:t>
      </w:r>
      <w:r w:rsidR="00B04B0C" w:rsidRPr="00B04B0C">
        <w:rPr>
          <w:rFonts w:hAnsi="Times New Roman" w:ascii="Times New Roman"/>
        </w:rPr>
        <w:t xml:space="preserve"> d.o.o., Zagreb, Međimurska 19, OIB: 47988156317</w:t>
      </w:r>
      <w:r w:rsidR="00733BA9" w:rsidRPr="00733BA9">
        <w:rPr>
          <w:rFonts w:hAnsi="Times New Roman" w:ascii="Times New Roman"/>
        </w:rPr>
        <w:t xml:space="preserve">, </w:t>
      </w:r>
      <w:r w:rsidR="00B43828">
        <w:rPr>
          <w:rFonts w:hAnsi="Times New Roman" w:ascii="Times New Roman"/>
        </w:rPr>
        <w:t>8</w:t>
      </w:r>
      <w:r w:rsidR="00733BA9">
        <w:rPr>
          <w:rFonts w:hAnsi="Times New Roman" w:ascii="Times New Roman"/>
        </w:rPr>
        <w:t xml:space="preserve">. </w:t>
      </w:r>
      <w:r w:rsidR="00B04B0C">
        <w:rPr>
          <w:rFonts w:hAnsi="Times New Roman" w:ascii="Times New Roman"/>
        </w:rPr>
        <w:t>lipnja</w:t>
      </w:r>
      <w:r w:rsidR="00733BA9">
        <w:rPr>
          <w:rFonts w:hAnsi="Times New Roman" w:ascii="Times New Roman"/>
        </w:rPr>
        <w:t xml:space="preserve"> </w:t>
      </w:r>
      <w:r w:rsidR="00733BA9" w:rsidRPr="00733BA9">
        <w:rPr>
          <w:rFonts w:hAnsi="Times New Roman" w:ascii="Times New Roman"/>
        </w:rPr>
        <w:t>201</w:t>
      </w:r>
      <w:r w:rsidR="00B43828">
        <w:rPr>
          <w:rFonts w:hAnsi="Times New Roman" w:ascii="Times New Roman"/>
        </w:rPr>
        <w:t>8</w:t>
      </w:r>
      <w:r w:rsidR="00733BA9"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B04B0C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B04B0C" w:rsidRPr="00B04B0C">
        <w:rPr>
          <w:rFonts w:hAnsi="Times New Roman" w:ascii="Times New Roman"/>
        </w:rPr>
        <w:t>TEM-95, d.o.o., Zagreb, Međimurska 19, OIB: 47988156317</w:t>
      </w:r>
      <w:r w:rsidR="00733BA9" w:rsidRPr="0029417D">
        <w:rPr>
          <w:rFonts w:hAnsi="Times New Roman" w:ascii="Times New Roman"/>
        </w:rPr>
        <w:t>.</w:t>
      </w:r>
    </w:p>
    <w:p w:rsidRDefault="00733BA9" w:rsidP="00B04B0C" w:rsidR="00733BA9" w:rsidRPr="00733BA9">
      <w:pPr>
        <w:jc w:val="both"/>
        <w:rPr>
          <w:rFonts w:hAnsi="Times New Roman" w:ascii="Times New Roman"/>
        </w:rPr>
      </w:pPr>
    </w:p>
    <w:p w:rsidRDefault="00733BA9" w:rsidP="00B04B0C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BA42E7" w:rsidRPr="00BA42E7">
        <w:rPr>
          <w:rFonts w:hAnsi="Times New Roman" w:ascii="Times New Roman"/>
        </w:rPr>
        <w:t>Ivan Prpić, iz Zagreba, Hruševečka ulica 11, OIB: 16795120342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609DE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BA42E7">
        <w:rPr>
          <w:rFonts w:hAnsi="Times New Roman" w:ascii="Times New Roman"/>
        </w:rPr>
        <w:t>1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BA42E7">
        <w:rPr>
          <w:rFonts w:hAnsi="Times New Roman" w:ascii="Times New Roman"/>
        </w:rPr>
        <w:t>lipnja</w:t>
      </w:r>
      <w:r w:rsidRPr="00733BA9">
        <w:rPr>
          <w:rFonts w:hAnsi="Times New Roman" w:ascii="Times New Roman"/>
        </w:rPr>
        <w:t xml:space="preserve"> 201</w:t>
      </w:r>
      <w:r w:rsidR="00BA42E7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 xml:space="preserve">. u </w:t>
      </w:r>
      <w:r w:rsidR="000609DE">
        <w:rPr>
          <w:rFonts w:hAnsi="Times New Roman" w:ascii="Times New Roman"/>
        </w:rPr>
        <w:t>14,05 sati, a kada je prvo rješenje o otvaranju stečajnog postupka objavljeno na mrežnoj stranici e-Oglasna ploča sudova.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0609DE">
        <w:rPr>
          <w:rFonts w:hAnsi="Times New Roman" w:ascii="Times New Roman"/>
          <w:b/>
        </w:rPr>
        <w:t>24. rujna</w:t>
      </w:r>
      <w:r w:rsidRPr="00C25E62">
        <w:rPr>
          <w:rFonts w:hAnsi="Times New Roman" w:ascii="Times New Roman"/>
          <w:b/>
        </w:rPr>
        <w:t xml:space="preserve"> 201</w:t>
      </w:r>
      <w:r w:rsidR="000609DE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12</w:t>
      </w:r>
      <w:r w:rsidRPr="00C25E62">
        <w:rPr>
          <w:rFonts w:hAnsi="Times New Roman" w:ascii="Times New Roman"/>
          <w:b/>
        </w:rPr>
        <w:t>,00 sati</w:t>
      </w:r>
      <w:r w:rsidR="002C7DDA">
        <w:rPr>
          <w:rFonts w:hAnsi="Times New Roman" w:ascii="Times New Roman"/>
        </w:rPr>
        <w:t>,</w:t>
      </w:r>
      <w:r w:rsidR="004531A7">
        <w:rPr>
          <w:rFonts w:hAnsi="Times New Roman" w:ascii="Times New Roman"/>
        </w:rPr>
        <w:t xml:space="preserve"> </w:t>
      </w:r>
      <w:r w:rsidR="002C7DDA" w:rsidRPr="002C7DDA">
        <w:rPr>
          <w:rFonts w:hAnsi="Times New Roman" w:ascii="Times New Roman"/>
        </w:rPr>
        <w:t>u Trgovačkom sudu u Zagrebu, Stalna služba u Karlovcu, Karlovac, Trg hrvatskih branitelja 1/II, soba broj 205</w:t>
      </w:r>
      <w:r w:rsidR="002C7DDA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</w:t>
      </w:r>
      <w:r w:rsidR="0004627A">
        <w:rPr>
          <w:rFonts w:hAnsi="Times New Roman" w:ascii="Times New Roman"/>
        </w:rPr>
        <w:t>m na e-Oglasnoj ploči ovog suda.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1E70AB" w:rsidP="00E44885" w:rsidR="00A053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</w:t>
      </w:r>
      <w:r w:rsidR="00F04A75" w:rsidRPr="00F04A75">
        <w:rPr>
          <w:rFonts w:hAnsi="Times New Roman" w:ascii="Times New Roman"/>
        </w:rPr>
        <w:t xml:space="preserve">Nalaže se Općinskom </w:t>
      </w:r>
      <w:r w:rsidR="00A042FC">
        <w:rPr>
          <w:rFonts w:hAnsi="Times New Roman" w:ascii="Times New Roman"/>
        </w:rPr>
        <w:t>građanskom</w:t>
      </w:r>
      <w:r w:rsidR="001A719F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sudu u </w:t>
      </w:r>
      <w:r w:rsidR="00EE15A7">
        <w:rPr>
          <w:rFonts w:hAnsi="Times New Roman" w:ascii="Times New Roman"/>
        </w:rPr>
        <w:t>Zagrebu</w:t>
      </w:r>
      <w:r w:rsidR="00F04A75" w:rsidRPr="00F04A75">
        <w:rPr>
          <w:rFonts w:hAnsi="Times New Roman" w:ascii="Times New Roman"/>
        </w:rPr>
        <w:t xml:space="preserve">, Zemljišno knjižni odjel </w:t>
      </w:r>
      <w:r w:rsidR="00EE15A7">
        <w:rPr>
          <w:rFonts w:hAnsi="Times New Roman" w:ascii="Times New Roman"/>
        </w:rPr>
        <w:t>Zagreb</w:t>
      </w:r>
      <w:r w:rsidR="00A042FC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da izvrši upis zabilježbe otvaranja stečajnog postupka u zemljišnim knjigama </w:t>
      </w:r>
      <w:r w:rsidR="00A042FC">
        <w:rPr>
          <w:rFonts w:hAnsi="Times New Roman" w:ascii="Times New Roman"/>
        </w:rPr>
        <w:t>za</w:t>
      </w:r>
      <w:r w:rsidR="00F04A75" w:rsidRPr="00F04A75">
        <w:rPr>
          <w:rFonts w:hAnsi="Times New Roman" w:ascii="Times New Roman"/>
        </w:rPr>
        <w:t xml:space="preserve"> nekretnin</w:t>
      </w:r>
      <w:r w:rsidR="00A042FC">
        <w:rPr>
          <w:rFonts w:hAnsi="Times New Roman" w:ascii="Times New Roman"/>
        </w:rPr>
        <w:t>u</w:t>
      </w:r>
      <w:r w:rsidR="00F04A75" w:rsidRPr="00F04A75">
        <w:rPr>
          <w:rFonts w:hAnsi="Times New Roman" w:ascii="Times New Roman"/>
        </w:rPr>
        <w:t xml:space="preserve"> stečajnog dužnika</w:t>
      </w:r>
      <w:r w:rsidR="00A042FC">
        <w:rPr>
          <w:rFonts w:hAnsi="Times New Roman" w:ascii="Times New Roman"/>
        </w:rPr>
        <w:t xml:space="preserve"> i to</w:t>
      </w:r>
      <w:r w:rsidR="00A05369">
        <w:rPr>
          <w:rFonts w:hAnsi="Times New Roman" w:ascii="Times New Roman"/>
        </w:rPr>
        <w:t xml:space="preserve"> </w:t>
      </w:r>
    </w:p>
    <w:p w:rsidRDefault="00F8402F" w:rsidP="00E44885" w:rsidR="00A053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A05369">
        <w:rPr>
          <w:rFonts w:hAnsi="Times New Roman" w:ascii="Times New Roman"/>
        </w:rPr>
        <w:t>kč. br. 5637/2, stambena zgrada br. 5. i br. 7. Barilovićka 2 i dvorište – etaža 68/10000, garaža oznake G13, sa spremištem, u nivou – 2 objekta – dilatacija D1, neto korisne površine 30,00 čm, u etažnom elaboratu sve označeno žutom bojom</w:t>
      </w:r>
      <w:r>
        <w:rPr>
          <w:rFonts w:hAnsi="Times New Roman" w:ascii="Times New Roman"/>
        </w:rPr>
        <w:t>, upis</w:t>
      </w:r>
      <w:r w:rsidR="003720E5">
        <w:rPr>
          <w:rFonts w:hAnsi="Times New Roman" w:ascii="Times New Roman"/>
        </w:rPr>
        <w:t>ana u zk. ul. 30291 poduložak 2</w:t>
      </w:r>
      <w:r w:rsidR="003E27FB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k.o. Grad Zagreb,</w:t>
      </w:r>
    </w:p>
    <w:p w:rsidRDefault="00F8402F" w:rsidP="00E44885" w:rsidR="00F8402F">
      <w:pPr>
        <w:jc w:val="both"/>
        <w:rPr>
          <w:rFonts w:hAnsi="Times New Roman" w:ascii="Times New Roman"/>
        </w:rPr>
      </w:pPr>
      <w:r w:rsidRPr="00F8402F">
        <w:rPr>
          <w:rFonts w:hAnsi="Times New Roman" w:ascii="Times New Roman"/>
        </w:rPr>
        <w:t xml:space="preserve">-kč. br. 5637/2, stambena zgrada br. 5. i br. 7. Barilovićka 2 i dvorište – etaža </w:t>
      </w:r>
      <w:r>
        <w:rPr>
          <w:rFonts w:hAnsi="Times New Roman" w:ascii="Times New Roman"/>
        </w:rPr>
        <w:t>39</w:t>
      </w:r>
      <w:r w:rsidRPr="00F8402F">
        <w:rPr>
          <w:rFonts w:hAnsi="Times New Roman" w:ascii="Times New Roman"/>
        </w:rPr>
        <w:t xml:space="preserve">/10000, garaža oznake G1, sa spremištem, u nivou – </w:t>
      </w:r>
      <w:r>
        <w:rPr>
          <w:rFonts w:hAnsi="Times New Roman" w:ascii="Times New Roman"/>
        </w:rPr>
        <w:t>1</w:t>
      </w:r>
      <w:r w:rsidRPr="00F8402F">
        <w:rPr>
          <w:rFonts w:hAnsi="Times New Roman" w:ascii="Times New Roman"/>
        </w:rPr>
        <w:t xml:space="preserve"> objekta dilatacija D1, neto korisne površine </w:t>
      </w:r>
      <w:r>
        <w:rPr>
          <w:rFonts w:hAnsi="Times New Roman" w:ascii="Times New Roman"/>
        </w:rPr>
        <w:t>17,10</w:t>
      </w:r>
      <w:r w:rsidRPr="00F8402F">
        <w:rPr>
          <w:rFonts w:hAnsi="Times New Roman" w:ascii="Times New Roman"/>
        </w:rPr>
        <w:t xml:space="preserve"> čm, u etažnom elaboratu sve označeno </w:t>
      </w:r>
      <w:r>
        <w:rPr>
          <w:rFonts w:hAnsi="Times New Roman" w:ascii="Times New Roman"/>
        </w:rPr>
        <w:t>crvenom</w:t>
      </w:r>
      <w:r w:rsidRPr="00F8402F">
        <w:rPr>
          <w:rFonts w:hAnsi="Times New Roman" w:ascii="Times New Roman"/>
        </w:rPr>
        <w:t xml:space="preserve"> bojom, upisana u zk. ul. 30291 poduložak </w:t>
      </w:r>
      <w:r>
        <w:rPr>
          <w:rFonts w:hAnsi="Times New Roman" w:ascii="Times New Roman"/>
        </w:rPr>
        <w:t>17</w:t>
      </w:r>
      <w:r w:rsidR="003E27FB">
        <w:rPr>
          <w:rFonts w:hAnsi="Times New Roman" w:ascii="Times New Roman"/>
        </w:rPr>
        <w:t>,</w:t>
      </w:r>
      <w:r w:rsidRPr="00F8402F">
        <w:rPr>
          <w:rFonts w:hAnsi="Times New Roman" w:ascii="Times New Roman"/>
        </w:rPr>
        <w:t xml:space="preserve"> k.o. Grad Zagreb,</w:t>
      </w:r>
    </w:p>
    <w:p w:rsidRDefault="003720E5" w:rsidP="00E44885" w:rsidR="00F8402F">
      <w:pPr>
        <w:jc w:val="both"/>
        <w:rPr>
          <w:rFonts w:hAnsi="Times New Roman" w:ascii="Times New Roman"/>
        </w:rPr>
      </w:pPr>
      <w:r w:rsidRPr="003720E5">
        <w:rPr>
          <w:rFonts w:hAnsi="Times New Roman" w:ascii="Times New Roman"/>
        </w:rPr>
        <w:t xml:space="preserve">-kč. br. 5637/2, stambena zgrada br. 5. i br. 7. Barilovićka 2 i dvorište – etaža </w:t>
      </w:r>
      <w:r>
        <w:rPr>
          <w:rFonts w:hAnsi="Times New Roman" w:ascii="Times New Roman"/>
        </w:rPr>
        <w:t>152</w:t>
      </w:r>
      <w:r w:rsidRPr="003720E5">
        <w:rPr>
          <w:rFonts w:hAnsi="Times New Roman" w:ascii="Times New Roman"/>
        </w:rPr>
        <w:t xml:space="preserve">/10000, </w:t>
      </w:r>
      <w:r>
        <w:rPr>
          <w:rFonts w:hAnsi="Times New Roman" w:ascii="Times New Roman"/>
        </w:rPr>
        <w:t>trosobni stan</w:t>
      </w:r>
      <w:r w:rsidRPr="003720E5">
        <w:rPr>
          <w:rFonts w:hAnsi="Times New Roman" w:ascii="Times New Roman"/>
        </w:rPr>
        <w:t xml:space="preserve"> oznake </w:t>
      </w:r>
      <w:r>
        <w:rPr>
          <w:rFonts w:hAnsi="Times New Roman" w:ascii="Times New Roman"/>
        </w:rPr>
        <w:t>D1-S5</w:t>
      </w:r>
      <w:r w:rsidRPr="003720E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u prvom katu objekta </w:t>
      </w:r>
      <w:r w:rsidRPr="003720E5">
        <w:rPr>
          <w:rFonts w:hAnsi="Times New Roman" w:ascii="Times New Roman"/>
        </w:rPr>
        <w:t xml:space="preserve">dilatacija D1, neto korisne površine </w:t>
      </w:r>
      <w:r>
        <w:rPr>
          <w:rFonts w:hAnsi="Times New Roman" w:ascii="Times New Roman"/>
        </w:rPr>
        <w:t>66,95</w:t>
      </w:r>
      <w:r w:rsidRPr="003720E5">
        <w:rPr>
          <w:rFonts w:hAnsi="Times New Roman" w:ascii="Times New Roman"/>
        </w:rPr>
        <w:t xml:space="preserve"> čm, u etažnom elaboratu sve označeno </w:t>
      </w:r>
      <w:r>
        <w:rPr>
          <w:rFonts w:hAnsi="Times New Roman" w:ascii="Times New Roman"/>
        </w:rPr>
        <w:t>crvenom</w:t>
      </w:r>
      <w:r w:rsidRPr="003720E5">
        <w:rPr>
          <w:rFonts w:hAnsi="Times New Roman" w:ascii="Times New Roman"/>
        </w:rPr>
        <w:t xml:space="preserve"> bojom, upi</w:t>
      </w:r>
      <w:r>
        <w:rPr>
          <w:rFonts w:hAnsi="Times New Roman" w:ascii="Times New Roman"/>
        </w:rPr>
        <w:t>sana u zk. ul. 30291 poduložak 37</w:t>
      </w:r>
      <w:r w:rsidRPr="003720E5">
        <w:rPr>
          <w:rFonts w:hAnsi="Times New Roman" w:ascii="Times New Roman"/>
        </w:rPr>
        <w:t>, k.o. Grad Zagreb,</w:t>
      </w:r>
    </w:p>
    <w:p w:rsidRDefault="003720E5" w:rsidP="00E44885" w:rsidR="003720E5">
      <w:pPr>
        <w:jc w:val="both"/>
        <w:rPr>
          <w:rFonts w:hAnsi="Times New Roman" w:ascii="Times New Roman"/>
        </w:rPr>
      </w:pPr>
      <w:r w:rsidRPr="003720E5">
        <w:rPr>
          <w:rFonts w:hAnsi="Times New Roman" w:ascii="Times New Roman"/>
        </w:rPr>
        <w:t xml:space="preserve">-kč. br. 5637/2, stambena zgrada br. 5. i br. 7. Barilovićka 2 i dvorište – etaža </w:t>
      </w:r>
      <w:r>
        <w:rPr>
          <w:rFonts w:hAnsi="Times New Roman" w:ascii="Times New Roman"/>
        </w:rPr>
        <w:t>204</w:t>
      </w:r>
      <w:r w:rsidRPr="003720E5">
        <w:rPr>
          <w:rFonts w:hAnsi="Times New Roman" w:ascii="Times New Roman"/>
        </w:rPr>
        <w:t>/1</w:t>
      </w:r>
      <w:r>
        <w:rPr>
          <w:rFonts w:hAnsi="Times New Roman" w:ascii="Times New Roman"/>
        </w:rPr>
        <w:t>0000, trosobni stan oznake D1-S16</w:t>
      </w:r>
      <w:r w:rsidRPr="003720E5">
        <w:rPr>
          <w:rFonts w:hAnsi="Times New Roman" w:ascii="Times New Roman"/>
        </w:rPr>
        <w:t>, u</w:t>
      </w:r>
      <w:r>
        <w:rPr>
          <w:rFonts w:hAnsi="Times New Roman" w:ascii="Times New Roman"/>
        </w:rPr>
        <w:t xml:space="preserve"> trećem</w:t>
      </w:r>
      <w:r w:rsidRPr="003720E5">
        <w:rPr>
          <w:rFonts w:hAnsi="Times New Roman" w:ascii="Times New Roman"/>
        </w:rPr>
        <w:t xml:space="preserve"> katu objekta dilatacija D1, neto korisne površine </w:t>
      </w:r>
      <w:r>
        <w:rPr>
          <w:rFonts w:hAnsi="Times New Roman" w:ascii="Times New Roman"/>
        </w:rPr>
        <w:t>89,90</w:t>
      </w:r>
      <w:r w:rsidRPr="003720E5">
        <w:rPr>
          <w:rFonts w:hAnsi="Times New Roman" w:ascii="Times New Roman"/>
        </w:rPr>
        <w:t xml:space="preserve"> čm, u etažnom elaboratu sve označeno </w:t>
      </w:r>
      <w:r>
        <w:rPr>
          <w:rFonts w:hAnsi="Times New Roman" w:ascii="Times New Roman"/>
        </w:rPr>
        <w:t>zelenom</w:t>
      </w:r>
      <w:r w:rsidRPr="003720E5">
        <w:rPr>
          <w:rFonts w:hAnsi="Times New Roman" w:ascii="Times New Roman"/>
        </w:rPr>
        <w:t xml:space="preserve"> bojom, upisana u zk. ul. 30291 poduložak </w:t>
      </w:r>
      <w:r>
        <w:rPr>
          <w:rFonts w:hAnsi="Times New Roman" w:ascii="Times New Roman"/>
        </w:rPr>
        <w:t>56</w:t>
      </w:r>
      <w:r w:rsidRPr="003720E5">
        <w:rPr>
          <w:rFonts w:hAnsi="Times New Roman" w:ascii="Times New Roman"/>
        </w:rPr>
        <w:t>, k.o. Grad Zagreb,</w:t>
      </w:r>
    </w:p>
    <w:p w:rsidRDefault="00DC6A19" w:rsidP="00E44885" w:rsidR="00DC6A19">
      <w:pPr>
        <w:jc w:val="both"/>
        <w:rPr>
          <w:rFonts w:hAnsi="Times New Roman" w:ascii="Times New Roman"/>
        </w:rPr>
      </w:pPr>
      <w:r w:rsidRPr="00DC6A19">
        <w:rPr>
          <w:rFonts w:hAnsi="Times New Roman" w:ascii="Times New Roman"/>
        </w:rPr>
        <w:t>-kč. br. 5637/2, stambena zgrada br. 5. i br. 7. Bari</w:t>
      </w:r>
      <w:r>
        <w:rPr>
          <w:rFonts w:hAnsi="Times New Roman" w:ascii="Times New Roman"/>
        </w:rPr>
        <w:t>lovićka 2 i dvorište – etaža 151</w:t>
      </w:r>
      <w:r w:rsidRPr="00DC6A19">
        <w:rPr>
          <w:rFonts w:hAnsi="Times New Roman" w:ascii="Times New Roman"/>
        </w:rPr>
        <w:t xml:space="preserve">/10000, </w:t>
      </w:r>
      <w:r>
        <w:rPr>
          <w:rFonts w:hAnsi="Times New Roman" w:ascii="Times New Roman"/>
        </w:rPr>
        <w:t>dvosobni</w:t>
      </w:r>
      <w:r w:rsidRPr="00DC6A19">
        <w:rPr>
          <w:rFonts w:hAnsi="Times New Roman" w:ascii="Times New Roman"/>
        </w:rPr>
        <w:t xml:space="preserve"> stan oznake D1-S</w:t>
      </w:r>
      <w:r>
        <w:rPr>
          <w:rFonts w:hAnsi="Times New Roman" w:ascii="Times New Roman"/>
        </w:rPr>
        <w:t>19</w:t>
      </w:r>
      <w:r w:rsidRPr="00DC6A19">
        <w:rPr>
          <w:rFonts w:hAnsi="Times New Roman" w:ascii="Times New Roman"/>
        </w:rPr>
        <w:t xml:space="preserve">, u </w:t>
      </w:r>
      <w:r>
        <w:rPr>
          <w:rFonts w:hAnsi="Times New Roman" w:ascii="Times New Roman"/>
        </w:rPr>
        <w:t>četvrtom</w:t>
      </w:r>
      <w:r w:rsidRPr="00DC6A19">
        <w:rPr>
          <w:rFonts w:hAnsi="Times New Roman" w:ascii="Times New Roman"/>
        </w:rPr>
        <w:t xml:space="preserve"> katu objekta dilatacija D1, </w:t>
      </w:r>
      <w:r>
        <w:rPr>
          <w:rFonts w:hAnsi="Times New Roman" w:ascii="Times New Roman"/>
        </w:rPr>
        <w:t xml:space="preserve">sa garažnim parkirnim mjestom oznake P1 i spremištem u nivou – 1, dilatacija D1, </w:t>
      </w:r>
      <w:r w:rsidRPr="00DC6A19">
        <w:rPr>
          <w:rFonts w:hAnsi="Times New Roman" w:ascii="Times New Roman"/>
        </w:rPr>
        <w:t>neto korisne površine 66,</w:t>
      </w:r>
      <w:r>
        <w:rPr>
          <w:rFonts w:hAnsi="Times New Roman" w:ascii="Times New Roman"/>
        </w:rPr>
        <w:t>36</w:t>
      </w:r>
      <w:r w:rsidRPr="00DC6A19">
        <w:rPr>
          <w:rFonts w:hAnsi="Times New Roman" w:ascii="Times New Roman"/>
        </w:rPr>
        <w:t xml:space="preserve"> čm, u etažnom elaboratu sve označeno </w:t>
      </w:r>
      <w:r>
        <w:rPr>
          <w:rFonts w:hAnsi="Times New Roman" w:ascii="Times New Roman"/>
        </w:rPr>
        <w:t>žutom</w:t>
      </w:r>
      <w:r w:rsidRPr="00DC6A19">
        <w:rPr>
          <w:rFonts w:hAnsi="Times New Roman" w:ascii="Times New Roman"/>
        </w:rPr>
        <w:t xml:space="preserve"> bojom, upisana u zk. ul. 30291 poduložak </w:t>
      </w:r>
      <w:r>
        <w:rPr>
          <w:rFonts w:hAnsi="Times New Roman" w:ascii="Times New Roman"/>
        </w:rPr>
        <w:t>63</w:t>
      </w:r>
      <w:r w:rsidRPr="00DC6A19">
        <w:rPr>
          <w:rFonts w:hAnsi="Times New Roman" w:ascii="Times New Roman"/>
        </w:rPr>
        <w:t>, k.o. Grad Zagreb,</w:t>
      </w:r>
    </w:p>
    <w:p w:rsidRDefault="00A858E5" w:rsidP="00E44885" w:rsidR="00A858E5">
      <w:pPr>
        <w:jc w:val="both"/>
        <w:rPr>
          <w:rFonts w:hAnsi="Times New Roman" w:ascii="Times New Roman"/>
        </w:rPr>
      </w:pPr>
      <w:r w:rsidRPr="00A858E5">
        <w:rPr>
          <w:rFonts w:hAnsi="Times New Roman" w:ascii="Times New Roman"/>
        </w:rPr>
        <w:t>-kč. br. 5637/2, stambena zgrada br. 5. i br. 7. Barilovićka 2 i dvorište – etaža 152/10000, trosobni stan oznake D1-S</w:t>
      </w:r>
      <w:r>
        <w:rPr>
          <w:rFonts w:hAnsi="Times New Roman" w:ascii="Times New Roman"/>
        </w:rPr>
        <w:t>21</w:t>
      </w:r>
      <w:r w:rsidRPr="00A858E5">
        <w:rPr>
          <w:rFonts w:hAnsi="Times New Roman" w:ascii="Times New Roman"/>
        </w:rPr>
        <w:t>, u p</w:t>
      </w:r>
      <w:r>
        <w:rPr>
          <w:rFonts w:hAnsi="Times New Roman" w:ascii="Times New Roman"/>
        </w:rPr>
        <w:t>etom</w:t>
      </w:r>
      <w:r w:rsidRPr="00A858E5">
        <w:rPr>
          <w:rFonts w:hAnsi="Times New Roman" w:ascii="Times New Roman"/>
        </w:rPr>
        <w:t xml:space="preserve"> katu objekta dilatacija D1, neto korisne površine 66,95 čm, u etažnom elaboratu sve označeno crvenom bojom, upisana u zk. ul. 30291 poduložak </w:t>
      </w:r>
      <w:r>
        <w:rPr>
          <w:rFonts w:hAnsi="Times New Roman" w:ascii="Times New Roman"/>
        </w:rPr>
        <w:t>69</w:t>
      </w:r>
      <w:r w:rsidRPr="00A858E5">
        <w:rPr>
          <w:rFonts w:hAnsi="Times New Roman" w:ascii="Times New Roman"/>
        </w:rPr>
        <w:t>, k.o. Grad Zagreb,</w:t>
      </w:r>
    </w:p>
    <w:p w:rsidRDefault="00607F1E" w:rsidP="00E44885" w:rsidR="00A858E5">
      <w:pPr>
        <w:jc w:val="both"/>
        <w:rPr>
          <w:rFonts w:hAnsi="Times New Roman" w:ascii="Times New Roman"/>
        </w:rPr>
      </w:pPr>
      <w:r w:rsidRPr="00607F1E">
        <w:rPr>
          <w:rFonts w:hAnsi="Times New Roman" w:ascii="Times New Roman"/>
        </w:rPr>
        <w:t xml:space="preserve">-kč. br. </w:t>
      </w:r>
      <w:r w:rsidR="00890C40">
        <w:rPr>
          <w:rFonts w:hAnsi="Times New Roman" w:ascii="Times New Roman"/>
        </w:rPr>
        <w:t>214</w:t>
      </w:r>
      <w:r w:rsidRPr="00607F1E">
        <w:rPr>
          <w:rFonts w:hAnsi="Times New Roman" w:ascii="Times New Roman"/>
        </w:rPr>
        <w:t>/</w:t>
      </w:r>
      <w:r w:rsidR="00890C40">
        <w:rPr>
          <w:rFonts w:hAnsi="Times New Roman" w:ascii="Times New Roman"/>
        </w:rPr>
        <w:t>1</w:t>
      </w:r>
      <w:r w:rsidRPr="00607F1E">
        <w:rPr>
          <w:rFonts w:hAnsi="Times New Roman" w:ascii="Times New Roman"/>
        </w:rPr>
        <w:t xml:space="preserve">, </w:t>
      </w:r>
      <w:r w:rsidR="00890C40">
        <w:rPr>
          <w:rFonts w:hAnsi="Times New Roman" w:ascii="Times New Roman"/>
        </w:rPr>
        <w:t>kuća</w:t>
      </w:r>
      <w:r w:rsidR="00135331">
        <w:rPr>
          <w:rFonts w:hAnsi="Times New Roman" w:ascii="Times New Roman"/>
        </w:rPr>
        <w:t xml:space="preserve"> br. 2</w:t>
      </w:r>
      <w:r w:rsidRPr="00607F1E">
        <w:rPr>
          <w:rFonts w:hAnsi="Times New Roman" w:ascii="Times New Roman"/>
        </w:rPr>
        <w:t xml:space="preserve">. </w:t>
      </w:r>
      <w:r w:rsidR="00890C40">
        <w:rPr>
          <w:rFonts w:hAnsi="Times New Roman" w:ascii="Times New Roman"/>
        </w:rPr>
        <w:t>u Ulici</w:t>
      </w:r>
      <w:r w:rsidR="00135331">
        <w:rPr>
          <w:rFonts w:hAnsi="Times New Roman" w:ascii="Times New Roman"/>
        </w:rPr>
        <w:t xml:space="preserve"> Svetog</w:t>
      </w:r>
      <w:r w:rsidR="00890C40">
        <w:rPr>
          <w:rFonts w:hAnsi="Times New Roman" w:ascii="Times New Roman"/>
        </w:rPr>
        <w:t xml:space="preserve"> Roka, br. 20,22 u </w:t>
      </w:r>
      <w:r w:rsidR="00135331">
        <w:rPr>
          <w:rFonts w:hAnsi="Times New Roman" w:ascii="Times New Roman"/>
        </w:rPr>
        <w:t>U</w:t>
      </w:r>
      <w:r w:rsidR="00890C40">
        <w:rPr>
          <w:rFonts w:hAnsi="Times New Roman" w:ascii="Times New Roman"/>
        </w:rPr>
        <w:t>lici Kamenarka i dvorište u Zagrebu</w:t>
      </w:r>
      <w:r w:rsidRPr="00607F1E">
        <w:rPr>
          <w:rFonts w:hAnsi="Times New Roman" w:ascii="Times New Roman"/>
        </w:rPr>
        <w:t xml:space="preserve"> – etaža </w:t>
      </w:r>
      <w:r w:rsidR="00890C40">
        <w:rPr>
          <w:rFonts w:hAnsi="Times New Roman" w:ascii="Times New Roman"/>
        </w:rPr>
        <w:t>1.35/100</w:t>
      </w:r>
      <w:r w:rsidRPr="00607F1E">
        <w:rPr>
          <w:rFonts w:hAnsi="Times New Roman" w:ascii="Times New Roman"/>
        </w:rPr>
        <w:t xml:space="preserve">, </w:t>
      </w:r>
      <w:r w:rsidR="00890C40">
        <w:rPr>
          <w:rFonts w:hAnsi="Times New Roman" w:ascii="Times New Roman"/>
        </w:rPr>
        <w:t>dvosobni</w:t>
      </w:r>
      <w:r w:rsidRPr="00607F1E">
        <w:rPr>
          <w:rFonts w:hAnsi="Times New Roman" w:ascii="Times New Roman"/>
        </w:rPr>
        <w:t xml:space="preserve"> stan oznake D1-S</w:t>
      </w:r>
      <w:r w:rsidR="00890C40">
        <w:rPr>
          <w:rFonts w:hAnsi="Times New Roman" w:ascii="Times New Roman"/>
        </w:rPr>
        <w:t>27</w:t>
      </w:r>
      <w:r w:rsidRPr="00607F1E">
        <w:rPr>
          <w:rFonts w:hAnsi="Times New Roman" w:ascii="Times New Roman"/>
        </w:rPr>
        <w:t xml:space="preserve">, </w:t>
      </w:r>
      <w:r w:rsidR="00B27891">
        <w:rPr>
          <w:rFonts w:hAnsi="Times New Roman" w:ascii="Times New Roman"/>
        </w:rPr>
        <w:t>s nus</w:t>
      </w:r>
      <w:r w:rsidR="00890C40">
        <w:rPr>
          <w:rFonts w:hAnsi="Times New Roman" w:ascii="Times New Roman"/>
        </w:rPr>
        <w:t xml:space="preserve">prostorijama u potkrovlju objekta, </w:t>
      </w:r>
      <w:r w:rsidRPr="00607F1E">
        <w:rPr>
          <w:rFonts w:hAnsi="Times New Roman" w:ascii="Times New Roman"/>
        </w:rPr>
        <w:t xml:space="preserve">dilatacija D1, neto korisne površine </w:t>
      </w:r>
      <w:r w:rsidR="00890C40">
        <w:rPr>
          <w:rFonts w:hAnsi="Times New Roman" w:ascii="Times New Roman"/>
        </w:rPr>
        <w:t>48,05</w:t>
      </w:r>
      <w:r w:rsidRPr="00607F1E">
        <w:rPr>
          <w:rFonts w:hAnsi="Times New Roman" w:ascii="Times New Roman"/>
        </w:rPr>
        <w:t xml:space="preserve"> čm, u etažnom elaboratu sve označeno </w:t>
      </w:r>
      <w:r w:rsidR="00890C40">
        <w:rPr>
          <w:rFonts w:hAnsi="Times New Roman" w:ascii="Times New Roman"/>
        </w:rPr>
        <w:t>žutom</w:t>
      </w:r>
      <w:r w:rsidRPr="00607F1E">
        <w:rPr>
          <w:rFonts w:hAnsi="Times New Roman" w:ascii="Times New Roman"/>
        </w:rPr>
        <w:t xml:space="preserve"> bojom, upisana u zk. ul. </w:t>
      </w:r>
      <w:r w:rsidR="00890C40">
        <w:rPr>
          <w:rFonts w:hAnsi="Times New Roman" w:ascii="Times New Roman"/>
        </w:rPr>
        <w:t>1500</w:t>
      </w:r>
      <w:r w:rsidRPr="00607F1E">
        <w:rPr>
          <w:rFonts w:hAnsi="Times New Roman" w:ascii="Times New Roman"/>
        </w:rPr>
        <w:t xml:space="preserve"> poduložak </w:t>
      </w:r>
      <w:r w:rsidR="00890C40">
        <w:rPr>
          <w:rFonts w:hAnsi="Times New Roman" w:ascii="Times New Roman"/>
        </w:rPr>
        <w:t>71</w:t>
      </w:r>
      <w:r w:rsidRPr="00607F1E">
        <w:rPr>
          <w:rFonts w:hAnsi="Times New Roman" w:ascii="Times New Roman"/>
        </w:rPr>
        <w:t xml:space="preserve">, k.o. </w:t>
      </w:r>
      <w:r w:rsidR="00890C40">
        <w:rPr>
          <w:rFonts w:hAnsi="Times New Roman" w:ascii="Times New Roman"/>
        </w:rPr>
        <w:t>Jakuševec</w:t>
      </w:r>
      <w:r w:rsidRPr="00607F1E">
        <w:rPr>
          <w:rFonts w:hAnsi="Times New Roman" w:ascii="Times New Roman"/>
        </w:rPr>
        <w:t>,</w:t>
      </w:r>
    </w:p>
    <w:p w:rsidRDefault="00135331" w:rsidP="00E44885" w:rsidR="00135331">
      <w:pPr>
        <w:jc w:val="both"/>
        <w:rPr>
          <w:rFonts w:hAnsi="Times New Roman" w:ascii="Times New Roman"/>
        </w:rPr>
      </w:pPr>
      <w:r w:rsidRPr="00135331">
        <w:rPr>
          <w:rFonts w:hAnsi="Times New Roman" w:ascii="Times New Roman"/>
        </w:rPr>
        <w:t xml:space="preserve">-kč. br. 214/1, kuća br. </w:t>
      </w:r>
      <w:r>
        <w:rPr>
          <w:rFonts w:hAnsi="Times New Roman" w:ascii="Times New Roman"/>
        </w:rPr>
        <w:t>2</w:t>
      </w:r>
      <w:r w:rsidRPr="00135331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>U</w:t>
      </w:r>
      <w:r w:rsidRPr="00135331">
        <w:rPr>
          <w:rFonts w:hAnsi="Times New Roman" w:ascii="Times New Roman"/>
        </w:rPr>
        <w:t xml:space="preserve">lici </w:t>
      </w:r>
      <w:r>
        <w:rPr>
          <w:rFonts w:hAnsi="Times New Roman" w:ascii="Times New Roman"/>
        </w:rPr>
        <w:t>S</w:t>
      </w:r>
      <w:r w:rsidRPr="00135331">
        <w:rPr>
          <w:rFonts w:hAnsi="Times New Roman" w:ascii="Times New Roman"/>
        </w:rPr>
        <w:t>v</w:t>
      </w:r>
      <w:r>
        <w:rPr>
          <w:rFonts w:hAnsi="Times New Roman" w:ascii="Times New Roman"/>
        </w:rPr>
        <w:t>etog</w:t>
      </w:r>
      <w:r w:rsidRPr="00135331">
        <w:rPr>
          <w:rFonts w:hAnsi="Times New Roman" w:ascii="Times New Roman"/>
        </w:rPr>
        <w:t xml:space="preserve"> Roka, br. 20,22 u </w:t>
      </w:r>
      <w:r>
        <w:rPr>
          <w:rFonts w:hAnsi="Times New Roman" w:ascii="Times New Roman"/>
        </w:rPr>
        <w:t>U</w:t>
      </w:r>
      <w:r w:rsidRPr="00135331">
        <w:rPr>
          <w:rFonts w:hAnsi="Times New Roman" w:ascii="Times New Roman"/>
        </w:rPr>
        <w:t xml:space="preserve">lici Kamenarka i dvorište u Zagrebu – etaža </w:t>
      </w:r>
      <w:r w:rsidR="00B27891">
        <w:rPr>
          <w:rFonts w:hAnsi="Times New Roman" w:ascii="Times New Roman"/>
        </w:rPr>
        <w:t>3.1</w:t>
      </w:r>
      <w:r w:rsidRPr="00135331">
        <w:rPr>
          <w:rFonts w:hAnsi="Times New Roman" w:ascii="Times New Roman"/>
        </w:rPr>
        <w:t xml:space="preserve">/100, </w:t>
      </w:r>
      <w:r w:rsidR="00B27891">
        <w:rPr>
          <w:rFonts w:hAnsi="Times New Roman" w:ascii="Times New Roman"/>
        </w:rPr>
        <w:t>četverosobni</w:t>
      </w:r>
      <w:r w:rsidRPr="00135331">
        <w:rPr>
          <w:rFonts w:hAnsi="Times New Roman" w:ascii="Times New Roman"/>
        </w:rPr>
        <w:t xml:space="preserve"> stan oznake D</w:t>
      </w:r>
      <w:r w:rsidR="00B27891">
        <w:rPr>
          <w:rFonts w:hAnsi="Times New Roman" w:ascii="Times New Roman"/>
        </w:rPr>
        <w:t>2</w:t>
      </w:r>
      <w:r w:rsidRPr="00135331">
        <w:rPr>
          <w:rFonts w:hAnsi="Times New Roman" w:ascii="Times New Roman"/>
        </w:rPr>
        <w:t>-S</w:t>
      </w:r>
      <w:r w:rsidR="00B27891">
        <w:rPr>
          <w:rFonts w:hAnsi="Times New Roman" w:ascii="Times New Roman"/>
        </w:rPr>
        <w:t>18, s nus</w:t>
      </w:r>
      <w:r w:rsidRPr="00135331">
        <w:rPr>
          <w:rFonts w:hAnsi="Times New Roman" w:ascii="Times New Roman"/>
        </w:rPr>
        <w:t xml:space="preserve">prostorijama u </w:t>
      </w:r>
      <w:r w:rsidR="002E663A">
        <w:rPr>
          <w:rFonts w:hAnsi="Times New Roman" w:ascii="Times New Roman"/>
        </w:rPr>
        <w:t xml:space="preserve">drugom katu i potkrovlju </w:t>
      </w:r>
      <w:r w:rsidRPr="00135331">
        <w:rPr>
          <w:rFonts w:hAnsi="Times New Roman" w:ascii="Times New Roman"/>
        </w:rPr>
        <w:t>objekta</w:t>
      </w:r>
      <w:r w:rsidR="002E663A">
        <w:rPr>
          <w:rFonts w:hAnsi="Times New Roman" w:ascii="Times New Roman"/>
        </w:rPr>
        <w:t xml:space="preserve"> i spremište Spr18 u suterenu obje</w:t>
      </w:r>
      <w:r w:rsidR="00E53D03">
        <w:rPr>
          <w:rFonts w:hAnsi="Times New Roman" w:ascii="Times New Roman"/>
        </w:rPr>
        <w:t>kt</w:t>
      </w:r>
      <w:r w:rsidR="002E663A">
        <w:rPr>
          <w:rFonts w:hAnsi="Times New Roman" w:ascii="Times New Roman"/>
        </w:rPr>
        <w:t>a</w:t>
      </w:r>
      <w:r w:rsidRPr="00135331">
        <w:rPr>
          <w:rFonts w:hAnsi="Times New Roman" w:ascii="Times New Roman"/>
        </w:rPr>
        <w:t>, dilatacija D</w:t>
      </w:r>
      <w:r w:rsidR="002E663A">
        <w:rPr>
          <w:rFonts w:hAnsi="Times New Roman" w:ascii="Times New Roman"/>
        </w:rPr>
        <w:t>2</w:t>
      </w:r>
      <w:r w:rsidRPr="00135331">
        <w:rPr>
          <w:rFonts w:hAnsi="Times New Roman" w:ascii="Times New Roman"/>
        </w:rPr>
        <w:t xml:space="preserve">, neto korisne površine </w:t>
      </w:r>
      <w:r w:rsidR="002E663A">
        <w:rPr>
          <w:rFonts w:hAnsi="Times New Roman" w:ascii="Times New Roman"/>
        </w:rPr>
        <w:t>117,74</w:t>
      </w:r>
      <w:r w:rsidRPr="00135331">
        <w:rPr>
          <w:rFonts w:hAnsi="Times New Roman" w:ascii="Times New Roman"/>
        </w:rPr>
        <w:t xml:space="preserve"> čm, u etažnom elaboratu sve označeno </w:t>
      </w:r>
      <w:r w:rsidR="002E663A">
        <w:rPr>
          <w:rFonts w:hAnsi="Times New Roman" w:ascii="Times New Roman"/>
        </w:rPr>
        <w:t>plavom</w:t>
      </w:r>
      <w:r w:rsidRPr="00135331">
        <w:rPr>
          <w:rFonts w:hAnsi="Times New Roman" w:ascii="Times New Roman"/>
        </w:rPr>
        <w:t xml:space="preserve"> bojom, upisana u zk. ul. 1500 poduložak </w:t>
      </w:r>
      <w:r w:rsidR="002E663A">
        <w:rPr>
          <w:rFonts w:hAnsi="Times New Roman" w:ascii="Times New Roman"/>
        </w:rPr>
        <w:t>50</w:t>
      </w:r>
      <w:r w:rsidR="00066B84">
        <w:rPr>
          <w:rFonts w:hAnsi="Times New Roman" w:ascii="Times New Roman"/>
        </w:rPr>
        <w:t>, k.o. Jakuševec.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3047F" w:rsidP="00A32891" w:rsidR="006112DD">
      <w:pPr>
        <w:ind w:firstLine="708"/>
        <w:jc w:val="both"/>
        <w:rPr>
          <w:rFonts w:hAnsi="Times New Roman" w:ascii="Times New Roman"/>
        </w:rPr>
      </w:pPr>
      <w:r w:rsidRPr="00D3047F">
        <w:rPr>
          <w:rFonts w:hAnsi="Times New Roman" w:ascii="Times New Roman"/>
        </w:rPr>
        <w:t>Predlagatelj CROATIA BANKA d.d., Zagreb podnio ovom sudu 11. ožujka 2016. prijedlog za otvaranje stečajnog postupka nad dužnikom TEM-95</w:t>
      </w:r>
      <w:r w:rsidR="00672B81">
        <w:rPr>
          <w:rFonts w:hAnsi="Times New Roman" w:ascii="Times New Roman"/>
        </w:rPr>
        <w:t>,</w:t>
      </w:r>
      <w:r w:rsidRPr="00D3047F">
        <w:rPr>
          <w:rFonts w:hAnsi="Times New Roman" w:ascii="Times New Roman"/>
        </w:rPr>
        <w:t xml:space="preserve"> d.o.o., Zagreb, </w:t>
      </w:r>
      <w:r w:rsidRPr="00D3047F">
        <w:rPr>
          <w:rFonts w:hAnsi="Times New Roman" w:ascii="Times New Roman"/>
        </w:rPr>
        <w:lastRenderedPageBreak/>
        <w:t>Međimurska 19, OIB: 47988156317. U prijedlogu navodi da ima tražbinu prema dužniku u iznosu od 992.383,34 EUR u kunskoj protuvrijednosti po srednjem tečaju HNB na dan isplate sa zakonskim zateznim kamatama, te da vrijednost tražbine-glavnice vjerovnika na dan podnošenja prijedloga iznosi 7.512.341,88 kn.</w:t>
      </w:r>
      <w:r>
        <w:rPr>
          <w:rFonts w:hAnsi="Times New Roman" w:ascii="Times New Roman"/>
        </w:rPr>
        <w:t xml:space="preserve"> Također da kod dužnika postoji stečajni razlog budući </w:t>
      </w:r>
      <w:r w:rsidRPr="00D3047F">
        <w:rPr>
          <w:rFonts w:hAnsi="Times New Roman" w:ascii="Times New Roman"/>
        </w:rPr>
        <w:t>u Očevidniku redoslijeda osnova za plaćanje koji vodi Financijska agencija</w:t>
      </w:r>
      <w:r w:rsidR="009F6A8E">
        <w:rPr>
          <w:rFonts w:hAnsi="Times New Roman" w:ascii="Times New Roman"/>
        </w:rPr>
        <w:t xml:space="preserve"> (dalje-FINA</w:t>
      </w:r>
      <w:r w:rsidR="009F6A8E" w:rsidRPr="009F6A8E">
        <w:rPr>
          <w:rFonts w:hAnsi="Times New Roman" w:ascii="Times New Roman"/>
        </w:rPr>
        <w:t xml:space="preserve">) </w:t>
      </w:r>
      <w:r w:rsidRPr="00D3047F">
        <w:rPr>
          <w:rFonts w:hAnsi="Times New Roman" w:ascii="Times New Roman"/>
        </w:rPr>
        <w:t xml:space="preserve"> ima jednu ili više evidentiranih neizvršenih osnova za plaćanje u razdoblju dužem od 60 dana koje je trebalo, na temelju valjanih osnova za plaćanje, bez daljnjeg pristanka dužnika naplatiti s bilo kojeg od njegovih računa.</w:t>
      </w:r>
      <w:r w:rsidR="00672B81">
        <w:rPr>
          <w:rFonts w:hAnsi="Times New Roman" w:ascii="Times New Roman"/>
        </w:rPr>
        <w:t xml:space="preserve"> Dodaje da svoju tražbinu neće moći potpuno namiriti iz predmeta na kojem postoji razlučno pravo, te o istom dostavlja dokaze – procjene vrijednosti nekretnina. </w:t>
      </w:r>
    </w:p>
    <w:p w:rsidRDefault="00672B81" w:rsidP="00A32891" w:rsidR="00672B81">
      <w:pPr>
        <w:ind w:firstLine="708"/>
        <w:jc w:val="both"/>
        <w:rPr>
          <w:rFonts w:hAnsi="Times New Roman" w:ascii="Times New Roman"/>
        </w:rPr>
      </w:pPr>
    </w:p>
    <w:p w:rsidRDefault="00672B81" w:rsidP="00A32891" w:rsidR="00672B8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potvrdu </w:t>
      </w:r>
      <w:r w:rsidR="009F6A8E">
        <w:rPr>
          <w:rFonts w:hAnsi="Times New Roman" w:ascii="Times New Roman"/>
        </w:rPr>
        <w:t xml:space="preserve">dalje-FINA-e </w:t>
      </w:r>
      <w:r>
        <w:rPr>
          <w:rFonts w:hAnsi="Times New Roman" w:ascii="Times New Roman"/>
        </w:rPr>
        <w:t xml:space="preserve">od 10. ožujka 2016. utvrđeno je da dužnik </w:t>
      </w:r>
      <w:r w:rsidRPr="00672B81">
        <w:rPr>
          <w:rFonts w:hAnsi="Times New Roman" w:ascii="Times New Roman"/>
        </w:rPr>
        <w:t>TEM-95</w:t>
      </w:r>
      <w:r>
        <w:rPr>
          <w:rFonts w:hAnsi="Times New Roman" w:ascii="Times New Roman"/>
        </w:rPr>
        <w:t>,</w:t>
      </w:r>
      <w:r w:rsidRPr="00672B81">
        <w:rPr>
          <w:rFonts w:hAnsi="Times New Roman" w:ascii="Times New Roman"/>
        </w:rPr>
        <w:t xml:space="preserve"> d.o.o.,</w:t>
      </w:r>
      <w:r>
        <w:rPr>
          <w:rFonts w:hAnsi="Times New Roman" w:ascii="Times New Roman"/>
        </w:rPr>
        <w:t xml:space="preserve"> na dan izdavanja potvrde ima evidentirane neizvršene osnove za plaćanje u neprekinutom razdoblju od 924 dana.</w:t>
      </w:r>
    </w:p>
    <w:p w:rsidRDefault="006112DD" w:rsidP="00672B81" w:rsidR="006112DD">
      <w:pPr>
        <w:jc w:val="both"/>
        <w:rPr>
          <w:rFonts w:hAnsi="Times New Roman" w:ascii="Times New Roman"/>
        </w:rPr>
      </w:pPr>
    </w:p>
    <w:p w:rsidRDefault="00672B81" w:rsidP="00672B81" w:rsidR="00672B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poslovni broj gornji od 27. ožujka 2017., pokrenut je prethodni postupak </w:t>
      </w:r>
      <w:r w:rsidR="001D6B40">
        <w:rPr>
          <w:rFonts w:hAnsi="Times New Roman" w:ascii="Times New Roman"/>
        </w:rPr>
        <w:t xml:space="preserve">radi utvrđivanja pretpostavki za otvaranje stečajnog postupka </w:t>
      </w:r>
      <w:r>
        <w:rPr>
          <w:rFonts w:hAnsi="Times New Roman" w:ascii="Times New Roman"/>
        </w:rPr>
        <w:t>nad dužnikom, te je istim zakazano ročište za 29. svibnja 2017.</w:t>
      </w:r>
    </w:p>
    <w:p w:rsidRDefault="00672B81" w:rsidP="00672B81" w:rsidR="00672B81">
      <w:pPr>
        <w:jc w:val="both"/>
        <w:rPr>
          <w:rFonts w:hAnsi="Times New Roman" w:ascii="Times New Roman"/>
        </w:rPr>
      </w:pPr>
    </w:p>
    <w:p w:rsidRDefault="00672B81" w:rsidP="00672B81" w:rsidR="00672B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zakazano ročište nije pristupio predlagatelj, a koji je podneskom od 26. svibnja 2017. ostao u cijelosti kod prijedloga, te istaknuo da je u konkretnom predmetu evidentno da postoji stečajni raz</w:t>
      </w:r>
      <w:r w:rsidR="00CE7EFE">
        <w:rPr>
          <w:rFonts w:hAnsi="Times New Roman" w:ascii="Times New Roman"/>
        </w:rPr>
        <w:t xml:space="preserve">log, nesposobnost za plaćanje, </w:t>
      </w:r>
      <w:r>
        <w:rPr>
          <w:rFonts w:hAnsi="Times New Roman" w:ascii="Times New Roman"/>
        </w:rPr>
        <w:t>a koje je dokazala potvrdom FINA-e, te predlaže da se otvori stečajni postupak nad dužnikom.</w:t>
      </w:r>
    </w:p>
    <w:p w:rsidRDefault="00672B81" w:rsidP="00672B81" w:rsidR="00672B81">
      <w:pPr>
        <w:jc w:val="both"/>
        <w:rPr>
          <w:rFonts w:hAnsi="Times New Roman" w:ascii="Times New Roman"/>
        </w:rPr>
      </w:pPr>
    </w:p>
    <w:p w:rsidRDefault="00672B81" w:rsidP="00672B81" w:rsidR="00672B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877BE">
        <w:rPr>
          <w:rFonts w:hAnsi="Times New Roman" w:ascii="Times New Roman"/>
        </w:rPr>
        <w:t xml:space="preserve">Odgovorna osoba je na ročištu iznijela da je točno da je u blokadi, te da je prezadužen, ali se protivi otvaranju stečajnog postupka, budući smatra da bi društvo možda moglo riješiti nastale probleme, međutim ne zna točno u kojem roku. </w:t>
      </w:r>
    </w:p>
    <w:p w:rsidRDefault="00436D0A" w:rsidP="00672B81" w:rsidR="00436D0A">
      <w:pPr>
        <w:jc w:val="both"/>
        <w:rPr>
          <w:rFonts w:hAnsi="Times New Roman" w:ascii="Times New Roman"/>
        </w:rPr>
      </w:pPr>
    </w:p>
    <w:p w:rsidRDefault="00436D0A" w:rsidP="00672B81" w:rsidR="00436D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od 1. lipnja 2017. otvorio stečajni postupak nad dužnikom </w:t>
      </w:r>
      <w:r w:rsidRPr="00436D0A">
        <w:rPr>
          <w:rFonts w:hAnsi="Times New Roman" w:ascii="Times New Roman"/>
        </w:rPr>
        <w:t>TEM-95, d.o.o.,</w:t>
      </w:r>
      <w:r>
        <w:rPr>
          <w:rFonts w:hAnsi="Times New Roman" w:ascii="Times New Roman"/>
        </w:rPr>
        <w:t xml:space="preserve"> Zagreb, te je istim za stečajnog upravitelja imenovao Ivana Prpića iz Zagreba.</w:t>
      </w:r>
    </w:p>
    <w:p w:rsidRDefault="00436D0A" w:rsidP="00672B81" w:rsidR="00436D0A">
      <w:pPr>
        <w:jc w:val="both"/>
        <w:rPr>
          <w:rFonts w:hAnsi="Times New Roman" w:ascii="Times New Roman"/>
        </w:rPr>
      </w:pPr>
    </w:p>
    <w:p w:rsidRDefault="00436D0A" w:rsidP="00672B81" w:rsidR="00436D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Protiv navedenog rješenja žalbu je uložio zastupnik po zakonu dužnika do dana nastupanja pravnih posljedica otvaranja stečajnog postupka Emil Tošić. </w:t>
      </w:r>
    </w:p>
    <w:p w:rsidRDefault="00436D0A" w:rsidP="00672B81" w:rsidR="00436D0A">
      <w:pPr>
        <w:jc w:val="both"/>
        <w:rPr>
          <w:rFonts w:hAnsi="Times New Roman" w:ascii="Times New Roman"/>
        </w:rPr>
      </w:pPr>
    </w:p>
    <w:p w:rsidRDefault="00436D0A" w:rsidP="00672B81" w:rsidR="00436D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Visoki trgovački sud Republike Hrvatske, je postupajući po uloženoj žalbi rješenjem poslovni broj Pž-4538/17 od 25. srpnja 2017. ukinuo rješenje ovog suda poslovni broj St-2302/16-23 od 1. lipnja 2017. i predmet vratio sudu na ponovni postupak sa zadatkom sudu radi ocjene da li je razlučni vjerovnik, koji je podnio prijedlog za otvaranje stečajnog postupka, učinio vjerojatnim da se u postupku ovrhe novčanih tražbina ne bi mogao namiriti u potpunosti pa bi mu bilo dopušteno podnošenje prijedloga za otvaranje stečajnog postupka u kojem bi se kao vjerovnik kojemu je dužnik i osobno odgovoran mogao namirivati i kao stečajni vjerovnik. </w:t>
      </w:r>
    </w:p>
    <w:p w:rsidRDefault="00436D0A" w:rsidP="00672B81" w:rsidR="00436D0A">
      <w:pPr>
        <w:jc w:val="both"/>
        <w:rPr>
          <w:rFonts w:hAnsi="Times New Roman" w:ascii="Times New Roman"/>
        </w:rPr>
      </w:pPr>
    </w:p>
    <w:p w:rsidRDefault="00436D0A" w:rsidP="00672B81" w:rsidR="00436D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ponovljenom postupku sud je utvrdio da je podnesen još jedan prijedlog za otvaran</w:t>
      </w:r>
      <w:r w:rsidR="009F6A8E">
        <w:rPr>
          <w:rFonts w:hAnsi="Times New Roman" w:ascii="Times New Roman"/>
        </w:rPr>
        <w:t xml:space="preserve">je stečajnog postupka od strane FINA-e </w:t>
      </w:r>
      <w:r>
        <w:rPr>
          <w:rFonts w:hAnsi="Times New Roman" w:ascii="Times New Roman"/>
        </w:rPr>
        <w:t xml:space="preserve">koji se vodi pod poslovnim brojem St-4550/16 pa je zaključkom od 16. ožujka 2018. zaključio da se na ovaj predmet spoji predmet St-4550/16 sukladno st. 16. st. 6. </w:t>
      </w:r>
      <w:r w:rsidRPr="00436D0A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 xml:space="preserve">, 104/17 - dalje SZ-a), a radi provođenja jedinstvenog postupka i donošenje zajedničke odluke. </w:t>
      </w:r>
    </w:p>
    <w:p w:rsidRDefault="00436D0A" w:rsidP="00672B81" w:rsidR="00436D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</w:p>
    <w:p w:rsidRDefault="00CD565D" w:rsidP="00672B81" w:rsidR="00CD56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prijedlogu za pokretanje stečajnog postupka podnesenom od strane </w:t>
      </w:r>
      <w:r w:rsidR="009F6A8E" w:rsidRPr="009F6A8E">
        <w:rPr>
          <w:rFonts w:hAnsi="Times New Roman" w:ascii="Times New Roman"/>
        </w:rPr>
        <w:t>FINA-e</w:t>
      </w:r>
      <w:r>
        <w:rPr>
          <w:rFonts w:hAnsi="Times New Roman" w:ascii="Times New Roman"/>
        </w:rPr>
        <w:t xml:space="preserve">, temeljem odredbe čl. 444. st. 2. SZ-a </w:t>
      </w:r>
      <w:r w:rsidRPr="00CD565D">
        <w:rPr>
          <w:rFonts w:hAnsi="Times New Roman" w:ascii="Times New Roman"/>
        </w:rPr>
        <w:t>ista navodi da dužnik u Očevidniku redoslijeda osnova za plaćanje na dan 1. rujna 2015. ima evidentirane neizvršene osnove za plaćanje u neprekinutom razdoblju od 734 dana u ukupnom iznosu od 41.062.695,02 kn, te da dužnik ima četiri zaposlenika.</w:t>
      </w:r>
      <w:r>
        <w:rPr>
          <w:rFonts w:hAnsi="Times New Roman" w:ascii="Times New Roman"/>
        </w:rPr>
        <w:t xml:space="preserve"> </w:t>
      </w:r>
    </w:p>
    <w:p w:rsidRDefault="00CD565D" w:rsidP="00672B81" w:rsidR="00CD565D">
      <w:pPr>
        <w:jc w:val="both"/>
        <w:rPr>
          <w:rFonts w:hAnsi="Times New Roman" w:ascii="Times New Roman"/>
        </w:rPr>
      </w:pPr>
    </w:p>
    <w:p w:rsidRDefault="00CD565D" w:rsidP="00672B81" w:rsidR="00CD56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ročište radi utvrđivanje uvjeta za otvaranje stečajnog postupka 8. lipnja 2018. pristupio je predlagatelj CROATIA BANKA d.d. i odgovorna osoba dužnika Emil Tošić, dok predlagatelj Financijska agencija nije pristupio.</w:t>
      </w:r>
    </w:p>
    <w:p w:rsidRDefault="00CD565D" w:rsidP="00672B81" w:rsidR="00CD56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CD565D" w:rsidP="00672B81" w:rsidR="00CD56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 je ostao kod prijedloga za otvaranje stečajnog postupka, te dodao </w:t>
      </w:r>
      <w:r w:rsidRPr="00CD565D">
        <w:rPr>
          <w:rFonts w:hAnsi="Times New Roman" w:ascii="Times New Roman"/>
        </w:rPr>
        <w:t xml:space="preserve">da je i osobni vjerovnik dužnika, budući ima sklopljen Ugovor o otvaranju i vođenju računa za obavljanje prometa u zemlji, te naknade za vođenje tog računa nisu osigurane razlučnim pravom, a iste su u iznosu od 251,44 kn. </w:t>
      </w:r>
    </w:p>
    <w:p w:rsidRDefault="00144646" w:rsidP="00672B81" w:rsidR="00144646">
      <w:pPr>
        <w:jc w:val="both"/>
        <w:rPr>
          <w:rFonts w:hAnsi="Times New Roman" w:ascii="Times New Roman"/>
        </w:rPr>
      </w:pPr>
    </w:p>
    <w:p w:rsidRDefault="00144646" w:rsidP="00672B81" w:rsidR="001446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Odgovorna osoba dužnika je navela da se ne protivi otvaranju stečajnog postupka, priznala navedena dugovanja u cijelosti, te dodala da je žalbu na rješenje o otvaranju stečajnog postupka </w:t>
      </w:r>
      <w:r w:rsidRPr="00144646">
        <w:rPr>
          <w:rFonts w:hAnsi="Times New Roman" w:ascii="Times New Roman"/>
        </w:rPr>
        <w:t xml:space="preserve">uložio budući se u to vrijeme nadao da će društvo moći nastaviti sa poslovanjem, te da će preko Veneto banke uspjeti dignuti kredite, međutim to je propalo, pa i on predlaže da se otvori stečajni postupak. </w:t>
      </w:r>
      <w:r>
        <w:rPr>
          <w:rFonts w:hAnsi="Times New Roman" w:ascii="Times New Roman"/>
        </w:rPr>
        <w:t xml:space="preserve">Isti navodi </w:t>
      </w:r>
      <w:r w:rsidRPr="00144646">
        <w:rPr>
          <w:rFonts w:hAnsi="Times New Roman" w:ascii="Times New Roman"/>
        </w:rPr>
        <w:t>da na današnji da</w:t>
      </w:r>
      <w:r>
        <w:rPr>
          <w:rFonts w:hAnsi="Times New Roman" w:ascii="Times New Roman"/>
        </w:rPr>
        <w:t>n dužnik nema više zaposlenika, a s</w:t>
      </w:r>
      <w:r w:rsidRPr="00144646">
        <w:rPr>
          <w:rFonts w:hAnsi="Times New Roman" w:ascii="Times New Roman"/>
        </w:rPr>
        <w:t>ve nekretnine</w:t>
      </w:r>
      <w:r>
        <w:rPr>
          <w:rFonts w:hAnsi="Times New Roman" w:ascii="Times New Roman"/>
        </w:rPr>
        <w:t xml:space="preserve"> dužnika</w:t>
      </w:r>
      <w:r w:rsidRPr="00144646">
        <w:rPr>
          <w:rFonts w:hAnsi="Times New Roman" w:ascii="Times New Roman"/>
        </w:rPr>
        <w:t xml:space="preserve"> su opterećene razlučnim pravom.</w:t>
      </w:r>
    </w:p>
    <w:p w:rsidRDefault="00144646" w:rsidP="00672B81" w:rsidR="00144646">
      <w:pPr>
        <w:jc w:val="both"/>
        <w:rPr>
          <w:rFonts w:hAnsi="Times New Roman" w:ascii="Times New Roman"/>
        </w:rPr>
      </w:pPr>
    </w:p>
    <w:p w:rsidRDefault="00144646" w:rsidP="00A32891" w:rsidR="00214B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144646">
        <w:rPr>
          <w:rFonts w:hAnsi="Times New Roman" w:ascii="Times New Roman"/>
        </w:rPr>
        <w:t>Provjerom na današnji dan kroz stranicu FINA-e, eBlokade, utvrđeno je da dužnik u Očevidniku neizvršenih osnova za plaćanje ima evidentiran ukupan iznos obveza po svim neizvršenim osnovama za plaćanje s kamatom u iznosu od 78.169.556,18 kn.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U smislu čl. 6. st 2. SZ-a smatrat će se da je dužnik nesposoban za plaćanje ako u Očevidniku redoslijeda osnova za plaćanje koji vodi </w:t>
      </w:r>
      <w:r w:rsidR="009F6A8E">
        <w:rPr>
          <w:rFonts w:hAnsi="Times New Roman" w:ascii="Times New Roman"/>
        </w:rPr>
        <w:t>FINA</w:t>
      </w:r>
      <w:r w:rsidR="009F6A8E" w:rsidRPr="009F6A8E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ima jednu ili više evidentiranih neizvršenih osnova za plaćanje u razdoblju duljem od 60 dana, a koje je trebalo, na temelju valjanih osnova za plaćanje, bez daljnjeg pristanka dužnika naplatiti s bilo kojeg od njegovih računa.</w:t>
      </w:r>
      <w:r w:rsidR="001F7BE0">
        <w:rPr>
          <w:rFonts w:hAnsi="Times New Roman" w:ascii="Times New Roman"/>
        </w:rPr>
        <w:t xml:space="preserve"> </w:t>
      </w:r>
    </w:p>
    <w:p w:rsidRDefault="00F04A75" w:rsidP="001052D3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Kako je  u tijeku prethodnog postupka</w:t>
      </w:r>
      <w:r w:rsidR="001F7BE0">
        <w:rPr>
          <w:rFonts w:hAnsi="Times New Roman" w:ascii="Times New Roman"/>
        </w:rPr>
        <w:t xml:space="preserve">, odlučujući o podnesenim prijedlozima za otvaranje stečajnog postupka CROATIA BANKA d.d. i </w:t>
      </w:r>
      <w:r w:rsidR="009F6A8E">
        <w:rPr>
          <w:rFonts w:hAnsi="Times New Roman" w:ascii="Times New Roman"/>
        </w:rPr>
        <w:t>FINA-a</w:t>
      </w:r>
      <w:r w:rsidR="009F6A8E" w:rsidRPr="009F6A8E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sud</w:t>
      </w:r>
      <w:r w:rsidR="001F7BE0">
        <w:rPr>
          <w:rFonts w:hAnsi="Times New Roman" w:ascii="Times New Roman"/>
        </w:rPr>
        <w:t xml:space="preserve"> nesporno</w:t>
      </w:r>
      <w:r w:rsidRPr="00F04A75">
        <w:rPr>
          <w:rFonts w:hAnsi="Times New Roman" w:ascii="Times New Roman"/>
        </w:rPr>
        <w:t xml:space="preserve"> utvrdio da kod dužnika postoji stečajni razlog - nesposobnost za plaćanje</w:t>
      </w:r>
      <w:r w:rsidR="001F7BE0">
        <w:rPr>
          <w:rFonts w:hAnsi="Times New Roman" w:ascii="Times New Roman"/>
        </w:rPr>
        <w:t>,</w:t>
      </w:r>
      <w:r w:rsidR="001052D3">
        <w:rPr>
          <w:rFonts w:hAnsi="Times New Roman" w:ascii="Times New Roman"/>
        </w:rPr>
        <w:t xml:space="preserve"> a što odgovorna osoba dužnika ne osporava, </w:t>
      </w:r>
      <w:r w:rsidRPr="00F04A75">
        <w:rPr>
          <w:rFonts w:hAnsi="Times New Roman" w:ascii="Times New Roman"/>
        </w:rPr>
        <w:t xml:space="preserve">te kako je utvrđeno da dužnik ima imovinu iz koje se mogu pokriti troškovi stečajnog postupka, to je temeljem odredbe članka 128., 129. i 130. SZ odlučeno kao u izreci ovog rješenja. </w:t>
      </w:r>
    </w:p>
    <w:p w:rsidRDefault="001052D3" w:rsidP="00366712" w:rsidR="001052D3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052D3" w:rsidP="001052D3" w:rsidR="00F04A75">
      <w:pPr>
        <w:ind w:firstLine="708"/>
        <w:jc w:val="both"/>
        <w:rPr>
          <w:rFonts w:hAnsi="Times New Roman" w:ascii="Times New Roman"/>
        </w:rPr>
      </w:pPr>
      <w:r w:rsidRPr="001052D3">
        <w:rPr>
          <w:rFonts w:hAnsi="Times New Roman" w:ascii="Times New Roman"/>
        </w:rPr>
        <w:t>Iz priloženih zemljišnoknjižnih izvadaka proizlazi da je dužnik vlasnik nekretnina opisanih u toč. XI. izreke.</w:t>
      </w:r>
    </w:p>
    <w:p w:rsidRDefault="001052D3" w:rsidP="001052D3" w:rsidR="001052D3" w:rsidRPr="00F04A75">
      <w:pPr>
        <w:ind w:firstLine="708"/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lastRenderedPageBreak/>
        <w:t>Stečajni upravitelj imenovan je u skladu s čl. 84. st. 1. SZ metodom slučajnog odabira s liste A stečajnih up</w:t>
      </w:r>
      <w:r w:rsidR="001052D3">
        <w:rPr>
          <w:rFonts w:hAnsi="Times New Roman" w:ascii="Times New Roman"/>
        </w:rPr>
        <w:t>ravitelja za područje ovog suda rješenjem poslovni broj S</w:t>
      </w:r>
      <w:r w:rsidR="00745364">
        <w:rPr>
          <w:rFonts w:hAnsi="Times New Roman" w:ascii="Times New Roman"/>
        </w:rPr>
        <w:t>t-2302/16-23 od 1. lipnja 2017., te je isti, a budući je odredbom čl. 158. st. 2. SZ-a propisano da ukoliko rješenje o otvaranju stečajnog postupka u povodu žalbe bude ukinuto, a u ponovnom postupku stečajni postupak bude opet otvoren smatrati će se da su pravne posljedice otvaranja stečajnog postupka nastupile u trenutku kada je prvo rješenje o otvaranju stečajnog postupka objavljenoj na mrežnoj stranici e-Oglasna ploča sudova, slijedom čega je i odlučeno kao pod toč. III. ovog rješenja, valjalo ponovo imenovati istog za stečajnog upravitelja.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4536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  <w:r w:rsidR="00326F6F">
        <w:rPr>
          <w:rFonts w:hAnsi="Times New Roman" w:ascii="Times New Roman"/>
        </w:rPr>
        <w:t xml:space="preserve"> lipnja</w:t>
      </w:r>
      <w:r w:rsidR="005E6096">
        <w:rPr>
          <w:rFonts w:hAnsi="Times New Roman" w:ascii="Times New Roman"/>
        </w:rPr>
        <w:t xml:space="preserve"> 201</w:t>
      </w:r>
      <w:r w:rsidR="0074536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FF04DC">
        <w:rPr>
          <w:rFonts w:hAnsi="Times New Roman" w:ascii="Times New Roman"/>
        </w:rPr>
        <w:t>,v.r.</w:t>
      </w:r>
    </w:p>
    <w:p w:rsidRDefault="00FF04DC" w:rsidP="004E4B56" w:rsidR="00FF04DC">
      <w:pPr>
        <w:jc w:val="right"/>
        <w:rPr>
          <w:rFonts w:hAnsi="Times New Roman" w:ascii="Times New Roman"/>
        </w:rPr>
      </w:pPr>
    </w:p>
    <w:p w:rsidRDefault="00FF04DC" w:rsidP="004E4B56" w:rsidR="00FF04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F04DC" w:rsidP="004E4B56" w:rsidR="00FF04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F04DC" w:rsidP="004E4B56" w:rsidR="00FF04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376BB1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A10D36" w:rsidP="00FF04DC" w:rsidR="00A10D36" w:rsidRPr="00FF04DC">
      <w:pPr>
        <w:rPr>
          <w:rFonts w:hAnsi="Times New Roman" w:ascii="Times New Roman"/>
        </w:rPr>
      </w:pPr>
    </w:p>
    <w:sectPr w:rsidSect="00853AD5" w:rsidR="00A10D36" w:rsidRPr="00FF04DC">
      <w:headerReference w:type="default" r:id="rId11"/>
      <w:headerReference w:type="first" r:id="rId12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4DC">
          <w:rPr>
            <w:noProof/>
          </w:rPr>
          <w:t>5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745364" w:rsidRPr="00745364">
          <w:rPr>
            <w:rFonts w:hAnsi="Times New Roman" w:ascii="Times New Roman"/>
          </w:rPr>
          <w:t>3  St-2302/16-50</w:t>
        </w:r>
      </w:p>
      <w:p w:rsidRDefault="00FF04DC" w:rsidR="0060670C">
        <w:pPr>
          <w:pStyle w:val="Zaglavlje"/>
          <w:jc w:val="center"/>
        </w:pPr>
      </w:p>
    </w:sdtContent>
  </w:sdt>
  <w:p w:rsidRDefault="00FF04DC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F6F" w:rsidP="00326F6F" w:rsidR="00326F6F" w:rsidRPr="00326F6F">
    <w:pPr>
      <w:pStyle w:val="Zaglavlje"/>
      <w:jc w:val="right"/>
      <w:rPr>
        <w:rFonts w:hAnsi="Times New Roman" w:ascii="Times New Roman"/>
      </w:rPr>
    </w:pPr>
    <w:r w:rsidRPr="00326F6F">
      <w:rPr>
        <w:rFonts w:hAnsi="Times New Roman" w:ascii="Times New Roman"/>
      </w:rPr>
      <w:t>3  St-</w:t>
    </w:r>
    <w:r>
      <w:rPr>
        <w:rFonts w:hAnsi="Times New Roman" w:ascii="Times New Roman"/>
      </w:rPr>
      <w:t>2302</w:t>
    </w:r>
    <w:r w:rsidRPr="00326F6F">
      <w:rPr>
        <w:rFonts w:hAnsi="Times New Roman" w:ascii="Times New Roman"/>
      </w:rPr>
      <w:t>/16</w:t>
    </w:r>
    <w:r w:rsidR="00B43828">
      <w:rPr>
        <w:rFonts w:hAnsi="Times New Roman" w:ascii="Times New Roman"/>
      </w:rPr>
      <w:t>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4627A"/>
    <w:rsid w:val="00055BAF"/>
    <w:rsid w:val="000609DE"/>
    <w:rsid w:val="000617E0"/>
    <w:rsid w:val="00066B84"/>
    <w:rsid w:val="00092E8E"/>
    <w:rsid w:val="00096301"/>
    <w:rsid w:val="00096468"/>
    <w:rsid w:val="00097ED4"/>
    <w:rsid w:val="000A302D"/>
    <w:rsid w:val="000B7D96"/>
    <w:rsid w:val="000C7E1A"/>
    <w:rsid w:val="000E28DB"/>
    <w:rsid w:val="000E3302"/>
    <w:rsid w:val="001052D3"/>
    <w:rsid w:val="00117232"/>
    <w:rsid w:val="00121605"/>
    <w:rsid w:val="00135331"/>
    <w:rsid w:val="00144646"/>
    <w:rsid w:val="00144FF4"/>
    <w:rsid w:val="001539D2"/>
    <w:rsid w:val="00164E08"/>
    <w:rsid w:val="0016710C"/>
    <w:rsid w:val="00181C25"/>
    <w:rsid w:val="0019399D"/>
    <w:rsid w:val="001A1A01"/>
    <w:rsid w:val="001A5720"/>
    <w:rsid w:val="001A719F"/>
    <w:rsid w:val="001C1992"/>
    <w:rsid w:val="001D6B40"/>
    <w:rsid w:val="001E70AB"/>
    <w:rsid w:val="001F7BE0"/>
    <w:rsid w:val="00200FA9"/>
    <w:rsid w:val="00210B7B"/>
    <w:rsid w:val="00214BD1"/>
    <w:rsid w:val="002207BD"/>
    <w:rsid w:val="002246F6"/>
    <w:rsid w:val="00252CB5"/>
    <w:rsid w:val="002775D1"/>
    <w:rsid w:val="00277787"/>
    <w:rsid w:val="00277D1E"/>
    <w:rsid w:val="0029417D"/>
    <w:rsid w:val="002C7DDA"/>
    <w:rsid w:val="002D485F"/>
    <w:rsid w:val="002D609A"/>
    <w:rsid w:val="002E663A"/>
    <w:rsid w:val="0030549D"/>
    <w:rsid w:val="0031075D"/>
    <w:rsid w:val="003114E0"/>
    <w:rsid w:val="00324C0A"/>
    <w:rsid w:val="003259A6"/>
    <w:rsid w:val="00326F6F"/>
    <w:rsid w:val="003422B3"/>
    <w:rsid w:val="00366712"/>
    <w:rsid w:val="003720E5"/>
    <w:rsid w:val="00376BB1"/>
    <w:rsid w:val="00395F7D"/>
    <w:rsid w:val="003B4539"/>
    <w:rsid w:val="003B5118"/>
    <w:rsid w:val="003E27FB"/>
    <w:rsid w:val="0042534A"/>
    <w:rsid w:val="00436D0A"/>
    <w:rsid w:val="00442062"/>
    <w:rsid w:val="00445660"/>
    <w:rsid w:val="004531A7"/>
    <w:rsid w:val="00456E7D"/>
    <w:rsid w:val="004877BE"/>
    <w:rsid w:val="004B0859"/>
    <w:rsid w:val="004C28B3"/>
    <w:rsid w:val="004D1595"/>
    <w:rsid w:val="004E4B56"/>
    <w:rsid w:val="004E5711"/>
    <w:rsid w:val="00520AA8"/>
    <w:rsid w:val="0052756B"/>
    <w:rsid w:val="00541252"/>
    <w:rsid w:val="00574EB0"/>
    <w:rsid w:val="005C3DA6"/>
    <w:rsid w:val="005E6096"/>
    <w:rsid w:val="005F06BF"/>
    <w:rsid w:val="005F7E02"/>
    <w:rsid w:val="00601A6F"/>
    <w:rsid w:val="00607F1E"/>
    <w:rsid w:val="006112DD"/>
    <w:rsid w:val="00646ADE"/>
    <w:rsid w:val="00672B81"/>
    <w:rsid w:val="006753BD"/>
    <w:rsid w:val="006862D5"/>
    <w:rsid w:val="006A7CBC"/>
    <w:rsid w:val="006C36A3"/>
    <w:rsid w:val="006D4B6B"/>
    <w:rsid w:val="006D50C3"/>
    <w:rsid w:val="006F0AA4"/>
    <w:rsid w:val="007230A2"/>
    <w:rsid w:val="00733BA9"/>
    <w:rsid w:val="00737A04"/>
    <w:rsid w:val="00745364"/>
    <w:rsid w:val="00763EE5"/>
    <w:rsid w:val="00775029"/>
    <w:rsid w:val="007D1585"/>
    <w:rsid w:val="007D2C90"/>
    <w:rsid w:val="007E7CDD"/>
    <w:rsid w:val="007F50E6"/>
    <w:rsid w:val="007F55CA"/>
    <w:rsid w:val="00813D04"/>
    <w:rsid w:val="00827435"/>
    <w:rsid w:val="00853AD5"/>
    <w:rsid w:val="00866493"/>
    <w:rsid w:val="008753F6"/>
    <w:rsid w:val="00890C40"/>
    <w:rsid w:val="008E5AF0"/>
    <w:rsid w:val="008F5D28"/>
    <w:rsid w:val="00917891"/>
    <w:rsid w:val="00966407"/>
    <w:rsid w:val="009701A0"/>
    <w:rsid w:val="00975607"/>
    <w:rsid w:val="00997385"/>
    <w:rsid w:val="009A3B81"/>
    <w:rsid w:val="009B1C47"/>
    <w:rsid w:val="009B3948"/>
    <w:rsid w:val="009D733B"/>
    <w:rsid w:val="009E0674"/>
    <w:rsid w:val="009E4DE4"/>
    <w:rsid w:val="009F6A8E"/>
    <w:rsid w:val="00A042FC"/>
    <w:rsid w:val="00A0521B"/>
    <w:rsid w:val="00A05369"/>
    <w:rsid w:val="00A10D36"/>
    <w:rsid w:val="00A15F4F"/>
    <w:rsid w:val="00A1760B"/>
    <w:rsid w:val="00A265B2"/>
    <w:rsid w:val="00A32891"/>
    <w:rsid w:val="00A721EC"/>
    <w:rsid w:val="00A858E5"/>
    <w:rsid w:val="00A85C1E"/>
    <w:rsid w:val="00A85CC6"/>
    <w:rsid w:val="00A96B27"/>
    <w:rsid w:val="00AC09A6"/>
    <w:rsid w:val="00B028D4"/>
    <w:rsid w:val="00B04B0C"/>
    <w:rsid w:val="00B07F88"/>
    <w:rsid w:val="00B10043"/>
    <w:rsid w:val="00B12C85"/>
    <w:rsid w:val="00B15983"/>
    <w:rsid w:val="00B27891"/>
    <w:rsid w:val="00B43828"/>
    <w:rsid w:val="00B51193"/>
    <w:rsid w:val="00B525A7"/>
    <w:rsid w:val="00B531B6"/>
    <w:rsid w:val="00B77427"/>
    <w:rsid w:val="00B92034"/>
    <w:rsid w:val="00BA218D"/>
    <w:rsid w:val="00BA42E7"/>
    <w:rsid w:val="00BA6D04"/>
    <w:rsid w:val="00BB36D2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D4EE3"/>
    <w:rsid w:val="00CD565D"/>
    <w:rsid w:val="00CE7EFE"/>
    <w:rsid w:val="00CF2F20"/>
    <w:rsid w:val="00CF5826"/>
    <w:rsid w:val="00D3047F"/>
    <w:rsid w:val="00D34DAB"/>
    <w:rsid w:val="00D42E48"/>
    <w:rsid w:val="00D636DC"/>
    <w:rsid w:val="00D810BF"/>
    <w:rsid w:val="00D930C1"/>
    <w:rsid w:val="00DC6A19"/>
    <w:rsid w:val="00DC7F04"/>
    <w:rsid w:val="00DE4D8C"/>
    <w:rsid w:val="00E0131D"/>
    <w:rsid w:val="00E12D2E"/>
    <w:rsid w:val="00E35DA4"/>
    <w:rsid w:val="00E44885"/>
    <w:rsid w:val="00E53D03"/>
    <w:rsid w:val="00E5782A"/>
    <w:rsid w:val="00E64B06"/>
    <w:rsid w:val="00E77836"/>
    <w:rsid w:val="00EE15A7"/>
    <w:rsid w:val="00EE2F04"/>
    <w:rsid w:val="00EE3771"/>
    <w:rsid w:val="00F04A75"/>
    <w:rsid w:val="00F115F0"/>
    <w:rsid w:val="00F75C06"/>
    <w:rsid w:val="00F8402F"/>
    <w:rsid w:val="00F84809"/>
    <w:rsid w:val="00FB77B4"/>
    <w:rsid w:val="00FE1BD6"/>
    <w:rsid w:val="00FF04DC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4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4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6BE55-9C58-4B62-AAC2-09AD9344A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1924</properties:Words>
  <properties:Characters>10407</properties:Characters>
  <properties:Lines>214</properties:Lines>
  <properties:Paragraphs>55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2018-06-08T10:19:00Z</dcterms:created>
  <dc:creator>Gordana Grčić</dc:creator>
  <cp:lastModifiedBy>Žana Livaja</cp:lastModifiedBy>
  <cp:lastPrinted>2017-06-01T11:43:00Z</cp:lastPrinted>
  <dcterms:modified xmlns:xsi="http://www.w3.org/2001/XMLSchema-instance" xsi:type="dcterms:W3CDTF">2018-06-08T12:04:00Z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---St-2302-16-----8.6.18..docx)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