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ce9bb" w14:paraId="5bce9bb" w:rsidRDefault="00AA0FDC" w:rsidP="00AA0FDC" w:rsidR="00CB6C48" w:rsidRPr="00CB6C48">
      <w:pPr>
        <w:tabs>
          <w:tab w:pos="6073" w:val="left"/>
        </w:tabs>
        <w:spacing w:lineRule="auto" w:line="240" w:after="0"/>
        <w:jc w:val="right"/>
        <w15:collapsed w:val="false"/>
        <w:rPr>
          <w:rFonts w:cs="Times New Roman" w:eastAsia="Calibri" w:hAnsi="Times New Roman" w:ascii="Times New Roman"/>
          <w:sz w:val="24"/>
          <w:szCs w:val="24"/>
        </w:rPr>
      </w:pPr>
      <w:bookmarkStart w:name="_GoBack" w:id="0"/>
      <w:bookmarkEnd w:id="0"/>
      <w:r>
        <w:rPr>
          <w:rFonts w:cs="Times New Roman" w:eastAsia="Calibri" w:hAnsi="Times New Roman" w:ascii="Times New Roman"/>
          <w:sz w:val="24"/>
          <w:szCs w:val="24"/>
        </w:rPr>
        <w:tab/>
        <w:t>24 Pž-3169/2018-2</w:t>
      </w:r>
    </w:p>
    <w:p w:rsidRDefault="00CB6C48" w:rsidP="00CB6C48" w:rsidR="00CB6C48" w:rsidRPr="00CB6C48">
      <w:pPr>
        <w:spacing w:lineRule="auto" w:line="240" w:after="0"/>
        <w:jc w:val="both"/>
        <w:rPr>
          <w:rFonts w:cs="Times New Roman" w:eastAsia="Calibri" w:hAnsi="Times New Roman" w:ascii="Times New Roman"/>
          <w:sz w:val="24"/>
          <w:szCs w:val="24"/>
        </w:rPr>
      </w:pPr>
    </w:p>
    <w:p w:rsidRDefault="00AA0FDC" w:rsidP="00AA0FDC" w:rsidR="00AA0FDC" w:rsidRPr="00AA0FDC">
      <w:pPr>
        <w:spacing w:lineRule="auto" w:line="240" w:after="0"/>
        <w:jc w:val="both"/>
        <w:rPr>
          <w:rFonts w:cs="Times New Roman" w:eastAsia="Calibri" w:hAnsi="Times New Roman" w:ascii="Times New Roman"/>
          <w:sz w:val="24"/>
          <w:szCs w:val="24"/>
        </w:rPr>
      </w:pPr>
      <w:r w:rsidRPr="00AA0FDC">
        <w:rPr>
          <w:rFonts w:cs="Times New Roman" w:eastAsia="Calibri" w:hAnsi="Times New Roman" w:ascii="Times New Roman"/>
          <w:sz w:val="24"/>
          <w:szCs w:val="24"/>
        </w:rPr>
        <w:t xml:space="preserve">                                  </w:t>
      </w:r>
      <w:r>
        <w:rPr>
          <w:rFonts w:cs="Times New Roman" w:eastAsia="Calibri" w:hAnsi="Times New Roman" w:ascii="Times New Roman"/>
          <w:sz w:val="24"/>
          <w:szCs w:val="24"/>
        </w:rPr>
        <w:t xml:space="preserve">   </w:t>
      </w:r>
      <w:r w:rsidRPr="00AA0FDC">
        <w:rPr>
          <w:rFonts w:cs="Times New Roman" w:eastAsia="Calibri" w:hAnsi="Times New Roman" w:ascii="Times New Roman"/>
          <w:noProof/>
          <w:sz w:val="24"/>
          <w:szCs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AA0FDC" w:rsidP="00AA0FDC" w:rsidR="00AA0FDC" w:rsidRPr="00AA0FDC">
      <w:pPr>
        <w:spacing w:lineRule="auto" w:line="240" w:after="0"/>
        <w:jc w:val="both"/>
        <w:rPr>
          <w:rFonts w:cs="Times New Roman" w:eastAsia="Calibri" w:hAnsi="Times New Roman" w:ascii="Times New Roman"/>
          <w:bCs/>
          <w:sz w:val="24"/>
          <w:szCs w:val="24"/>
        </w:rPr>
      </w:pPr>
      <w:r w:rsidRPr="00AA0FDC">
        <w:rPr>
          <w:rFonts w:cs="Times New Roman" w:eastAsia="Calibri" w:hAnsi="Times New Roman" w:ascii="Times New Roman"/>
          <w:bCs/>
          <w:sz w:val="24"/>
          <w:szCs w:val="24"/>
        </w:rPr>
        <w:t xml:space="preserve">                        REPUBLIKA HRVATSKA</w:t>
      </w:r>
    </w:p>
    <w:p w:rsidRDefault="00AA0FDC" w:rsidP="00AA0FDC" w:rsidR="00AA0FDC" w:rsidRPr="00AA0FDC">
      <w:pPr>
        <w:spacing w:lineRule="auto" w:line="240" w:after="0"/>
        <w:jc w:val="both"/>
        <w:rPr>
          <w:rFonts w:cs="Times New Roman" w:eastAsia="Calibri" w:hAnsi="Times New Roman" w:ascii="Times New Roman"/>
          <w:bCs/>
          <w:sz w:val="24"/>
          <w:szCs w:val="24"/>
        </w:rPr>
      </w:pPr>
      <w:r w:rsidRPr="00AA0FDC">
        <w:rPr>
          <w:rFonts w:cs="Times New Roman" w:eastAsia="Calibri" w:hAnsi="Times New Roman" w:ascii="Times New Roman"/>
          <w:bCs/>
          <w:sz w:val="24"/>
          <w:szCs w:val="24"/>
        </w:rPr>
        <w:t>VISOKI TRGOVAČKI SUD REPUBLIKE  HRVATSKE</w:t>
      </w:r>
    </w:p>
    <w:p w:rsidRDefault="00AA0FDC" w:rsidP="00CB6C48" w:rsidR="00CB6C48" w:rsidRPr="00CB6C48">
      <w:pPr>
        <w:spacing w:lineRule="auto" w:line="240" w:after="0"/>
        <w:jc w:val="both"/>
        <w:rPr>
          <w:rFonts w:cs="Times New Roman" w:eastAsia="Calibri" w:hAnsi="Times New Roman" w:ascii="Times New Roman"/>
          <w:sz w:val="24"/>
          <w:szCs w:val="24"/>
        </w:rPr>
      </w:pPr>
      <w:r w:rsidRPr="00AA0FDC">
        <w:rPr>
          <w:rFonts w:cs="Times New Roman" w:eastAsia="Calibri" w:hAnsi="Times New Roman" w:ascii="Times New Roman"/>
          <w:bCs/>
          <w:sz w:val="24"/>
          <w:szCs w:val="24"/>
        </w:rPr>
        <w:t xml:space="preserve">                                    Z A G R E B</w:t>
      </w:r>
    </w:p>
    <w:p w:rsidRDefault="00CB6C48" w:rsidP="00CB6C48" w:rsidR="00CB6C48" w:rsidRPr="00CB6C48">
      <w:pPr>
        <w:spacing w:lineRule="auto" w:line="240" w:after="0"/>
        <w:jc w:val="both"/>
        <w:rPr>
          <w:rFonts w:cs="Times New Roman" w:eastAsia="Calibri" w:hAnsi="Times New Roman" w:ascii="Times New Roman"/>
          <w:sz w:val="24"/>
          <w:szCs w:val="24"/>
        </w:rPr>
      </w:pPr>
    </w:p>
    <w:p w:rsidRDefault="00CB6C48" w:rsidP="00CB6C48" w:rsidR="00CB6C48" w:rsidRPr="00CB6C48">
      <w:pPr>
        <w:spacing w:lineRule="auto" w:line="240" w:after="0"/>
        <w:jc w:val="both"/>
        <w:rPr>
          <w:rFonts w:cs="Times New Roman" w:eastAsia="Calibri" w:hAnsi="Times New Roman" w:ascii="Times New Roman"/>
          <w:sz w:val="24"/>
          <w:szCs w:val="24"/>
        </w:rPr>
      </w:pPr>
    </w:p>
    <w:p w:rsidRDefault="00CB6C48" w:rsidP="00CB6C48" w:rsidR="00CB6C48" w:rsidRPr="00CB6C48">
      <w:pPr>
        <w:spacing w:lineRule="auto" w:line="240" w:after="0"/>
        <w:jc w:val="center"/>
        <w:rPr>
          <w:rFonts w:cs="Times New Roman" w:eastAsia="Calibri" w:hAnsi="Times New Roman" w:ascii="Times New Roman"/>
          <w:sz w:val="24"/>
          <w:szCs w:val="24"/>
        </w:rPr>
      </w:pPr>
      <w:r w:rsidRPr="00CB6C48">
        <w:rPr>
          <w:rFonts w:cs="Times New Roman" w:eastAsia="Calibri" w:hAnsi="Times New Roman" w:ascii="Times New Roman"/>
          <w:sz w:val="24"/>
          <w:szCs w:val="24"/>
        </w:rPr>
        <w:t>R E P U B L I K A   H R V A T S K A</w:t>
      </w:r>
    </w:p>
    <w:p w:rsidRDefault="00CB6C48" w:rsidP="00CB6C48" w:rsidR="00CB6C48" w:rsidRPr="00CB6C48">
      <w:pPr>
        <w:spacing w:lineRule="auto" w:line="240" w:after="0"/>
        <w:jc w:val="center"/>
        <w:rPr>
          <w:rFonts w:cs="Times New Roman" w:eastAsia="Calibri" w:hAnsi="Times New Roman" w:ascii="Times New Roman"/>
          <w:sz w:val="24"/>
          <w:szCs w:val="24"/>
        </w:rPr>
      </w:pPr>
    </w:p>
    <w:p w:rsidRDefault="00CB6C48" w:rsidP="00CB6C48" w:rsidR="00CB6C48" w:rsidRPr="00CB6C48">
      <w:pPr>
        <w:spacing w:lineRule="auto" w:line="240" w:after="0"/>
        <w:jc w:val="center"/>
        <w:rPr>
          <w:rFonts w:cs="Times New Roman" w:eastAsia="Calibri" w:hAnsi="Times New Roman" w:ascii="Times New Roman"/>
          <w:sz w:val="24"/>
          <w:szCs w:val="24"/>
        </w:rPr>
      </w:pPr>
      <w:r w:rsidRPr="00CB6C48">
        <w:rPr>
          <w:rFonts w:cs="Times New Roman" w:eastAsia="Calibri" w:hAnsi="Times New Roman" w:ascii="Times New Roman"/>
          <w:sz w:val="24"/>
          <w:szCs w:val="24"/>
        </w:rPr>
        <w:t>R J E Š E NJ E</w:t>
      </w:r>
    </w:p>
    <w:p w:rsidRDefault="00CB6C48" w:rsidP="00CB6C48" w:rsidR="00CB6C48" w:rsidRPr="00CB6C48">
      <w:pPr>
        <w:spacing w:lineRule="auto" w:line="240" w:after="0"/>
        <w:jc w:val="both"/>
        <w:rPr>
          <w:rFonts w:cs="Times New Roman" w:eastAsia="Calibri" w:hAnsi="Times New Roman" w:ascii="Times New Roman"/>
          <w:sz w:val="20"/>
          <w:szCs w:val="20"/>
        </w:rPr>
      </w:pPr>
    </w:p>
    <w:p w:rsidRDefault="00CB6C48" w:rsidP="00CB6C48" w:rsidR="00CB6C48" w:rsidRPr="00CB6C48">
      <w:pPr>
        <w:spacing w:lineRule="auto" w:line="240" w:after="0"/>
        <w:jc w:val="both"/>
        <w:rPr>
          <w:rFonts w:cs="Times New Roman" w:eastAsia="Calibri" w:hAnsi="Times New Roman" w:ascii="Times New Roman"/>
          <w:sz w:val="20"/>
          <w:szCs w:val="20"/>
        </w:rPr>
      </w:pPr>
    </w:p>
    <w:p w:rsidRDefault="00CB6C48" w:rsidP="00AA0FDC"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 xml:space="preserve">Visoki trgovački sud Republike Hrvatske, u vijeću sastavljenom od sudaca Gorane Aralice Martinović, predsjednice vijeća, Kamelije Parać, sutkinje izvjestiteljice te Maje Bilandžić, članice vijeća, u stečajnom postupku nad dužnikom IDM-OPREMA d.o.o. u stečaju, Vrbovec, 1. svibnja 1, OIB 38991215498, odlučujući o žalbi stečajnog vjerovnika REPUBLIKA HRVATSKA, OIB 52634238587, kojeg zastupa Županijsko državno odvjetništvo u Velikoj Gorici, protiv rješenja Trgovačkog suda u Zagrebu poslovni broj </w:t>
      </w:r>
      <w:r w:rsidRPr="00CB6C48">
        <w:rPr>
          <w:rFonts w:cs="Times New Roman" w:eastAsia="Calibri" w:hAnsi="Times New Roman" w:ascii="Times New Roman"/>
          <w:sz w:val="24"/>
          <w:szCs w:val="24"/>
        </w:rPr>
        <w:br/>
        <w:t>St-1685/2011-71 i rješenja poslovni broj St-1685/2011-72 od 26. travnja 2018., u sjednici vijeća održanoj 24. svibnja 2018.</w:t>
      </w:r>
    </w:p>
    <w:p w:rsidRDefault="00CB6C48" w:rsidP="00CB6C48" w:rsidR="00CB6C48" w:rsidRPr="00CB6C48">
      <w:pPr>
        <w:spacing w:lineRule="auto" w:line="240" w:after="0"/>
        <w:jc w:val="center"/>
        <w:rPr>
          <w:rFonts w:cs="Times New Roman" w:eastAsia="Calibri" w:hAnsi="Times New Roman" w:ascii="Times New Roman"/>
          <w:sz w:val="24"/>
          <w:szCs w:val="24"/>
        </w:rPr>
      </w:pPr>
      <w:r w:rsidRPr="00CB6C48">
        <w:rPr>
          <w:rFonts w:cs="Times New Roman" w:eastAsia="Calibri" w:hAnsi="Times New Roman" w:ascii="Times New Roman"/>
          <w:sz w:val="24"/>
          <w:szCs w:val="24"/>
        </w:rPr>
        <w:t>r i j e š i o   j e</w:t>
      </w:r>
    </w:p>
    <w:p w:rsidRDefault="00CB6C48" w:rsidP="00CB6C48" w:rsidR="00CB6C48" w:rsidRPr="00CB6C48">
      <w:pPr>
        <w:spacing w:lineRule="auto" w:line="240" w:after="0"/>
        <w:jc w:val="both"/>
        <w:rPr>
          <w:rFonts w:cs="Times New Roman" w:eastAsia="Calibri" w:hAnsi="Times New Roman" w:ascii="Times New Roman"/>
          <w:sz w:val="20"/>
          <w:szCs w:val="20"/>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Ukidaju se rješenja Trgovačkog suda u Zagrebu poslovni broj St-1685/2011-71 i poslovni broj St-1685/2011-72 od 26. travnja 2018. te predmet vraća tom sudu na ponovan postupak.</w:t>
      </w:r>
    </w:p>
    <w:p w:rsidRDefault="00CB6C48" w:rsidP="00CB6C48" w:rsidR="00CB6C48" w:rsidRPr="00CB6C48">
      <w:pPr>
        <w:spacing w:lineRule="auto" w:line="240" w:after="0"/>
        <w:jc w:val="center"/>
        <w:rPr>
          <w:rFonts w:cs="Times New Roman" w:eastAsia="Calibri" w:hAnsi="Times New Roman" w:ascii="Times New Roman"/>
          <w:sz w:val="24"/>
          <w:szCs w:val="24"/>
        </w:rPr>
      </w:pPr>
      <w:r w:rsidRPr="00CB6C48">
        <w:rPr>
          <w:rFonts w:cs="Times New Roman" w:eastAsia="Calibri" w:hAnsi="Times New Roman" w:ascii="Times New Roman"/>
          <w:sz w:val="24"/>
          <w:szCs w:val="24"/>
        </w:rPr>
        <w:t>Obrazloženje</w:t>
      </w:r>
    </w:p>
    <w:p w:rsidRDefault="00CB6C48" w:rsidP="00CB6C48" w:rsidR="00CB6C48" w:rsidRPr="00CB6C48">
      <w:pPr>
        <w:spacing w:lineRule="auto" w:line="240" w:after="0"/>
        <w:jc w:val="both"/>
        <w:rPr>
          <w:rFonts w:cs="Times New Roman" w:eastAsia="Calibri" w:hAnsi="Times New Roman" w:ascii="Times New Roman"/>
          <w:sz w:val="20"/>
          <w:szCs w:val="20"/>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Rješenjem poslovni broj St-1685/2011-71 od 26. travnja 2018. u točki I. izreke određena je privremenom stečajnom upravitelju mr. sc. Mladenu Selecu na ime nagrade za obavljanje poslova u prethodnom postupku, nagrada u iznosu od 5.000,00 kn neto. U točki II. izreke određeno je da porezi i doprinosi na neto isplaćen iznos nagrade određene privremenom stečajnom upravitelju prema stavku I. izreke ovog rješenja, terete troškove stečajnog postupka.</w:t>
      </w:r>
    </w:p>
    <w:p w:rsidRDefault="00CB6C48" w:rsidP="00CB6C48" w:rsidR="00CB6C48" w:rsidRPr="00CB6C48">
      <w:pPr>
        <w:spacing w:lineRule="auto" w:line="240" w:after="0"/>
        <w:jc w:val="both"/>
        <w:rPr>
          <w:rFonts w:cs="Times New Roman" w:eastAsia="Calibri" w:hAnsi="Times New Roman" w:ascii="Times New Roman"/>
          <w:sz w:val="20"/>
          <w:szCs w:val="20"/>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Rješenjem poslovni broj poslovni broj St-1685/2011-72 od 26. travnja 2018. u točki I. izreke stečajnom upravitelju mr. sc. Mladenu Selecu na ime nagrade u ovom stečajnom postupku određen je  iznos od 47.870,90 kn neto. U točki II. izreke određeno je da porezi i doprinosi na neto isplaćen iznos nagrade određene stečajnom upravitelju prema stavku I. izreke ovog rješenja, terete troškove stečajnog postupka.</w:t>
      </w:r>
    </w:p>
    <w:p w:rsidRDefault="00CB6C48" w:rsidP="00CB6C48" w:rsidR="00CB6C48" w:rsidRPr="00CB6C48">
      <w:pPr>
        <w:spacing w:lineRule="auto" w:line="240" w:after="0"/>
        <w:ind w:firstLine="708"/>
        <w:jc w:val="both"/>
        <w:rPr>
          <w:rFonts w:cs="Times New Roman" w:eastAsia="Calibri" w:hAnsi="Times New Roman" w:ascii="Times New Roman"/>
          <w:sz w:val="20"/>
          <w:szCs w:val="20"/>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Protiv oba rješenja žalbu je podnio stečajni vjerovnik Republika Hrvatska zbog svih žalbenih razloga. U žalbi u bitnom navodi da je sud pogrešno odredio stečajnom upravitelju nagradu te ističe da je tijekom postupka u više navrata upozoravao na nezakoniti rad stečajnog upravitelja. Predložio je da se oba rješenja ukinu i predmet vrati prvostupanjskom sudu na ponovan postupak.</w:t>
      </w:r>
    </w:p>
    <w:p w:rsidRDefault="00CB6C48" w:rsidP="00CB6C48" w:rsidR="00CB6C48" w:rsidRPr="00CB6C48">
      <w:pPr>
        <w:spacing w:lineRule="auto" w:line="240" w:after="0"/>
        <w:jc w:val="both"/>
        <w:rPr>
          <w:rFonts w:cs="Times New Roman" w:eastAsia="Calibri" w:hAnsi="Times New Roman" w:ascii="Times New Roman"/>
          <w:sz w:val="20"/>
          <w:szCs w:val="20"/>
        </w:rPr>
      </w:pPr>
    </w:p>
    <w:p w:rsidRDefault="00CB6C48" w:rsidP="00CB6C48" w:rsidR="00CB6C48" w:rsidRPr="00CB6C48">
      <w:pPr>
        <w:spacing w:lineRule="auto" w:line="240" w:after="0"/>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ab/>
        <w:t xml:space="preserve">Žalba je osnovana. </w:t>
      </w:r>
    </w:p>
    <w:p w:rsidRDefault="00CB6C48" w:rsidP="00CB6C48" w:rsidR="00CB6C48" w:rsidRPr="00CB6C48">
      <w:pPr>
        <w:spacing w:lineRule="auto" w:line="240" w:after="0"/>
        <w:jc w:val="both"/>
        <w:rPr>
          <w:rFonts w:cs="Times New Roman" w:eastAsia="Calibri" w:hAnsi="Times New Roman" w:ascii="Times New Roman"/>
          <w:sz w:val="24"/>
          <w:szCs w:val="24"/>
        </w:rPr>
      </w:pPr>
    </w:p>
    <w:p w:rsidRDefault="00AA0FDC" w:rsidP="00CB6C48" w:rsidR="00AA0FDC">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Pobijana rješenja ispitana su na temelju odredbe čl. 365. st. 1. i 2. u vezi s čl. 381. Zakona o parničnom postupku („Narodne novine“ broj 148/11- pročišćeni tekst i 25/13; dalje: ZPP) u vezi s odredbom čl. 6. SZ-a te je utvrđeno da se oba rješenja ne mogu ispitati jer im nedostaju razlozi o odlučnim činjenicama čime su rješenja zahvaćena bitnom povredom odredaba parničnog postupka iz čl. 354. st. 2. t. 11. ZPP-a u vezi s čl. 6. SZ-a na koju pravilno ukazuje žalba.</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AA0FDC" w:rsidP="00CB6C48" w:rsidR="00AA0FDC">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U odnosu na rješenje poslovni broj St-1685/11-71 od 26. travnja 2018.</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Prema odredbi čl. 7. st. 1. i 3. Uredbe o kriterijima i načinu obračuna i plaćanja nagrada stečajnim upraviteljima („Narodne novine“ broj 189/03; dalje: Uredba) koju je prvostupanjski sud pravilno primijenio, privremenom stečajnom upravitelju pripada pravo na jednokratnu nagradu za poslove obavljene u prethodnom postupku (postupku ispitivanja uvjeta za otvaranje stečajnog postupka kao i u slučaju kad se stečajni postupak tijekom prethodnog postupka obustavi) u maksimalnom iznosu od 10.000,00 kn.</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Međutim, iz navedene odredbe proizlazi da ta nagrada nije jednaka za svaki prethodni postupak u kojem je imenovan privremeni stečajni upravitelj, već je stečajni sudac dužan u svakom slučaju dati razloge zbog kojih ocjenjuje da se u konkretnom slučaju privremenom stečajnom upravitelju mora isplatiti određena nagrada.</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 xml:space="preserve">Prvostupanjski sud u obrazloženju nije naveo nikakav razlog zbog kojeg je privremenom stečajnom upravitelju odredio nagradu upravo u iznosu od 5.000,00 kn, a ne u nekom drugom iznosu, niti je naveo koje je to poslove privremeni stečajni upravitelj tijekom prethodnog postupka obavio koji bi opravdali upravo određeni mu iznos nagrade. </w:t>
      </w:r>
    </w:p>
    <w:p w:rsidRDefault="00CB6C48" w:rsidP="00CB6C48" w:rsidR="00CB6C48" w:rsidRPr="00CB6C48">
      <w:pPr>
        <w:spacing w:lineRule="auto" w:line="240" w:after="0"/>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U odnosu na rješenje poslovni broj St-1685/11-72 od 26. travnja 2018.</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Prema odredbi čl. 29. st. 1. Stečajnog zakona („Narodne novine“ broj: 44/96, 29/99, 129/00, 123/03, 82/06, 116/10, 25/12 i 133/12; dalje: SZ), stečajni upravitelj ima pravo na nagradu za svoj rad te na naknadu stvarnih troškova, a prema odredbi stavak 2. istoga članka nagradu stečajnom upravitelju rješenjem određuje stečajni sudac prema posebnom propisu kojim Vlada Republike Hrvatske utvrđuje kriterije i način obračuna i plaćanja nagrade stečajnim upraviteljima.</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Prvostupanjski je sud ocijenio da se u konkretnom slučaju, pri obračunu i određivanju nagrade stečajnom upravitelju primjenjuje Uredba o kriterijima i načinu obračuna i plaćanja nagrada stečajnim upraviteljima („Narodne novine“ broj 189/03; dalje: Uredba/03), u vezi s čl. 16. st. 2. Uredbe o kriterijima i načinu obračuna i plaćanja nagrada stečajnim upraviteljima („Narodne novine“ broj 106/15).</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U ovom stečajnom postupku unovčena je cjelokupna imovina dužnika, za iznos od ukupno 563.187,00 kn.</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ab/>
        <w:t>Prema odredbi čl. 4. Uredbe konačna nagrada stečajnom upravitelju obračunavat će se primjenom tablice vrijednosti unovčene stečajne mase i postotaka.</w:t>
      </w:r>
    </w:p>
    <w:p w:rsidRDefault="00CB6C48" w:rsidP="00CB6C48" w:rsidR="00CB6C48" w:rsidRPr="00CB6C48">
      <w:pPr>
        <w:spacing w:lineRule="auto" w:line="240" w:after="0"/>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lastRenderedPageBreak/>
        <w:t xml:space="preserve">Nije jasno kako je prvostupanjski sud, pozivajući se na tablicu vrijednosti unovčene stečajne mase, odredio da stečajnom upravitelju pripada  upravo srednja vrijednost propisanih postotaka te onda odredio 8,5%, kada iz tablice proizlazi da za iznos osnovice od 563.187,00 kn stečajnom upravitelju pripada nagrada u visini od 5 do 8%. Isto tako prvostupanjski sud nije dao razloge zašto stečajnom upravitelju pripada upravo srednja vrijednost, a ne neka druga. </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Stoga je u pravu žalitelj kada navodi da pobijana rješenja ne sadrže nikakve razloge o opravdanosti iznosa nagrade stečajnom upravitelju čime je ostvarena bitna povreda odredaba postupka iz čl. 354. st. 2. t. 11. ZPP-a u vezi čl. 6. SZ-a zbog čega su oba rješenja ukinuta i predmet vraćen prvostupanjskom sudu na ponovan postupak (čl. 380. t. 3. ZPP-a u vezi čl. 6. SZ-a).</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r w:rsidRPr="00CB6C48">
        <w:rPr>
          <w:rFonts w:cs="Times New Roman" w:eastAsia="Calibri" w:hAnsi="Times New Roman" w:ascii="Times New Roman"/>
          <w:sz w:val="24"/>
          <w:szCs w:val="24"/>
        </w:rPr>
        <w:t>U ponovljenom će postupku prvostupanjski sud ponovno odlučiti o visini primjerene nagrade stečajnom upravitelju vodeći računa o zadatku koji mu je povjerio kako u prethodnom postupku tako i u stečajnom postupku. Kod odlučivanja o visini nagrade koja pripada stečajnom upravitelju sud će voditi računa da za radnje koje su obavljene nakon stupanja na snagu Uredbe iz 2015. (22. listopada 2015.) nagrade će se odrediti po njenim pravilima, vodeći računa o postotku namirenja. Potom će donijeti novu na zakonu osnovanu odluku koju će valjano obrazložiti.</w:t>
      </w:r>
    </w:p>
    <w:p w:rsidRDefault="00CB6C48" w:rsidP="00CB6C48" w:rsidR="00CB6C48" w:rsidRPr="00CB6C48">
      <w:pPr>
        <w:spacing w:lineRule="auto" w:line="240" w:after="0"/>
        <w:ind w:firstLine="708"/>
        <w:jc w:val="both"/>
        <w:rPr>
          <w:rFonts w:cs="Times New Roman" w:eastAsia="Calibri" w:hAnsi="Times New Roman" w:ascii="Times New Roman"/>
          <w:sz w:val="24"/>
          <w:szCs w:val="24"/>
        </w:rPr>
      </w:pPr>
    </w:p>
    <w:p w:rsidRDefault="00CB6C48" w:rsidP="00CB6C48" w:rsidR="00CB6C48" w:rsidRPr="00CB6C48">
      <w:pPr>
        <w:spacing w:lineRule="auto" w:line="240" w:after="0"/>
        <w:jc w:val="center"/>
        <w:rPr>
          <w:rFonts w:cs="Times New Roman" w:eastAsia="Calibri" w:hAnsi="Times New Roman" w:ascii="Times New Roman"/>
          <w:sz w:val="24"/>
          <w:szCs w:val="24"/>
        </w:rPr>
      </w:pPr>
      <w:r w:rsidRPr="00CB6C48">
        <w:rPr>
          <w:rFonts w:cs="Times New Roman" w:eastAsia="Calibri" w:hAnsi="Times New Roman" w:ascii="Times New Roman"/>
          <w:sz w:val="24"/>
          <w:szCs w:val="24"/>
        </w:rPr>
        <w:t>Zagreb, 24. svibnja 2018.</w:t>
      </w:r>
    </w:p>
    <w:p w:rsidRDefault="00CB6C48" w:rsidP="00CB6C48" w:rsidR="00CB6C48" w:rsidRPr="00CB6C48">
      <w:pPr>
        <w:spacing w:lineRule="auto" w:line="240" w:after="0"/>
        <w:jc w:val="both"/>
        <w:rPr>
          <w:rFonts w:cs="Times New Roman" w:eastAsia="Calibri" w:hAnsi="Times New Roman" w:ascii="Times New Roman"/>
          <w:sz w:val="24"/>
          <w:szCs w:val="24"/>
        </w:rPr>
      </w:pPr>
    </w:p>
    <w:p w:rsidRDefault="00CB6C48" w:rsidP="00CB6C48" w:rsidR="00CB6C48" w:rsidRPr="00CB6C48">
      <w:pPr>
        <w:spacing w:lineRule="auto" w:line="240" w:after="240"/>
        <w:ind w:left="4536"/>
        <w:contextualSpacing/>
        <w:jc w:val="center"/>
        <w:rPr>
          <w:rFonts w:cs="Times New Roman" w:eastAsia="Times New Roman" w:hAnsi="Times New Roman" w:ascii="Times New Roman"/>
          <w:sz w:val="24"/>
          <w:szCs w:val="24"/>
          <w:lang w:eastAsia="hr-HR"/>
        </w:rPr>
      </w:pPr>
      <w:r w:rsidRPr="00CB6C48">
        <w:rPr>
          <w:rFonts w:cs="Times New Roman" w:eastAsia="Times New Roman" w:hAnsi="Times New Roman" w:ascii="Times New Roman"/>
          <w:sz w:val="24"/>
          <w:szCs w:val="24"/>
          <w:lang w:eastAsia="hr-HR"/>
        </w:rPr>
        <w:t>Predsjednica vijeća</w:t>
      </w:r>
    </w:p>
    <w:p w:rsidRDefault="00CB6C48" w:rsidP="00CB6C48" w:rsidR="00CB6C48" w:rsidRPr="00CB6C48">
      <w:pPr>
        <w:spacing w:lineRule="auto" w:line="240" w:after="240"/>
        <w:ind w:left="4536"/>
        <w:contextualSpacing/>
        <w:jc w:val="center"/>
        <w:rPr>
          <w:rFonts w:cs="Times New Roman" w:eastAsia="Times New Roman" w:hAnsi="Times New Roman" w:ascii="Times New Roman"/>
          <w:sz w:val="24"/>
          <w:szCs w:val="24"/>
          <w:lang w:eastAsia="hr-HR"/>
        </w:rPr>
      </w:pPr>
      <w:r w:rsidRPr="00CB6C48">
        <w:rPr>
          <w:rFonts w:cs="Times New Roman" w:eastAsia="Times New Roman" w:hAnsi="Times New Roman" w:ascii="Times New Roman"/>
          <w:sz w:val="24"/>
          <w:szCs w:val="24"/>
          <w:lang w:eastAsia="hr-HR"/>
        </w:rPr>
        <w:t>Gorana Aralica Martinović, v. r.</w:t>
      </w:r>
    </w:p>
    <w:p w:rsidRDefault="00CB6C48" w:rsidP="00CB6C48" w:rsidR="00CB6C48" w:rsidRPr="00CB6C48">
      <w:pPr>
        <w:spacing w:lineRule="auto" w:line="240" w:after="240"/>
        <w:ind w:left="4536"/>
        <w:contextualSpacing/>
        <w:jc w:val="center"/>
        <w:rPr>
          <w:rFonts w:cs="Times New Roman" w:eastAsia="Times New Roman" w:hAnsi="Times New Roman" w:ascii="Times New Roman"/>
          <w:sz w:val="24"/>
          <w:szCs w:val="24"/>
          <w:lang w:eastAsia="hr-HR"/>
        </w:rPr>
      </w:pPr>
    </w:p>
    <w:p w:rsidRDefault="00CB6C48" w:rsidP="00CB6C48" w:rsidR="00CB6C48" w:rsidRPr="00CB6C48">
      <w:pPr>
        <w:spacing w:lineRule="auto" w:line="240" w:after="240"/>
        <w:ind w:firstLine="4536"/>
        <w:contextualSpacing/>
        <w:jc w:val="center"/>
        <w:rPr>
          <w:rFonts w:cs="Times New Roman" w:eastAsia="Times New Roman" w:hAnsi="Times New Roman" w:ascii="Times New Roman"/>
          <w:sz w:val="24"/>
          <w:szCs w:val="24"/>
          <w:lang w:eastAsia="hr-HR"/>
        </w:rPr>
      </w:pPr>
      <w:r w:rsidRPr="00CB6C48">
        <w:rPr>
          <w:rFonts w:cs="Times New Roman" w:eastAsia="Times New Roman" w:hAnsi="Times New Roman" w:ascii="Times New Roman"/>
          <w:sz w:val="24"/>
          <w:szCs w:val="24"/>
          <w:lang w:eastAsia="hr-HR"/>
        </w:rPr>
        <w:t>Za točnost otpravka – ovlašteni službenik</w:t>
      </w:r>
    </w:p>
    <w:p w:rsidRDefault="00CB6C48" w:rsidP="00CB6C48" w:rsidR="00CB6C48" w:rsidRPr="00CB6C48">
      <w:pPr>
        <w:spacing w:lineRule="auto" w:line="240" w:after="240"/>
        <w:ind w:firstLine="4536"/>
        <w:contextualSpacing/>
        <w:jc w:val="center"/>
        <w:rPr>
          <w:rFonts w:cs="Times New Roman" w:eastAsia="Times New Roman" w:hAnsi="Times New Roman" w:ascii="Times New Roman"/>
          <w:sz w:val="24"/>
          <w:szCs w:val="24"/>
          <w:lang w:eastAsia="hr-HR"/>
        </w:rPr>
      </w:pPr>
      <w:r w:rsidRPr="00CB6C48">
        <w:rPr>
          <w:rFonts w:cs="Times New Roman" w:eastAsia="Times New Roman" w:hAnsi="Times New Roman" w:ascii="Times New Roman"/>
          <w:sz w:val="24"/>
          <w:szCs w:val="24"/>
          <w:lang w:eastAsia="hr-HR"/>
        </w:rPr>
        <w:t>Brankica Curman</w:t>
      </w:r>
    </w:p>
    <w:p w:rsidRDefault="000104E4" w:rsidR="000104E4"/>
    <w:sectPr w:rsidR="000104E4">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FDC" w:rsidP="00AA0FDC" w:rsidR="00AA0FDC">
      <w:pPr>
        <w:spacing w:lineRule="auto" w:line="240" w:after="0"/>
      </w:pPr>
      <w:r>
        <w:separator/>
      </w:r>
    </w:p>
  </w:endnote>
  <w:endnote w:id="0" w:type="continuationSeparator">
    <w:p w:rsidRDefault="00AA0FDC" w:rsidP="00AA0FDC" w:rsidR="00AA0FD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18848300"/>
      <w:docPartObj>
        <w:docPartGallery w:val="Page Numbers (Bottom of Page)"/>
        <w:docPartUnique/>
      </w:docPartObj>
    </w:sdtPr>
    <w:sdtEndPr/>
    <w:sdtContent>
      <w:p w:rsidRDefault="00AA0FDC" w:rsidR="00AA0FDC">
        <w:pPr>
          <w:pStyle w:val="Podnoje"/>
          <w:jc w:val="center"/>
        </w:pPr>
        <w:r>
          <w:fldChar w:fldCharType="begin"/>
        </w:r>
        <w:r>
          <w:instrText>PAGE   \* MERGEFORMAT</w:instrText>
        </w:r>
        <w:r>
          <w:fldChar w:fldCharType="separate"/>
        </w:r>
        <w:r w:rsidR="00215D4A">
          <w:rPr>
            <w:noProof/>
          </w:rPr>
          <w:t>1</w:t>
        </w:r>
        <w:r>
          <w:fldChar w:fldCharType="end"/>
        </w:r>
      </w:p>
    </w:sdtContent>
  </w:sdt>
  <w:p w:rsidRDefault="00AA0FDC" w:rsidR="00AA0FD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FDC" w:rsidP="00AA0FDC" w:rsidR="00AA0FDC">
      <w:pPr>
        <w:spacing w:lineRule="auto" w:line="240" w:after="0"/>
      </w:pPr>
      <w:r>
        <w:separator/>
      </w:r>
    </w:p>
  </w:footnote>
  <w:footnote w:id="0" w:type="continuationSeparator">
    <w:p w:rsidRDefault="00AA0FDC" w:rsidP="00AA0FDC" w:rsidR="00AA0FDC">
      <w:pPr>
        <w:spacing w:lineRule="auto" w:line="240" w:after="0"/>
      </w:pPr>
      <w:r>
        <w:continuationSeparator/>
      </w:r>
    </w:p>
  </w:footnote>
</w:footnote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6C48"/>
    <w:rsid w:val="000104E4"/>
    <w:rsid w:val="00215D4A"/>
    <w:rsid w:val="007331B3"/>
    <w:rsid w:val="00AA0FDC"/>
    <w:rsid w:val="00CB6C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A0FDC"/>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A0FDC"/>
  </w:style>
  <w:style w:styleId="Podnoje" w:type="paragraph">
    <w:name w:val="footer"/>
    <w:basedOn w:val="Normal"/>
    <w:link w:val="PodnojeChar"/>
    <w:uiPriority w:val="99"/>
    <w:unhideWhenUsed/>
    <w:rsid w:val="00AA0FDC"/>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A0FDC"/>
  </w:style>
  <w:style w:styleId="Tekstrezerviranogmjesta" w:type="character">
    <w:name w:val="Placeholder Text"/>
    <w:basedOn w:val="Zadanifontodlomka"/>
    <w:uiPriority w:val="99"/>
    <w:semiHidden/>
    <w:rsid w:val="00215D4A"/>
    <w:rPr>
      <w:color w:val="808080"/>
      <w:bdr w:space="0" w:sz="0" w:color="auto" w:val="none"/>
      <w:shd w:fill="auto" w:color="auto" w:val="clear"/>
    </w:rPr>
  </w:style>
  <w:style w:customStyle="true" w:styleId="eSPISCCParagraphDefaultFont" w:type="character">
    <w:name w:val="eSPIS_CC_Paragraph Default Font"/>
    <w:basedOn w:val="Zadanifontodlomka"/>
    <w:rsid w:val="00215D4A"/>
    <w:rPr>
      <w:rFonts w:cs="Times New Roman" w:eastAsia="Calibri"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5D4A"/>
    <w:rPr>
      <w:rFonts w:cs="Times New Roman" w:eastAsia="Calibri"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5D4A"/>
    <w:rPr>
      <w:rFonts w:cs="Times New Roman" w:eastAsia="Calibri"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5D4A"/>
    <w:rPr>
      <w:rFonts w:cs="Times New Roman" w:eastAsia="Calibri"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A0FDC"/>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A0FDC"/>
  </w:style>
  <w:style w:styleId="Podnoje" w:type="paragraph">
    <w:name w:val="footer"/>
    <w:basedOn w:val="Normal"/>
    <w:link w:val="PodnojeChar"/>
    <w:uiPriority w:val="99"/>
    <w:unhideWhenUsed/>
    <w:rsid w:val="00AA0FDC"/>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A0FDC"/>
  </w:style>
  <w:style w:styleId="Tekstrezerviranogmjesta" w:type="character">
    <w:name w:val="Placeholder Text"/>
    <w:basedOn w:val="Zadanifontodlomka"/>
    <w:uiPriority w:val="99"/>
    <w:semiHidden/>
    <w:rsid w:val="00215D4A"/>
    <w:rPr>
      <w:color w:val="808080"/>
      <w:bdr w:color="auto" w:space="0" w:sz="0" w:val="none"/>
      <w:shd w:color="auto" w:fill="auto" w:val="clear"/>
    </w:rPr>
  </w:style>
  <w:style w:customStyle="1" w:styleId="eSPISCCParagraphDefaultFont" w:type="character">
    <w:name w:val="eSPIS_CC_Paragraph Default Font"/>
    <w:basedOn w:val="Zadanifontodlomka"/>
    <w:rsid w:val="00215D4A"/>
    <w:rPr>
      <w:rFonts w:ascii="Times New Roman" w:cs="Times New Roman" w:eastAsia="Calibri"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5D4A"/>
    <w:rPr>
      <w:rFonts w:ascii="Times New Roman" w:cs="Times New Roman" w:eastAsia="Calibri"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5D4A"/>
    <w:rPr>
      <w:rFonts w:ascii="Times New Roman" w:cs="Times New Roman" w:eastAsia="Calibri"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5D4A"/>
    <w:rPr>
      <w:rFonts w:ascii="Times New Roman" w:cs="Times New Roman" w:eastAsia="Calibri"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5189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373349-7834-4815-A004-D54DA95148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5611</properties:Characters>
  <properties:Lines>126</properties:Lines>
  <properties:Paragraphs>32</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2018-06-08T12:16:00Z</dcterms:created>
  <dc:creator>Sonja Pilić</dc:creator>
  <cp:lastModifiedBy>Sonja Pilić</cp:lastModifiedBy>
  <dcterms:modified xmlns:xsi="http://www.w3.org/2001/XMLSchema-instance" xsi:type="dcterms:W3CDTF">2018-06-08T12:21:00Z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St-1685/2011-77 / Podnesak - Rješenje - prihvaćena žalba - ukinuto 1. st. rješenje (II st. rješenje.docx)</vt:lpwstr>
  </prop:property>
  <prop:property name="CC_coloring" pid="4" fmtid="{D5CDD505-2E9C-101B-9397-08002B2CF9AE}">
    <vt:bool>false</vt:bool>
  </prop:property>
  <prop:property name="BrojStranica" pid="5" fmtid="{D5CDD505-2E9C-101B-9397-08002B2CF9AE}">
    <vt:i4>3</vt:i4>
  </prop:property>
</prop:Properties>
</file>