
<file path=[Content_Types].xml><?xml version="1.0" encoding="utf-8"?>
<Types xmlns="http://schemas.openxmlformats.org/package/2006/content-types">
  <Default ContentType="application/vnd.openxmlformats-package.relationships+xml" Extension="rels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a030" w14:paraId="ab4a030">
      <w:pPr>
        <w:pStyle w:val="Normal"/>
        <w:jc w:val="center"/>
        <w15:collapsed w:val="false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20.</w:t>
      </w:r>
    </w:p>
    <w:p>
      <w:pPr>
        <w:pStyle w:val="Normal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>
      <w:pPr>
        <w:pStyle w:val="Normal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</w:r>
    </w:p>
    <w:p>
      <w:pPr>
        <w:pStyle w:val="Normal"/>
        <w:jc w:val="both"/>
        <w:rPr>
          <w:rFonts w:hAnsi="Times New Roman" w:ascii="Times New Roman"/>
        </w:rPr>
      </w:pPr>
      <w:r>
        <w:rPr>
          <w:rFonts w:hAnsi="Times New Roman" w:ascii="Times New Roman"/>
          <w:sz w:val="20"/>
          <w:szCs w:val="20"/>
          <w:lang w:val="pl-PL"/>
        </w:rPr>
        <w:t>Nadle</w:t>
      </w:r>
      <w:r>
        <w:rPr>
          <w:rFonts w:hAnsi="Times New Roman" w:ascii="Times New Roman"/>
          <w:sz w:val="20"/>
          <w:szCs w:val="20"/>
        </w:rPr>
        <w:t>ž</w:t>
      </w:r>
      <w:r>
        <w:rPr>
          <w:rFonts w:hAnsi="Times New Roman" w:ascii="Times New Roman"/>
          <w:sz w:val="20"/>
          <w:szCs w:val="20"/>
          <w:lang w:val="pl-PL"/>
        </w:rPr>
        <w:t>ni</w:t>
      </w:r>
      <w:r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  <w:lang w:val="pl-PL"/>
        </w:rPr>
        <w:t>trgova</w:t>
      </w:r>
      <w:r>
        <w:rPr>
          <w:rFonts w:hAnsi="Times New Roman" w:ascii="Times New Roman"/>
          <w:sz w:val="20"/>
          <w:szCs w:val="20"/>
        </w:rPr>
        <w:t>č</w:t>
      </w:r>
      <w:r>
        <w:rPr>
          <w:rFonts w:hAnsi="Times New Roman" w:ascii="Times New Roman"/>
          <w:sz w:val="20"/>
          <w:szCs w:val="20"/>
          <w:lang w:val="pl-PL"/>
        </w:rPr>
        <w:t>ki</w:t>
      </w:r>
      <w:r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  <w:lang w:val="pl-PL"/>
        </w:rPr>
        <w:t>sud</w:t>
      </w:r>
      <w:r>
        <w:rPr>
          <w:rFonts w:hAnsi="Times New Roman" w:ascii="Times New Roman"/>
          <w:sz w:val="20"/>
          <w:szCs w:val="20"/>
        </w:rPr>
        <w:t xml:space="preserve">  </w:t>
      </w:r>
      <w:r>
        <w:rPr>
          <w:rFonts w:hAnsi="Times New Roman" w:ascii="Times New Roman"/>
          <w:b/>
          <w:bCs/>
          <w:sz w:val="20"/>
          <w:szCs w:val="20"/>
        </w:rPr>
        <w:t>TRGOVAČKI SUD U VARAŽDINU</w:t>
      </w:r>
    </w:p>
    <w:p>
      <w:pPr>
        <w:pStyle w:val="Normal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0"/>
          <w:szCs w:val="20"/>
          <w:lang w:val="pl-PL"/>
        </w:rPr>
        <w:t>722/16</w:t>
      </w:r>
    </w:p>
    <w:p>
      <w:pPr>
        <w:pStyle w:val="Normal"/>
        <w:rPr>
          <w:rFonts w:hAnsi="Times New Roman" w:ascii="Times New Roman"/>
        </w:rPr>
      </w:pPr>
      <w:r>
        <w:rPr>
          <w:rFonts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>
      <w:pPr>
        <w:pStyle w:val="Normal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/>
          <w:bCs/>
          <w:shadow w:val="false"/>
          <w:sz w:val="20"/>
          <w:szCs w:val="20"/>
          <w:lang w:val="pl-PL"/>
        </w:rPr>
        <w:t>ALU-art d.o.o. u stečaju, Pribislavec, Ljudevita Gaja 21, OIB: 05288787000</w:t>
      </w:r>
    </w:p>
    <w:p>
      <w:pPr>
        <w:pStyle w:val="Normal"/>
        <w:jc w:val="center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rPr/>
      </w:pPr>
      <w:r>
        <w:rPr>
          <w:rFonts w:hAnsi="Times New Roman" w:ascii="Times New Roman"/>
          <w:sz w:val="22"/>
          <w:szCs w:val="22"/>
          <w:lang w:val="pl-PL"/>
        </w:rPr>
        <w:t>I.  TIJEK STEČAJNOGA POSTUPKA DO 31.10.2017.</w:t>
      </w:r>
    </w:p>
    <w:p>
      <w:pPr>
        <w:pStyle w:val="Normal"/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  <w:lang w:val="pl-PL"/>
        </w:rPr>
        <w:t xml:space="preserve">U razdoblju od održanog ispitnog i izvještajnog ročišta, stečajni upravitelj je nastavio s prihodovanjem u stečajnu masu temeljem zakupa pokretnina u vlasništvu stečajnog dužnika. </w:t>
      </w:r>
    </w:p>
    <w:p>
      <w:pPr>
        <w:pStyle w:val="Normal"/>
        <w:rPr/>
      </w:pPr>
      <w:r>
        <w:rPr>
          <w:rFonts w:hAnsi="Times New Roman" w:ascii="Times New Roman"/>
          <w:sz w:val="20"/>
          <w:szCs w:val="20"/>
          <w:lang w:val="pl-PL"/>
        </w:rPr>
        <w:t>Istom zakupniku, ALU art projekti d.o.o, dana 15.03.2017. godine dana je Ponuda za kupnju svih pokretnina koje su bile predmetom zakupnog odnosa. Budući zakupnik nije platio kupovnu ponuđenu cijenu, a koja je bila definirana temeljem procijenjenih vrijednosti pokretnina u postupku, sklopljen je novi ugovor o zakupu pokretnih stvari, sa povećanim iznosom zakupnine (u iznosu od 1.500,00 kn s PDV-om), tako da je s vremenom mnogo više uprihodovano u stečajnu masu, nego što bi to bilo s</w:t>
      </w:r>
      <w:r>
        <w:rPr>
          <w:rFonts w:hAnsi="Times New Roman" w:ascii="Times New Roman"/>
          <w:sz w:val="20"/>
          <w:szCs w:val="20"/>
          <w:lang w:val="pl-PL"/>
        </w:rPr>
        <w:t>a</w:t>
      </w:r>
      <w:r>
        <w:rPr>
          <w:rFonts w:hAnsi="Times New Roman" w:ascii="Times New Roman"/>
          <w:sz w:val="20"/>
          <w:szCs w:val="20"/>
          <w:lang w:val="pl-PL"/>
        </w:rPr>
        <w:t xml:space="preserve"> iznosom stare zakupnine od 500,00 kn mjesečno (PDV uključen). Istovremeno sam kao stečajni upravitelj za vozilo koje je najvrijednija porketnina u stečajnoj masi zatražila ponudu dvaju čestih kupaca rabl</w:t>
      </w:r>
      <w:r>
        <w:rPr>
          <w:rFonts w:hAnsi="Times New Roman" w:ascii="Times New Roman"/>
          <w:sz w:val="20"/>
          <w:szCs w:val="20"/>
          <w:lang w:val="pl-PL"/>
        </w:rPr>
        <w:t>j</w:t>
      </w:r>
      <w:r>
        <w:rPr>
          <w:rFonts w:hAnsi="Times New Roman" w:ascii="Times New Roman"/>
          <w:sz w:val="20"/>
          <w:szCs w:val="20"/>
          <w:lang w:val="pl-PL"/>
        </w:rPr>
        <w:t>enih vozila, koji su naveli da je za to vozilo cijena za njih previsoko postavljena.</w:t>
      </w:r>
    </w:p>
    <w:p>
      <w:pPr>
        <w:pStyle w:val="Normal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  <w:lang w:val="pl-PL"/>
        </w:rPr>
        <w:t xml:space="preserve">Isto tako, sukladno procjeni </w:t>
      </w:r>
      <w:r>
        <w:rPr>
          <w:rFonts w:hAnsi="Times New Roman" w:ascii="Times New Roman"/>
          <w:sz w:val="20"/>
          <w:szCs w:val="20"/>
          <w:lang w:val="pl-PL"/>
        </w:rPr>
        <w:t>sudskog procjenitelja</w:t>
      </w:r>
      <w:r>
        <w:rPr>
          <w:rFonts w:hAnsi="Times New Roman" w:ascii="Times New Roman"/>
          <w:sz w:val="20"/>
          <w:szCs w:val="20"/>
          <w:lang w:val="pl-PL"/>
        </w:rPr>
        <w:t>, teretno vozilo Renault Traffic – staro vozilo, prodano je društvu UNIMER d.o.o., Čakovec, kao sekudarna sirovina.</w:t>
      </w:r>
    </w:p>
    <w:p>
      <w:pPr>
        <w:pStyle w:val="Normal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  <w:lang w:val="pl-PL"/>
        </w:rPr>
        <w:t>S obzirom da je društvo ALU art projekti j.d.o.o. dana  30. listopada 2017. godine izvršilo konačne uplate po ponudi, kao neprodani je ostao sada samo jedan predmet/pokretnina u stečajnoj masi, u vrijednosti 3.250,00 kn (PDV uključen), što planiraju otkupiti u roku od mjesec dana, nakon čega će se  prići zaključenju stečajnog postupka.</w:t>
      </w:r>
    </w:p>
    <w:p>
      <w:pPr>
        <w:pStyle w:val="Normal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rPr>
          <w:rFonts w:hAnsi="Times New Roman" w:ascii="Times New Roman"/>
        </w:rPr>
      </w:pPr>
      <w:r>
        <w:rPr>
          <w:rFonts w:hAnsi="Times New Roman" w:ascii="Times New Roman"/>
          <w:sz w:val="22"/>
          <w:szCs w:val="22"/>
          <w:lang w:val="pl-PL"/>
        </w:rPr>
        <w:t>II. STANJE STEČAJNE MASE</w:t>
      </w:r>
    </w:p>
    <w:p>
      <w:pPr>
        <w:pStyle w:val="Normal"/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0"/>
          <w:szCs w:val="20"/>
        </w:rPr>
        <w:t>POPIS PREDMETA STEČAJNE MASE (čl.221. SZ)</w:t>
      </w:r>
    </w:p>
    <w:p>
      <w:pPr>
        <w:pStyle w:val="Normal"/>
        <w:rPr>
          <w:rFonts w:cs="Times New Roman" w:hAnsi="Times New Roman" w:ascii="Times New Roman"/>
          <w:b/>
          <w:sz w:val="20"/>
          <w:szCs w:val="20"/>
        </w:rPr>
      </w:pPr>
      <w:r>
        <w:rPr>
          <w:rFonts w:cs="Times New Roman" w:hAnsi="Times New Roman" w:ascii="Times New Roman"/>
          <w:b/>
          <w:sz w:val="20"/>
          <w:szCs w:val="20"/>
        </w:rPr>
      </w:r>
    </w:p>
    <w:tbl>
      <w:tblPr>
        <w:tblW w:type="dxa" w:w="8104"/>
        <w:jc w:val="left"/>
        <w:tblInd w:type="dxa" w:w="89"/>
        <w:tblBorders>
          <w:top w:space="0" w:sz="2" w:color="000001" w:val="single"/>
          <w:left w:space="0" w:sz="2" w:color="000001" w:val="single"/>
          <w:bottom w:space="0" w:sz="2" w:color="000001" w:val="single"/>
          <w:insideH w:space="0" w:sz="2" w:color="000001" w:val="single"/>
        </w:tblBorders>
        <w:tblCellMar>
          <w:top w:type="dxa" w:w="0"/>
          <w:left w:type="dxa" w:w="104"/>
          <w:bottom w:type="dxa" w:w="0"/>
          <w:right w:type="dxa" w:w="108"/>
        </w:tblCellMar>
      </w:tblPr>
      <w:tblGrid>
        <w:gridCol w:w="577"/>
        <w:gridCol w:w="2458"/>
        <w:gridCol w:w="1151"/>
        <w:gridCol w:w="1306"/>
        <w:gridCol w:w="1307"/>
        <w:gridCol w:w="1304"/>
      </w:tblGrid>
      <w:tr>
        <w:trPr>
          <w:trHeight w:hRule="atLeast" w:val="48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R. Br.</w:t>
            </w:r>
          </w:p>
          <w:p>
            <w:pPr>
              <w:pStyle w:val="Normal"/>
              <w:spacing w:after="0" w:before="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Naziv pokretnine</w:t>
            </w:r>
          </w:p>
          <w:p>
            <w:pPr>
              <w:pStyle w:val="Normal"/>
              <w:spacing w:after="0" w:before="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Količina</w:t>
            </w:r>
          </w:p>
          <w:p>
            <w:pPr>
              <w:pStyle w:val="Normal"/>
              <w:spacing w:after="0" w:before="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/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Procijenjena vrijednost u kunama *</w:t>
            </w:r>
          </w:p>
          <w:p>
            <w:pPr>
              <w:pStyle w:val="Normal"/>
              <w:spacing w:after="0" w:before="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PRODANO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PRODANA vrijednos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s PDV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Štanca za profile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1.125,00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Stupna bušilica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Nije prodano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Nije prodano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Pantograf glodalica - za brave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2.250,00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Trec glodalica ručna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1.500,00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Cirkular pila za profile Commal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875,00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Mobilni grijač zraka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1.750,00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Ručna elektr. Bušilica Makita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Ručna aku bušilica - odvijač WURTH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9.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Ručna elektr. Brusilica Black&amp;Decker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Računalo stolno nekompletno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125,00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Telefaks Panasonic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Ormar uredski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125,00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Stolice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180,00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180,00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225,00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Sanduk za alat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62,50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Poslovni kofer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62,50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Kombi vozilo Renault Trafic – prodano kao sekundarna sirovina - "prijenos porezne obveze"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1.152,00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1.152,00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type="dxa" w:w="245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Kombi vozilo Volkswagen Transporter</w:t>
            </w:r>
          </w:p>
        </w:tc>
        <w:tc>
          <w:tcPr>
            <w:tcW w:type="dxa" w:w="115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06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16.500,00</w:t>
            </w:r>
          </w:p>
        </w:tc>
        <w:tc>
          <w:tcPr>
            <w:tcW w:type="dxa" w:w="130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16.500,00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20.625,00</w:t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58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51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06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07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6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r>
          </w:p>
        </w:tc>
      </w:tr>
      <w:tr>
        <w:trPr>
          <w:trHeight w:hRule="atLeast" w:val="240"/>
        </w:trPr>
        <w:tc>
          <w:tcPr>
            <w:tcW w:type="dxa" w:w="577"/>
            <w:tcBorders>
              <w:top w:space="0" w:sz="2" w:color="000001" w:val="single"/>
              <w:left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4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58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Ukupna vrijednost</w:t>
            </w:r>
          </w:p>
        </w:tc>
        <w:tc>
          <w:tcPr>
            <w:tcW w:type="dxa" w:w="1151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06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26.580,00</w:t>
            </w:r>
          </w:p>
        </w:tc>
        <w:tc>
          <w:tcPr>
            <w:tcW w:type="dxa" w:w="1307"/>
            <w:tcBorders>
              <w:top w:space="0" w:sz="2" w:color="000001" w:val="single"/>
              <w:bottom w:space="0" w:sz="2" w:color="000001" w:val="single"/>
              <w:insideH w:space="0" w:sz="2" w:color="000001" w:val="single"/>
            </w:tcBorders>
            <w:shd w:fill="FFFFFF" w:val="clear"/>
            <w:tcMar>
              <w:left w:type="dxa" w:w="109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24.132,00</w:t>
            </w:r>
          </w:p>
        </w:tc>
        <w:tc>
          <w:tcPr>
            <w:tcW w:type="dxa" w:w="1304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  <w:insideH w:space="0" w:sz="2" w:color="000001" w:val="single"/>
              <w:insideV w:space="0" w:sz="2" w:color="000001" w:val="single"/>
            </w:tcBorders>
            <w:shd w:fill="FFFFFF" w:val="clear"/>
            <w:tcMar>
              <w:left w:type="dxa" w:w="106"/>
            </w:tcMar>
            <w:vAlign w:val="bottom"/>
          </w:tcPr>
          <w:p>
            <w:pPr>
              <w:pStyle w:val="Normal"/>
              <w:spacing w:after="0" w:before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29.877,00</w:t>
            </w:r>
          </w:p>
        </w:tc>
      </w:tr>
    </w:tbl>
    <w:p>
      <w:pPr>
        <w:pStyle w:val="Normal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</w:r>
    </w:p>
    <w:p>
      <w:pPr>
        <w:pStyle w:val="Normal"/>
        <w:spacing w:lineRule="auto" w:line="288"/>
        <w:ind w:hanging="0" w:right="0"/>
        <w:rPr/>
      </w:pPr>
      <w:r>
        <w:rPr>
          <w:rFonts w:cs="Times New Roman" w:hAnsi="Times New Roman" w:ascii="Times New Roman"/>
          <w:sz w:val="20"/>
          <w:szCs w:val="20"/>
        </w:rPr>
        <w:t>*Vrijednost nekretnina i pokretnina iskazana je po procijenjenoj vrijed</w:t>
      </w:r>
      <w:r>
        <w:rPr>
          <w:rFonts w:cs="Times New Roman" w:hAnsi="Times New Roman" w:ascii="Times New Roman"/>
          <w:sz w:val="20"/>
          <w:szCs w:val="20"/>
        </w:rPr>
        <w:t>n.</w:t>
      </w:r>
      <w:r>
        <w:rPr>
          <w:rFonts w:cs="Times New Roman" w:hAnsi="Times New Roman" w:ascii="Times New Roman"/>
          <w:sz w:val="20"/>
          <w:szCs w:val="20"/>
        </w:rPr>
        <w:t xml:space="preserve"> od strane sudskog vještaka </w:t>
      </w:r>
      <w:r>
        <w:rPr>
          <w:rFonts w:cs="Times New Roman" w:hAnsi="Times New Roman" w:ascii="Times New Roman"/>
          <w:sz w:val="20"/>
          <w:szCs w:val="20"/>
        </w:rPr>
        <w:t>bez PDV-a</w:t>
      </w:r>
    </w:p>
    <w:p>
      <w:pPr>
        <w:pStyle w:val="Normal"/>
        <w:spacing w:lineRule="auto" w:line="288"/>
        <w:ind w:hanging="0" w:right="0" w:left="357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Ukupni iznos unovčene stečajne mase iznosi 29.877,00 kn, dok priljevi od najma iznose 9.968,75 kn, što ukupno daje priljeve od 39.845,75 kn.</w:t>
      </w:r>
    </w:p>
    <w:p>
      <w:pPr>
        <w:pStyle w:val="Normal"/>
        <w:spacing w:lineRule="auto" w:line="288"/>
        <w:ind w:hanging="0" w:right="0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U nastavku postupka, do njegovog okončanja, potrebno je podmiriti: 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knjigovodstvene usluge koje su obračunate do 31.10. u iznosu od 3.775,00 kn; 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putne troškove stečajnog upravitelja; 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obveze za plaće, budući sam kao stečajni upravitelj preuzela postupak tek nakon mjesec dana od njegovog pokretanja, nakon razrješenja dotadašnjeg stepčajnog upravitelja, pa su nastale obaveze iz radnog odnosa; 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obaveze za porez na dodanu vrijednost; 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nagradu stečajnom upravitelju; 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rezervirati sredstva za knjigovodstvene troškove do samog zaključenja postupka;</w:t>
      </w:r>
    </w:p>
    <w:p>
      <w:pPr>
        <w:pStyle w:val="Normal"/>
        <w:spacing w:lineRule="auto" w:line="288"/>
        <w:ind w:hanging="0" w:right="0"/>
        <w:rPr>
          <w:rFonts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a nakon uplate tih obveza, ukoliko će preostati dovoljno sredstava, namiriti razlučnog vjerovnika.</w:t>
      </w:r>
    </w:p>
    <w:p>
      <w:pPr>
        <w:pStyle w:val="Normal"/>
        <w:spacing w:lineRule="auto" w:line="288"/>
        <w:ind w:hanging="0" w:right="0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  <w:lang w:val="pl-PL"/>
        </w:rPr>
        <w:t>III. RADNJE KOJE ĆE SE PODUZETI U NAREDNOM RAZDOBLJU od 01.11 do 31.12.2017.</w:t>
      </w:r>
    </w:p>
    <w:p>
      <w:pPr>
        <w:pStyle w:val="Normal"/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  <w:lang w:val="pl-PL"/>
        </w:rPr>
        <w:t>S obzirom da se uskoro očekuje konačna uplata za jedini preostali predmet stečajne mase, nakon toga će se prići izradi završog računa i zaključenju postupka.</w:t>
      </w:r>
    </w:p>
    <w:p>
      <w:pPr>
        <w:pStyle w:val="Normal"/>
        <w:ind w:hanging="0" w:left="360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ind w:hanging="0" w:left="360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ind w:hanging="0" w:left="360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ind w:hanging="0" w:left="360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</w:r>
    </w:p>
    <w:p>
      <w:pPr>
        <w:pStyle w:val="Normal"/>
        <w:rPr>
          <w:rFonts w:hAnsi="Times New Roman" w:ascii="Times New Roman"/>
        </w:rPr>
      </w:pPr>
      <w:r>
        <w:rPr>
          <w:rFonts w:hAnsi="Times New Roman" w:ascii="Times New Roman"/>
          <w:sz w:val="20"/>
          <w:szCs w:val="20"/>
          <w:lang w:val="pl-PL"/>
        </w:rPr>
        <w:t xml:space="preserve">Mjesto i datum </w:t>
        <w:tab/>
        <w:tab/>
        <w:tab/>
        <w:tab/>
        <w:tab/>
        <w:tab/>
        <w:tab/>
        <w:t>Stečajni upravitelj</w:t>
      </w:r>
    </w:p>
    <w:p>
      <w:pPr>
        <w:pStyle w:val="Normal"/>
        <w:spacing w:after="80" w:before="0"/>
        <w:jc w:val="both"/>
        <w:rPr/>
      </w:pPr>
      <w:r>
        <w:rPr>
          <w:rFonts w:hAnsi="Times New Roman" w:ascii="Times New Roman"/>
          <w:sz w:val="20"/>
          <w:szCs w:val="20"/>
          <w:lang w:val="pl-PL"/>
        </w:rPr>
        <w:t>Čakovec, 14.11.2017.</w:t>
        <w:tab/>
        <w:tab/>
        <w:tab/>
        <w:tab/>
        <w:tab/>
        <w:tab/>
        <w:t>Vesna Baranašić Horvat</w:t>
      </w:r>
    </w:p>
    <w:sectPr>
      <w:type w:val="nextPage"/>
      <w:pgSz w:h="16838" w:w="11906"/>
      <w:pgMar w:gutter="0" w:footer="0" w:header="0" w:left="1417" w:bottom="1417" w:right="1417" w:top="1417"/>
      <w:pgNumType w:fmt="decimal"/>
      <w:formProt w:val="false"/>
      <w:textDirection w:val="lrTb"/>
      <w:docGrid w:charSpace="4294965247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themeFontLang w:bidi="" w:eastAsia="zh-CN" w:val="hr-HR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 w:cs="" w:eastAsia="宋体" w:hAnsi="Calibri" w:ascii="Calibri"/>
        <w:szCs w:val="22"/>
        <w:lang w:bidi="ar-SA" w:eastAsia="zh-CN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widowControl/>
      <w:bidi w:val="false"/>
      <w:spacing w:lineRule="auto" w:line="240" w:after="80" w:before="0"/>
      <w:jc w:val="left"/>
    </w:pPr>
    <w:rPr>
      <w:rFonts w:hAnsiTheme="minorHAnsi" w:asciiTheme="minorHAnsi" w:cs="Times New Roman" w:eastAsia="Calibri" w:hAnsi="Calibri" w:ascii="Calibri"/>
      <w:color w:val="00000A"/>
      <w:sz w:val="22"/>
      <w:szCs w:val="22"/>
      <w:lang w:bidi="ar-SA" w:eastAsia="en-US" w:val="hr-HR"/>
    </w:rPr>
  </w:style>
  <w:style w:styleId="Heading1" w:type="paragraph">
    <w:name w:val="Heading 1"/>
    <w:basedOn w:val="Heading"/>
    <w:qFormat/>
    <w:pPr/>
    <w:rPr/>
  </w:style>
  <w:style w:styleId="Heading2" w:type="paragraph">
    <w:name w:val="Heading 2"/>
    <w:basedOn w:val="Heading"/>
    <w:qFormat/>
    <w:pPr/>
    <w:rPr/>
  </w:style>
  <w:style w:styleId="Heading3" w:type="paragraph">
    <w:name w:val="Heading 3"/>
    <w:basedOn w:val="Heading"/>
    <w:qFormat/>
    <w:pPr/>
    <w:rPr/>
  </w:style>
  <w:style w:default="true" w:styleId="DefaultParagraphFont" w:type="character">
    <w:name w:val="Default Paragraph Font"/>
    <w:uiPriority w:val="1"/>
    <w:semiHidden/>
    <w:unhideWhenUsed/>
    <w:qFormat/>
    <w:rPr/>
  </w:style>
  <w:style w:styleId="ListLabel1" w:type="character">
    <w:name w:val="ListLabel 1"/>
    <w:qFormat/>
    <w:rPr>
      <w:rFonts w:cs="Times New Roman" w:hAnsi="Times New Roman" w:ascii="Times New Roman"/>
      <w:sz w:val="24"/>
    </w:rPr>
  </w:style>
  <w:style w:styleId="ListLabel2" w:type="character">
    <w:name w:val="ListLabel 2"/>
    <w:qFormat/>
    <w:rPr>
      <w:rFonts w:cs="Times New Roman" w:hAnsi="Times New Roman" w:ascii="Times New Roman"/>
      <w:sz w:val="24"/>
    </w:rPr>
  </w:style>
  <w:style w:styleId="WW8Num2z0" w:type="character">
    <w:name w:val="WW8Num2z0"/>
    <w:qFormat/>
    <w:rPr>
      <w:rFonts w:cs="OpenSymbol;Arial Unicode MS" w:hAnsi="Symbol" w:ascii="Symbol"/>
    </w:rPr>
  </w:style>
  <w:style w:styleId="WW8Num2z1" w:type="character">
    <w:name w:val="WW8Num2z1"/>
    <w:qFormat/>
    <w:rPr>
      <w:rFonts w:cs="OpenSymbol;Arial Unicode MS" w:hAnsi="OpenSymbol;Arial Unicode MS" w:ascii="OpenSymbol;Arial Unicode MS"/>
    </w:rPr>
  </w:style>
  <w:style w:styleId="ListLabel3" w:type="character">
    <w:name w:val="ListLabel 3"/>
    <w:qFormat/>
    <w:rPr>
      <w:rFonts w:cs="OpenSymbol;Arial Unicode MS" w:hAnsi="Times New Roman" w:ascii="Times New Roman"/>
      <w:b w:val="false"/>
      <w:sz w:val="16"/>
    </w:rPr>
  </w:style>
  <w:style w:styleId="Heading" w:type="paragraph">
    <w:name w:val="Heading"/>
    <w:basedOn w:val="Normal"/>
    <w:next w:val="TextBody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extBody" w:type="paragraph">
    <w:name w:val="Text Body"/>
    <w:basedOn w:val="Normal"/>
    <w:pPr>
      <w:spacing w:lineRule="auto" w:line="288" w:after="140" w:before="0"/>
    </w:pPr>
    <w:rPr/>
  </w:style>
  <w:style w:styleId="List" w:type="paragraph">
    <w:name w:val="List"/>
    <w:basedOn w:val="TextBody"/>
    <w:pPr/>
    <w:rPr>
      <w:rFonts w:cs="Arial"/>
    </w:rPr>
  </w:style>
  <w:style w:styleId="Caption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styleId="Index" w:type="paragraph">
    <w:name w:val="Index"/>
    <w:basedOn w:val="Normal"/>
    <w:qFormat/>
    <w:pPr>
      <w:suppressLineNumbers/>
    </w:pPr>
    <w:rPr>
      <w:rFonts w:cs="Arial"/>
    </w:rPr>
  </w:style>
  <w:style w:styleId="Quotations" w:type="paragraph">
    <w:name w:val="Quotations"/>
    <w:basedOn w:val="Normal"/>
    <w:qFormat/>
    <w:pPr/>
    <w:rPr/>
  </w:style>
  <w:style w:styleId="Title" w:type="paragraph">
    <w:name w:val="Title"/>
    <w:basedOn w:val="Heading"/>
    <w:qFormat/>
    <w:pPr/>
    <w:rPr/>
  </w:style>
  <w:style w:styleId="Subtitle" w:type="paragraph">
    <w:name w:val="Subtitle"/>
    <w:basedOn w:val="Heading"/>
    <w:qFormat/>
    <w:pPr/>
    <w:rPr/>
  </w:style>
  <w:style w:styleId="Default" w:type="paragraph">
    <w:name w:val="Default"/>
    <w:qFormat/>
    <w:pPr>
      <w:widowControl w:val="false"/>
      <w:suppressAutoHyphens w:val="true"/>
      <w:overflowPunct w:val="false"/>
      <w:bidi w:val="false"/>
      <w:spacing w:lineRule="auto" w:line="276" w:after="200" w:before="0"/>
      <w:jc w:val="left"/>
    </w:pPr>
    <w:rPr>
      <w:rFonts w:cs="Liberation Serif;Times New Roman" w:eastAsia="Liberation Serif;Times New Roman" w:hAnsi="Times New Roman" w:ascii="Times New Roman"/>
      <w:color w:val="000000"/>
      <w:sz w:val="24"/>
      <w:szCs w:val="24"/>
      <w:lang w:bidi="hi-IN" w:eastAsia="hi-IN" w:val="hr-HR"/>
    </w:rPr>
  </w:style>
  <w:style w:styleId="TableContents" w:type="paragraph">
    <w:name w:val="Table Contents"/>
    <w:basedOn w:val="Normal"/>
    <w:qFormat/>
    <w:pPr/>
    <w:rPr/>
  </w:style>
  <w:style w:styleId="TableHeading" w:type="paragraph">
    <w:name w:val="Table Heading"/>
    <w:basedOn w:val="TableContents"/>
    <w:qFormat/>
    <w:pPr/>
    <w:rPr/>
  </w:style>
  <w:style w:default="true" w:styleId="NoList" w:type="numbering">
    <w:name w:val="No List"/>
    <w:uiPriority w:val="99"/>
    <w:semiHidden/>
    <w:unhideWhenUsed/>
  </w:style>
  <w:style w:styleId="WW8Num2" w:type="numbering">
    <w:name w:val="WW8Num2"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ragraphs>145</properties:Paragraphs>
  <properties:TotalTime>100</properties:TotalTime>
  <properties:Application>LibreOffice/5.0.1.2$Windows_x86 LibreOffice_project/81898c9f5c0d43f3473ba111d7b351050be20261</properties:Application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dc:language>hr-HR</dc:language>
  <cp:lastPrinted>2017-11-15T13:17:17Z</cp:lastPrinted>
  <dcterms:modified xmlns:xsi="http://www.w3.org/2001/XMLSchema-instance" xsi:type="dcterms:W3CDTF">2017-11-17T09:02:05Z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</prop:Properties>
</file>