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512"/>
        <w:gridCol w:w="6058"/>
      </w:tblGrid>
      <w:tr w:rsidTr="00D17C78" w:rsidR="00F76478" w:rsidRPr="00B17BD5">
        <w:trPr>
          <w:trHeight w:val="2353"/>
        </w:trPr>
        <w:tc>
          <w:tcPr>
            <w:tcW w:type="dxa" w:w="3512"/>
            <w:vAlign w:val="center"/>
          </w:tcPr>
          <w:p w:rsidRDefault="00F76478" w:rsidP="00A66C00" w:rsidR="00F76478" w:rsidRPr="00B17BD5">
            <w:pPr>
              <w:spacing w:before="100"/>
              <w:jc w:val="center"/>
              <w:rPr>
                <w:lang w:val="hr-HR"/>
              </w:rPr>
            </w:pPr>
            <w:bookmarkStart w:name="_GoBack" w:id="0"/>
            <w:bookmarkEnd w:id="0"/>
            <w:r w:rsidRPr="00B17BD5">
              <w:rPr>
                <w:noProof/>
                <w:lang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76478" w:rsidP="00A66C00" w:rsidR="00F76478" w:rsidRPr="00B17BD5">
            <w:pPr>
              <w:spacing w:before="100"/>
              <w:rPr>
                <w:sz w:val="24"/>
                <w:szCs w:val="24"/>
                <w:lang w:val="hr-HR"/>
              </w:rPr>
            </w:pPr>
            <w:r w:rsidRPr="00B17BD5">
              <w:rPr>
                <w:sz w:val="24"/>
                <w:szCs w:val="24"/>
                <w:lang w:val="hr-HR"/>
              </w:rPr>
              <w:t>REPUBLIKA HRVATSKA</w:t>
            </w:r>
          </w:p>
          <w:p w:rsidRDefault="00F76478" w:rsidP="00A66C00" w:rsidR="00F76478" w:rsidRPr="00B17BD5">
            <w:pPr>
              <w:rPr>
                <w:sz w:val="24"/>
                <w:szCs w:val="24"/>
                <w:lang w:val="hr-HR"/>
              </w:rPr>
            </w:pPr>
            <w:r w:rsidRPr="00B17BD5">
              <w:rPr>
                <w:sz w:val="24"/>
                <w:szCs w:val="24"/>
                <w:lang w:val="hr-HR"/>
              </w:rPr>
              <w:t>TRGOVAČKI SUD U SPLITU</w:t>
            </w:r>
          </w:p>
          <w:p w:rsidRDefault="00F76478" w:rsidP="00DA5B9D" w:rsidR="00F76478" w:rsidRPr="00B17BD5">
            <w:pPr>
              <w:rPr>
                <w:lang w:val="hr-HR"/>
              </w:rPr>
            </w:pPr>
            <w:r w:rsidRPr="00B17BD5">
              <w:rPr>
                <w:sz w:val="24"/>
                <w:szCs w:val="24"/>
                <w:lang w:val="hr-HR"/>
              </w:rPr>
              <w:t>Split, Sukoišanska 6</w:t>
            </w:r>
          </w:p>
        </w:tc>
        <w:tc>
          <w:tcPr>
            <w:tcW w:type="dxa" w:w="6058"/>
          </w:tcPr>
          <w:p w:rsidRDefault="00F76478" w:rsidP="00DA5B9D" w:rsidR="00F76478" w:rsidRPr="00B17BD5">
            <w:pPr>
              <w:jc w:val="both"/>
              <w:rPr>
                <w:lang w:val="hr-HR"/>
              </w:rPr>
            </w:pPr>
          </w:p>
          <w:p w:rsidRDefault="00F76478" w:rsidP="00DA5B9D" w:rsidR="00F76478" w:rsidRPr="00B17BD5">
            <w:pPr>
              <w:jc w:val="both"/>
              <w:rPr>
                <w:lang w:val="hr-HR"/>
              </w:rPr>
            </w:pPr>
          </w:p>
          <w:p w:rsidRDefault="00F76478" w:rsidP="00DA5B9D" w:rsidR="00F76478" w:rsidRPr="00B17BD5">
            <w:pPr>
              <w:jc w:val="both"/>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lang w:val="hr-HR"/>
              </w:rPr>
            </w:pPr>
          </w:p>
          <w:p w:rsidRDefault="00F76478" w:rsidP="00DA5B9D" w:rsidR="00F76478" w:rsidRPr="00B17BD5">
            <w:pPr>
              <w:jc w:val="right"/>
              <w:rPr>
                <w:sz w:val="24"/>
                <w:lang w:val="hr-HR"/>
              </w:rPr>
            </w:pPr>
          </w:p>
          <w:p w:rsidRDefault="00F76478" w:rsidP="00E44C56" w:rsidR="00F76478" w:rsidRPr="00B17BD5">
            <w:pPr>
              <w:jc w:val="right"/>
              <w:rPr>
                <w:sz w:val="24"/>
                <w:szCs w:val="24"/>
                <w:lang w:val="hr-HR"/>
              </w:rPr>
            </w:pPr>
            <w:r w:rsidRPr="00B17BD5">
              <w:rPr>
                <w:sz w:val="24"/>
                <w:szCs w:val="24"/>
                <w:lang w:val="hr-HR"/>
              </w:rPr>
              <w:t>Poslovni broj: 11.St-</w:t>
            </w:r>
            <w:r w:rsidR="00E44C56">
              <w:rPr>
                <w:sz w:val="24"/>
                <w:szCs w:val="24"/>
                <w:lang w:val="hr-HR"/>
              </w:rPr>
              <w:t>895/2017</w:t>
            </w:r>
          </w:p>
        </w:tc>
      </w:tr>
    </w:tbl>
    <w:p w14:textId="efb342e" w14:paraId="efb342e" w:rsidRDefault="00A63EE6" w:rsidP="00A63EE6" w:rsidR="00A63EE6" w:rsidRPr="00B17BD5">
      <w:pPr>
        <w:spacing w:after="200" w:before="200"/>
        <w:jc w:val="center"/>
        <w15:collapsed w:val="false"/>
        <w:rPr>
          <w:spacing w:val="60"/>
          <w:sz w:val="24"/>
          <w:szCs w:val="24"/>
          <w:lang w:val="hr-HR"/>
        </w:rPr>
      </w:pPr>
      <w:r w:rsidRPr="00B17BD5">
        <w:rPr>
          <w:spacing w:val="60"/>
          <w:sz w:val="24"/>
          <w:szCs w:val="24"/>
          <w:lang w:val="hr-HR"/>
        </w:rPr>
        <w:t>REPUBLIKA HRVATSKA</w:t>
      </w:r>
    </w:p>
    <w:p w:rsidRDefault="00A63EE6" w:rsidP="00A63EE6" w:rsidR="00A63EE6" w:rsidRPr="00B17BD5">
      <w:pPr>
        <w:jc w:val="center"/>
        <w:rPr>
          <w:rFonts w:eastAsia="Calibri"/>
          <w:sz w:val="24"/>
          <w:szCs w:val="24"/>
          <w:lang w:val="hr-HR"/>
        </w:rPr>
      </w:pPr>
      <w:r w:rsidRPr="00B17BD5">
        <w:rPr>
          <w:rFonts w:eastAsia="Calibri"/>
          <w:sz w:val="24"/>
          <w:szCs w:val="24"/>
          <w:lang w:val="hr-HR"/>
        </w:rPr>
        <w:t xml:space="preserve">R J E Š E N J E </w:t>
      </w:r>
    </w:p>
    <w:p w:rsidRDefault="00A63EE6" w:rsidP="00A63EE6" w:rsidR="00A63EE6" w:rsidRPr="00B17BD5">
      <w:pPr>
        <w:jc w:val="both"/>
        <w:rPr>
          <w:b/>
          <w:sz w:val="24"/>
          <w:szCs w:val="24"/>
          <w:lang w:val="hr-HR"/>
        </w:rPr>
      </w:pPr>
    </w:p>
    <w:p w:rsidRDefault="00A63EE6" w:rsidP="004966CE" w:rsidR="007C087A" w:rsidRPr="00B17BD5">
      <w:pPr>
        <w:ind w:firstLine="708"/>
        <w:jc w:val="both"/>
        <w:rPr>
          <w:sz w:val="24"/>
          <w:szCs w:val="24"/>
          <w:lang w:val="hr-HR"/>
        </w:rPr>
      </w:pPr>
      <w:r w:rsidRPr="00B17BD5">
        <w:rPr>
          <w:sz w:val="24"/>
          <w:szCs w:val="24"/>
          <w:lang w:val="hr-HR"/>
        </w:rPr>
        <w:t xml:space="preserve">Trgovački sud u Splitu, po sutkinji Ani Golub Gruić, </w:t>
      </w:r>
      <w:r w:rsidR="00E44C56" w:rsidRPr="00E44C56">
        <w:rPr>
          <w:sz w:val="24"/>
          <w:szCs w:val="24"/>
          <w:lang w:val="hr-HR"/>
        </w:rPr>
        <w:t>u postupku radi naknade diobe stečajne mase iza GOLD ŠTEDIONICA d.o.o. u stečaju, OIB: 25749181068, Split, Mihovila Pavlinovića 2</w:t>
      </w:r>
      <w:r w:rsidR="00F76478" w:rsidRPr="00B17BD5">
        <w:rPr>
          <w:sz w:val="24"/>
          <w:szCs w:val="24"/>
          <w:lang w:val="hr-HR"/>
        </w:rPr>
        <w:t xml:space="preserve">, </w:t>
      </w:r>
      <w:r w:rsidR="00067E03">
        <w:rPr>
          <w:sz w:val="24"/>
          <w:szCs w:val="24"/>
          <w:lang w:val="hr-HR"/>
        </w:rPr>
        <w:t>24. srpnja</w:t>
      </w:r>
      <w:r w:rsidR="00790D28">
        <w:rPr>
          <w:sz w:val="24"/>
          <w:szCs w:val="24"/>
          <w:lang w:val="hr-HR"/>
        </w:rPr>
        <w:t xml:space="preserve"> 2018</w:t>
      </w:r>
      <w:r w:rsidR="00F76478" w:rsidRPr="00B17BD5">
        <w:rPr>
          <w:sz w:val="24"/>
          <w:szCs w:val="24"/>
          <w:lang w:val="hr-HR"/>
        </w:rPr>
        <w:t xml:space="preserve">. </w:t>
      </w:r>
    </w:p>
    <w:p w:rsidRDefault="00D65A07" w:rsidP="00211511" w:rsidR="00945DD1" w:rsidRPr="00B17BD5">
      <w:pPr>
        <w:spacing w:after="240" w:before="240"/>
        <w:jc w:val="center"/>
        <w:rPr>
          <w:sz w:val="24"/>
          <w:szCs w:val="24"/>
          <w:lang w:val="hr-HR"/>
        </w:rPr>
      </w:pPr>
      <w:r w:rsidRPr="00B17BD5">
        <w:rPr>
          <w:sz w:val="24"/>
          <w:szCs w:val="24"/>
          <w:lang w:val="hr-HR"/>
        </w:rPr>
        <w:t>r i j e š i o   j e</w:t>
      </w:r>
    </w:p>
    <w:p w:rsidRDefault="002F578D" w:rsidP="00EB0600" w:rsidR="00EB0600">
      <w:pPr>
        <w:ind w:firstLine="720"/>
        <w:jc w:val="both"/>
        <w:rPr>
          <w:sz w:val="24"/>
          <w:szCs w:val="24"/>
          <w:lang w:val="hr-HR"/>
        </w:rPr>
      </w:pPr>
      <w:r w:rsidRPr="00B17BD5">
        <w:rPr>
          <w:sz w:val="24"/>
          <w:szCs w:val="24"/>
          <w:lang w:val="hr-HR"/>
        </w:rPr>
        <w:t xml:space="preserve">  </w:t>
      </w:r>
      <w:r w:rsidR="00211511" w:rsidRPr="00B17BD5">
        <w:rPr>
          <w:sz w:val="24"/>
          <w:szCs w:val="24"/>
          <w:lang w:val="hr-HR"/>
        </w:rPr>
        <w:t xml:space="preserve">  </w:t>
      </w:r>
      <w:r w:rsidR="003F1049" w:rsidRPr="003F1049">
        <w:rPr>
          <w:sz w:val="24"/>
          <w:szCs w:val="24"/>
          <w:lang w:val="hr-HR"/>
        </w:rPr>
        <w:t>Prihvaća se prigovor vjerovnika Kreditne banke Zagreb d.d. Zagreb na rješenje ovog suda 11.St-895/2017 od 8. lipnja 2018. kojim je dana suglasnost stečajnom upravitelju na završnu diobu prema završnom diobenom popisu zaprimljenom kod ovoga suda 30. svibnja 2018., koji je objavljen na mrežnoj stranici e-Oglasna ploča sudova 6. lipnja 2018., a prema kojem će se vjerovnici I. i II. višeg isplatnog reda namiriti za ukupan iznos od 169.806,99 kn, odnosno za 100% od utvrđene tražbine te vjerovnici III. isplatnog reda za iznos od 150.036,30 kn, odnosno za 1,20% od utvrđene tražbine te se određuje da će se vjerovnici I. i II. višeg isplatnog reda namiriti za ukupan iznos od 169.806,99 kn, odnosno za 100% od utvrđene tražbine, dok će se vjerovnici III. isplatnog reda namiriti za iznos od 112.107,66 kn, odnosno za 0,8966% od utvrđene tražbine.</w:t>
      </w:r>
    </w:p>
    <w:p w:rsidRDefault="00037E19" w:rsidP="00037E19" w:rsidR="00037E19">
      <w:pPr>
        <w:rPr>
          <w:sz w:val="24"/>
          <w:szCs w:val="24"/>
          <w:lang w:val="hr-HR"/>
        </w:rPr>
      </w:pPr>
    </w:p>
    <w:p w:rsidRDefault="00037E19" w:rsidP="00037E19" w:rsidR="00790D28" w:rsidRPr="000C4D3F">
      <w:pPr>
        <w:ind w:firstLine="720"/>
        <w:rPr>
          <w:sz w:val="24"/>
          <w:szCs w:val="24"/>
          <w:lang w:val="hr-HR"/>
        </w:rPr>
      </w:pPr>
      <w:r>
        <w:rPr>
          <w:sz w:val="24"/>
          <w:szCs w:val="24"/>
          <w:lang w:val="hr-HR"/>
        </w:rPr>
        <w:t xml:space="preserve">                                                        </w:t>
      </w:r>
      <w:r w:rsidR="00790D28" w:rsidRPr="000C4D3F">
        <w:rPr>
          <w:sz w:val="24"/>
          <w:szCs w:val="24"/>
          <w:lang w:val="hr-HR"/>
        </w:rPr>
        <w:t>Obrazloženje</w:t>
      </w:r>
    </w:p>
    <w:p w:rsidRDefault="00E44C56" w:rsidP="00D33DD1" w:rsidR="00D33DD1">
      <w:pPr>
        <w:spacing w:before="200"/>
        <w:ind w:firstLine="708"/>
        <w:jc w:val="both"/>
        <w:rPr>
          <w:sz w:val="24"/>
          <w:szCs w:val="24"/>
          <w:lang w:val="hr-HR"/>
        </w:rPr>
      </w:pPr>
      <w:r w:rsidRPr="00E44C56">
        <w:rPr>
          <w:rFonts w:eastAsiaTheme="minorHAnsi"/>
          <w:sz w:val="24"/>
          <w:szCs w:val="24"/>
          <w:lang w:eastAsia="en-US" w:val="hr-HR"/>
        </w:rPr>
        <w:t>Rješenjem ovog suda poslovni broj X.St-70/2001 od 5. listopada 2001. otvoren je stečajni postupak nad dužnikom GOLD ŠTEDIONICA d.o.o. u ste</w:t>
      </w:r>
      <w:r w:rsidR="00D33DD1">
        <w:rPr>
          <w:rFonts w:eastAsiaTheme="minorHAnsi"/>
          <w:sz w:val="24"/>
          <w:szCs w:val="24"/>
          <w:lang w:eastAsia="en-US" w:val="hr-HR"/>
        </w:rPr>
        <w:t xml:space="preserve">čaju, Split, Poljička cesta 39, a </w:t>
      </w:r>
      <w:r w:rsidR="00D33DD1" w:rsidRPr="00D33DD1">
        <w:rPr>
          <w:sz w:val="24"/>
          <w:szCs w:val="24"/>
          <w:lang w:val="hr-HR"/>
        </w:rPr>
        <w:t>rješenjem poslovni broj 11.St-895/2017 od 21. rujna 2017. odre</w:t>
      </w:r>
      <w:r w:rsidR="00D33DD1">
        <w:rPr>
          <w:sz w:val="24"/>
          <w:szCs w:val="24"/>
          <w:lang w:val="hr-HR"/>
        </w:rPr>
        <w:t>đen je</w:t>
      </w:r>
      <w:r w:rsidR="00D33DD1" w:rsidRPr="00D33DD1">
        <w:rPr>
          <w:sz w:val="24"/>
          <w:szCs w:val="24"/>
          <w:lang w:val="hr-HR"/>
        </w:rPr>
        <w:t xml:space="preserve"> nastavak postupka radi naknadne diobe stečajne mase iza </w:t>
      </w:r>
      <w:r w:rsidR="00D33DD1">
        <w:rPr>
          <w:sz w:val="24"/>
          <w:szCs w:val="24"/>
          <w:lang w:val="hr-HR"/>
        </w:rPr>
        <w:t>stečajnog dužnika, razriješena je</w:t>
      </w:r>
      <w:r w:rsidR="002967F7">
        <w:rPr>
          <w:sz w:val="24"/>
          <w:szCs w:val="24"/>
          <w:lang w:val="hr-HR"/>
        </w:rPr>
        <w:t xml:space="preserve"> dužnosti dotadašnja stečajna upraviteljica, a</w:t>
      </w:r>
      <w:r w:rsidR="00D33DD1" w:rsidRPr="00D33DD1">
        <w:rPr>
          <w:sz w:val="24"/>
          <w:szCs w:val="24"/>
          <w:lang w:val="hr-HR"/>
        </w:rPr>
        <w:t xml:space="preserve"> za novo</w:t>
      </w:r>
      <w:r w:rsidR="00D33DD1">
        <w:rPr>
          <w:sz w:val="24"/>
          <w:szCs w:val="24"/>
          <w:lang w:val="hr-HR"/>
        </w:rPr>
        <w:t>g stečajnog upravitelja imenovan je Berislav Bušelić</w:t>
      </w:r>
      <w:r w:rsidR="00D33DD1" w:rsidRPr="00D33DD1">
        <w:rPr>
          <w:sz w:val="24"/>
          <w:szCs w:val="24"/>
          <w:lang w:val="hr-HR"/>
        </w:rPr>
        <w:t>.</w:t>
      </w:r>
    </w:p>
    <w:p w:rsidRDefault="00A63512" w:rsidP="00D33DD1" w:rsidR="00D33DD1" w:rsidRPr="00D33DD1">
      <w:pPr>
        <w:spacing w:before="200"/>
        <w:ind w:firstLine="708"/>
        <w:jc w:val="both"/>
        <w:rPr>
          <w:rFonts w:eastAsiaTheme="minorHAnsi"/>
          <w:sz w:val="24"/>
          <w:szCs w:val="24"/>
          <w:lang w:eastAsia="en-US" w:val="hr-HR"/>
        </w:rPr>
      </w:pPr>
      <w:r>
        <w:rPr>
          <w:rFonts w:eastAsiaTheme="minorHAnsi"/>
          <w:sz w:val="24"/>
          <w:szCs w:val="24"/>
          <w:lang w:eastAsia="en-US" w:val="hr-HR"/>
        </w:rPr>
        <w:t>Nadalje, r</w:t>
      </w:r>
      <w:r w:rsidRPr="00A63512">
        <w:rPr>
          <w:rFonts w:eastAsiaTheme="minorHAnsi"/>
          <w:sz w:val="24"/>
          <w:szCs w:val="24"/>
          <w:lang w:eastAsia="en-US" w:val="hr-HR"/>
        </w:rPr>
        <w:t>ješenjem ovog suda poslovni broj 11.St-895/2017 od 2. veljače 2018. Berislav Bušelić razriješen je dužnosti stečajnog upravitelja, a za novog stečajnog upravitelja imenovan je Ivan Sunara.</w:t>
      </w:r>
    </w:p>
    <w:p w:rsidRDefault="00E44C56" w:rsidP="00211511" w:rsidR="00E44C56">
      <w:pPr>
        <w:tabs>
          <w:tab w:pos="709" w:val="left"/>
          <w:tab w:pos="6810" w:val="left"/>
        </w:tabs>
        <w:spacing w:before="200"/>
        <w:jc w:val="both"/>
        <w:rPr>
          <w:rFonts w:eastAsiaTheme="minorHAnsi"/>
          <w:sz w:val="24"/>
          <w:szCs w:val="24"/>
          <w:lang w:eastAsia="en-US" w:val="hr-HR"/>
        </w:rPr>
      </w:pPr>
      <w:r>
        <w:rPr>
          <w:rFonts w:eastAsiaTheme="minorHAnsi"/>
          <w:sz w:val="24"/>
          <w:szCs w:val="24"/>
          <w:lang w:eastAsia="en-US" w:val="hr-HR"/>
        </w:rPr>
        <w:tab/>
        <w:t>Dana 5. ožujka 2018. kod ovog suda zaprimljeno je izvješće steča</w:t>
      </w:r>
      <w:r w:rsidR="00FD4EE6">
        <w:rPr>
          <w:rFonts w:eastAsiaTheme="minorHAnsi"/>
          <w:sz w:val="24"/>
          <w:szCs w:val="24"/>
          <w:lang w:eastAsia="en-US" w:val="hr-HR"/>
        </w:rPr>
        <w:t>jnog upravitelja Ivana Sunare (list 1095-1116 spisa) iz kojeg u bitnom proizlazi da su ostvarene pretpostavke za nastavak postupka radi naknade diobe i isplate stečajnih vjerovnika, a uzimajući u obzir raspoloživa sredstva od 393.275,11 kn.</w:t>
      </w:r>
    </w:p>
    <w:p w:rsidRDefault="00FD4EE6" w:rsidP="00211511" w:rsidR="00211511">
      <w:pPr>
        <w:tabs>
          <w:tab w:pos="709" w:val="left"/>
          <w:tab w:pos="6810" w:val="left"/>
        </w:tabs>
        <w:spacing w:before="200"/>
        <w:jc w:val="both"/>
        <w:rPr>
          <w:sz w:val="24"/>
          <w:szCs w:val="24"/>
          <w:lang w:val="hr-HR"/>
        </w:rPr>
      </w:pPr>
      <w:r>
        <w:rPr>
          <w:rFonts w:eastAsiaTheme="minorHAnsi"/>
          <w:sz w:val="24"/>
          <w:szCs w:val="24"/>
          <w:lang w:eastAsia="en-US" w:val="hr-HR"/>
        </w:rPr>
        <w:lastRenderedPageBreak/>
        <w:tab/>
      </w:r>
      <w:r w:rsidR="00211511" w:rsidRPr="00933576">
        <w:rPr>
          <w:bCs/>
          <w:sz w:val="24"/>
          <w:szCs w:val="24"/>
          <w:lang w:val="hr-HR"/>
        </w:rPr>
        <w:t xml:space="preserve">Podneskom od </w:t>
      </w:r>
      <w:r w:rsidR="00933576">
        <w:rPr>
          <w:bCs/>
          <w:sz w:val="24"/>
          <w:szCs w:val="24"/>
          <w:lang w:val="hr-HR"/>
        </w:rPr>
        <w:t>30. svibnja</w:t>
      </w:r>
      <w:r w:rsidR="00211511" w:rsidRPr="00933576">
        <w:rPr>
          <w:bCs/>
          <w:sz w:val="24"/>
          <w:szCs w:val="24"/>
          <w:lang w:val="hr-HR"/>
        </w:rPr>
        <w:t xml:space="preserve"> 2018. </w:t>
      </w:r>
      <w:r>
        <w:rPr>
          <w:sz w:val="24"/>
          <w:szCs w:val="24"/>
          <w:lang w:val="hr-HR"/>
        </w:rPr>
        <w:t>(list 1148-1154 spisa)</w:t>
      </w:r>
      <w:r w:rsidR="00211511" w:rsidRPr="00933576">
        <w:rPr>
          <w:sz w:val="24"/>
          <w:szCs w:val="24"/>
          <w:lang w:val="hr-HR"/>
        </w:rPr>
        <w:t xml:space="preserve"> stečajni upravitelj </w:t>
      </w:r>
      <w:r w:rsidR="00933576">
        <w:rPr>
          <w:sz w:val="24"/>
          <w:szCs w:val="24"/>
          <w:lang w:val="hr-HR"/>
        </w:rPr>
        <w:t>Ivan Sunara</w:t>
      </w:r>
      <w:r w:rsidR="00211511" w:rsidRPr="00933576">
        <w:rPr>
          <w:sz w:val="24"/>
          <w:szCs w:val="24"/>
          <w:lang w:val="hr-HR"/>
        </w:rPr>
        <w:t xml:space="preserve"> dostavio je  ovom sudu završni diobni popis, završni račun i završno izvješće, a koje isprave su i javno objavljene 6. </w:t>
      </w:r>
      <w:r w:rsidR="00933576">
        <w:rPr>
          <w:sz w:val="24"/>
          <w:szCs w:val="24"/>
          <w:lang w:val="hr-HR"/>
        </w:rPr>
        <w:t>lipnja</w:t>
      </w:r>
      <w:r w:rsidR="00211511" w:rsidRPr="00933576">
        <w:rPr>
          <w:sz w:val="24"/>
          <w:szCs w:val="24"/>
          <w:lang w:val="hr-HR"/>
        </w:rPr>
        <w:t xml:space="preserve"> 2018. na mrežnoj stranici e-Oglasna ploča sudova (čl. 89. st. 3. Stečajnog zakona - „Narodne novine“ broj 71/15 i 104/17; dalje: SZ</w:t>
      </w:r>
      <w:r>
        <w:rPr>
          <w:sz w:val="24"/>
          <w:szCs w:val="24"/>
          <w:lang w:val="hr-HR"/>
        </w:rPr>
        <w:t>/15 u vezi sa čl. 441. st. 2. SZ/15</w:t>
      </w:r>
      <w:r w:rsidR="00211511" w:rsidRPr="00933576">
        <w:rPr>
          <w:sz w:val="24"/>
          <w:szCs w:val="24"/>
          <w:lang w:val="hr-HR"/>
        </w:rPr>
        <w:t xml:space="preserve">). </w:t>
      </w:r>
    </w:p>
    <w:p w:rsidRDefault="00FD4EE6" w:rsidP="00211511" w:rsidR="00FD4EE6" w:rsidRPr="00933576">
      <w:pPr>
        <w:tabs>
          <w:tab w:pos="709" w:val="left"/>
          <w:tab w:pos="6810" w:val="left"/>
        </w:tabs>
        <w:spacing w:before="200"/>
        <w:jc w:val="both"/>
        <w:rPr>
          <w:sz w:val="24"/>
          <w:szCs w:val="24"/>
          <w:lang w:val="hr-HR"/>
        </w:rPr>
      </w:pPr>
      <w:r>
        <w:rPr>
          <w:sz w:val="24"/>
          <w:szCs w:val="24"/>
          <w:lang w:val="hr-HR"/>
        </w:rPr>
        <w:tab/>
        <w:t xml:space="preserve">Predloženom naknadnom diobom stečajni upravitelj predvidio je namirenje vjerovnika I., II. višeg isplatnog reda (i to u cijelosti – 100% utvrđenih tražbina) te III. višeg isplatnog reda (1,2% od ukupno utvrđenih tražbina), sveukupnom iznosu od 319.843,29 kn. Pritom, stečajni upravitelj predvidio je rezervaciju iznosa od 73.412,59 kn za troškove postupka i ostale obveze stečajne mase (pri čemu je posebno specificirao predmetne troškove). </w:t>
      </w:r>
    </w:p>
    <w:p w:rsidRDefault="00FD4EE6" w:rsidP="00FD4EE6" w:rsidR="003F1049">
      <w:pPr>
        <w:spacing w:before="200"/>
        <w:ind w:firstLine="720"/>
        <w:jc w:val="both"/>
        <w:rPr>
          <w:sz w:val="24"/>
          <w:szCs w:val="24"/>
          <w:lang w:val="hr-HR"/>
        </w:rPr>
      </w:pPr>
      <w:r w:rsidRPr="00FD4EE6">
        <w:rPr>
          <w:sz w:val="24"/>
          <w:szCs w:val="24"/>
          <w:lang w:val="hr-HR"/>
        </w:rPr>
        <w:t>Odredbom čl. 192. st. 2. Stečajnog zakona („Narodne novine“ broj 44/96, 29/99, 129/00, 123/03, 82/06, 116/10, 25/12, 133/12 i 45/13 dalje SZ/96) u vezi sa čl. 441. st. 1. SZ/15, završna dioba se može poduzeti samo uz suglasnost stečajnog suca.</w:t>
      </w:r>
    </w:p>
    <w:p w:rsidRDefault="00FD4EE6" w:rsidP="003F1049" w:rsidR="00FD4EE6" w:rsidRPr="00FD4EE6">
      <w:pPr>
        <w:spacing w:before="200"/>
        <w:ind w:firstLine="720"/>
        <w:jc w:val="both"/>
        <w:rPr>
          <w:sz w:val="24"/>
          <w:szCs w:val="24"/>
          <w:lang w:val="hr-HR"/>
        </w:rPr>
      </w:pPr>
      <w:r w:rsidRPr="00FD4EE6">
        <w:rPr>
          <w:sz w:val="24"/>
          <w:szCs w:val="24"/>
          <w:lang w:val="hr-HR"/>
        </w:rPr>
        <w:t xml:space="preserve"> Kako </w:t>
      </w:r>
      <w:r w:rsidR="003F1049">
        <w:rPr>
          <w:sz w:val="24"/>
          <w:szCs w:val="24"/>
          <w:lang w:val="hr-HR"/>
        </w:rPr>
        <w:t xml:space="preserve">je </w:t>
      </w:r>
      <w:r w:rsidRPr="00FD4EE6">
        <w:rPr>
          <w:sz w:val="24"/>
          <w:szCs w:val="24"/>
          <w:lang w:val="hr-HR"/>
        </w:rPr>
        <w:t>iz stanja u spisu i navoda stečajnog upravitelja proiz</w:t>
      </w:r>
      <w:r w:rsidR="003F1049">
        <w:rPr>
          <w:sz w:val="24"/>
          <w:szCs w:val="24"/>
          <w:lang w:val="hr-HR"/>
        </w:rPr>
        <w:t>ašlo</w:t>
      </w:r>
      <w:r w:rsidRPr="00FD4EE6">
        <w:rPr>
          <w:sz w:val="24"/>
          <w:szCs w:val="24"/>
          <w:lang w:val="hr-HR"/>
        </w:rPr>
        <w:t xml:space="preserve"> d</w:t>
      </w:r>
      <w:r w:rsidR="003F1049">
        <w:rPr>
          <w:sz w:val="24"/>
          <w:szCs w:val="24"/>
          <w:lang w:val="hr-HR"/>
        </w:rPr>
        <w:t xml:space="preserve">a je unovčena sva stečajna masa, ovaj sud je ocijenio da </w:t>
      </w:r>
      <w:r w:rsidRPr="00FD4EE6">
        <w:rPr>
          <w:sz w:val="24"/>
          <w:szCs w:val="24"/>
          <w:lang w:val="hr-HR"/>
        </w:rPr>
        <w:t>ne postoje zaprek</w:t>
      </w:r>
      <w:r w:rsidR="003F1049">
        <w:rPr>
          <w:sz w:val="24"/>
          <w:szCs w:val="24"/>
          <w:lang w:val="hr-HR"/>
        </w:rPr>
        <w:t xml:space="preserve">e za poduzimanje završne diobe  pa je rješenjem poslovni broj St-895/2017 od 8. lipnja 2018. (list 1156-1158 spisa) dao </w:t>
      </w:r>
      <w:r w:rsidR="003F1049" w:rsidRPr="003F1049">
        <w:rPr>
          <w:sz w:val="24"/>
          <w:szCs w:val="24"/>
          <w:lang w:val="hr-HR"/>
        </w:rPr>
        <w:t>suglasnost stečajnom upravitelju na završnu diobu prema završnom diobnom popisu zaprimljenom ko</w:t>
      </w:r>
      <w:r w:rsidR="003F1049">
        <w:rPr>
          <w:sz w:val="24"/>
          <w:szCs w:val="24"/>
          <w:lang w:val="hr-HR"/>
        </w:rPr>
        <w:t>d ovoga suda 30. svibnja 2018.</w:t>
      </w:r>
      <w:r w:rsidR="003F1049" w:rsidRPr="003F1049">
        <w:rPr>
          <w:sz w:val="24"/>
          <w:szCs w:val="24"/>
          <w:lang w:val="hr-HR"/>
        </w:rPr>
        <w:t xml:space="preserve">, a prema kojoj će se vjerovnici I. i II. višeg isplatnog reda namiriti za ukupan iznos od 169.806,99 kn, odnosno za 100% od utvrđene tražbine te vjerovnici III. isplatnog reda za iznos od 150.036,30 kn, odnosno za 1,20% od </w:t>
      </w:r>
      <w:r w:rsidR="003F1049">
        <w:rPr>
          <w:sz w:val="24"/>
          <w:szCs w:val="24"/>
          <w:lang w:val="hr-HR"/>
        </w:rPr>
        <w:t xml:space="preserve">utvrđene tražbine (točke I. izreke rješenja). Točkom II. izreke predmetnog rješenja određeno je </w:t>
      </w:r>
      <w:r w:rsidR="003F1049" w:rsidRPr="003F1049">
        <w:rPr>
          <w:sz w:val="24"/>
          <w:szCs w:val="24"/>
          <w:lang w:val="hr-HR"/>
        </w:rPr>
        <w:t>završno ročište za 5. srpnja 2018.</w:t>
      </w:r>
    </w:p>
    <w:p w:rsidRDefault="003F1049" w:rsidP="003F1049" w:rsidR="003F1049">
      <w:pPr>
        <w:spacing w:before="200"/>
        <w:jc w:val="both"/>
        <w:rPr>
          <w:sz w:val="24"/>
          <w:szCs w:val="24"/>
          <w:lang w:val="hr-HR"/>
        </w:rPr>
      </w:pPr>
      <w:r>
        <w:rPr>
          <w:sz w:val="24"/>
          <w:szCs w:val="24"/>
          <w:lang w:val="hr-HR"/>
        </w:rPr>
        <w:tab/>
        <w:t>Protiv citiranog rješenja, dana 12. lipnja 2018. stečajni vjerovnik Kreditna banka Zagreb d.d. Zagreb podnijela je prigovor, ističući u bitnom kako prema stečajnom dužniku ima tražbinu s osnove ostalih obveza stečajne mse temeljem pravomoćne i ovršne presude Trgovačkog suda u Splitu broj XI P-278/2002 od 29. listopada 2002., potvrđene presudom Visokog trgovačko</w:t>
      </w:r>
      <w:r w:rsidR="006D078A">
        <w:rPr>
          <w:sz w:val="24"/>
          <w:szCs w:val="24"/>
          <w:lang w:val="hr-HR"/>
        </w:rPr>
        <w:t>g suda Repub</w:t>
      </w:r>
      <w:r>
        <w:rPr>
          <w:sz w:val="24"/>
          <w:szCs w:val="24"/>
          <w:lang w:val="hr-HR"/>
        </w:rPr>
        <w:t xml:space="preserve">like Hrvatske broj Pž-637/03 od 6. prosinca 2005., a koja na dan 12. lipnja 2018. iznosi 37.928,64 kn. O navedenom potraživanju da je ovaj vjerovnik izvijestio sud podneskom od 1. listopada 2015. Slijedom navedenog, predložio je da stečajni sudac izvrši ispravak diobenog popisa imajući u vidu </w:t>
      </w:r>
      <w:r w:rsidR="008143AB">
        <w:rPr>
          <w:sz w:val="24"/>
          <w:szCs w:val="24"/>
          <w:lang w:val="hr-HR"/>
        </w:rPr>
        <w:t>navedenu tražbinu.</w:t>
      </w:r>
    </w:p>
    <w:p w:rsidRDefault="008143AB" w:rsidP="003F1049" w:rsidR="008143AB">
      <w:pPr>
        <w:spacing w:before="200"/>
        <w:jc w:val="both"/>
        <w:rPr>
          <w:sz w:val="24"/>
          <w:szCs w:val="24"/>
          <w:lang w:val="hr-HR"/>
        </w:rPr>
      </w:pPr>
      <w:r>
        <w:rPr>
          <w:sz w:val="24"/>
          <w:szCs w:val="24"/>
          <w:lang w:val="hr-HR"/>
        </w:rPr>
        <w:tab/>
        <w:t xml:space="preserve">Zaključkom ovoga suda </w:t>
      </w:r>
      <w:r w:rsidRPr="008143AB">
        <w:rPr>
          <w:sz w:val="24"/>
          <w:szCs w:val="24"/>
          <w:lang w:val="hr-HR"/>
        </w:rPr>
        <w:t>poslovni broj St-895/2017 od</w:t>
      </w:r>
      <w:r>
        <w:rPr>
          <w:sz w:val="24"/>
          <w:szCs w:val="24"/>
          <w:lang w:val="hr-HR"/>
        </w:rPr>
        <w:t xml:space="preserve"> 19. lipnja 2018. (list 1162 spisa) pozvan je stečajni upravitelj očitovati se o predmetnom prigovoru.</w:t>
      </w:r>
    </w:p>
    <w:p w:rsidRDefault="008143AB" w:rsidP="00EB0600" w:rsidR="003F1049">
      <w:pPr>
        <w:spacing w:before="200"/>
        <w:jc w:val="both"/>
        <w:rPr>
          <w:sz w:val="24"/>
          <w:szCs w:val="24"/>
          <w:lang w:val="hr-HR"/>
        </w:rPr>
      </w:pPr>
      <w:r>
        <w:rPr>
          <w:sz w:val="24"/>
          <w:szCs w:val="24"/>
          <w:lang w:val="hr-HR"/>
        </w:rPr>
        <w:tab/>
        <w:t xml:space="preserve">Podneskom od 3. srpnja 2018. (list 1163-1165 spisa) stečajni upravitelj naveo je da je predmetni prigovor osnovan jer nije </w:t>
      </w:r>
      <w:r w:rsidR="00EB0600">
        <w:rPr>
          <w:sz w:val="24"/>
          <w:szCs w:val="24"/>
          <w:lang w:val="hr-HR"/>
        </w:rPr>
        <w:t xml:space="preserve">rezervirao, odnosno predložio rezervaciju sredstava iz osnova ostalih obveza stečajne mase za isplatu parničnih troškova ovom stečajnom vjerovniku u iznosu od </w:t>
      </w:r>
      <w:r w:rsidR="00EB0600" w:rsidRPr="00EB0600">
        <w:rPr>
          <w:sz w:val="24"/>
          <w:szCs w:val="24"/>
          <w:lang w:val="hr-HR"/>
        </w:rPr>
        <w:t>37.928,64 kn</w:t>
      </w:r>
      <w:r w:rsidR="00EB0600">
        <w:rPr>
          <w:sz w:val="24"/>
          <w:szCs w:val="24"/>
          <w:lang w:val="hr-HR"/>
        </w:rPr>
        <w:t xml:space="preserve"> iz razloga što nije znao za postojanje predmetne odluke. Slijedom navedenog, predložio je da se prihvati prigovor Kreditne banke Zagreb d.d.  te da se, umjesto predviđenog namirenja od vjerovnika</w:t>
      </w:r>
      <w:r w:rsidR="00EB0600" w:rsidRPr="00EB0600">
        <w:rPr>
          <w:sz w:val="24"/>
          <w:szCs w:val="24"/>
          <w:lang w:val="hr-HR"/>
        </w:rPr>
        <w:t xml:space="preserve"> III. isplatnog reda za iznos od 150.036,30 kn, odnosno za 1,20% od utvrđene tražbine vjerovnici </w:t>
      </w:r>
      <w:r w:rsidR="00EB0600">
        <w:rPr>
          <w:sz w:val="24"/>
          <w:szCs w:val="24"/>
          <w:lang w:val="hr-HR"/>
        </w:rPr>
        <w:t>tog reda namire</w:t>
      </w:r>
      <w:r w:rsidR="00EB0600" w:rsidRPr="00EB0600">
        <w:rPr>
          <w:sz w:val="24"/>
          <w:szCs w:val="24"/>
          <w:lang w:val="hr-HR"/>
        </w:rPr>
        <w:t xml:space="preserve"> za iznos od 112.107,66 kn, odnosno za 0,8966% od utvrđene tražbine</w:t>
      </w:r>
      <w:r w:rsidR="00EB0600">
        <w:rPr>
          <w:sz w:val="24"/>
          <w:szCs w:val="24"/>
          <w:lang w:val="hr-HR"/>
        </w:rPr>
        <w:t xml:space="preserve"> (dok namirenja vjerovnika I. i II. višeg isplatnog reda ostaje u 100%-tnom iznosu)</w:t>
      </w:r>
      <w:r w:rsidR="00EB0600" w:rsidRPr="00EB0600">
        <w:rPr>
          <w:sz w:val="24"/>
          <w:szCs w:val="24"/>
          <w:lang w:val="hr-HR"/>
        </w:rPr>
        <w:t>.</w:t>
      </w:r>
    </w:p>
    <w:p w:rsidRDefault="00EB0600" w:rsidP="00D33DD1" w:rsidR="00067E03">
      <w:pPr>
        <w:jc w:val="both"/>
        <w:rPr>
          <w:sz w:val="24"/>
          <w:szCs w:val="24"/>
          <w:lang w:val="hr-HR"/>
        </w:rPr>
      </w:pPr>
      <w:r>
        <w:rPr>
          <w:sz w:val="24"/>
          <w:szCs w:val="24"/>
          <w:lang w:val="hr-HR"/>
        </w:rPr>
        <w:tab/>
        <w:t xml:space="preserve">Na završnom ročištu održanom kod ovoga suda 5. srpnja 2018. (list 1167-1169 spisa) ovaj sud je rješenjem prihvatio predmetni </w:t>
      </w:r>
      <w:r w:rsidRPr="00EB0600">
        <w:rPr>
          <w:sz w:val="24"/>
          <w:szCs w:val="24"/>
          <w:lang w:val="hr-HR"/>
        </w:rPr>
        <w:t xml:space="preserve">prigovor vjerovnika Kreditne banke Zagreb d.d. Zagreb na rješenje ovog suda 11.St-895/2017 od 8. lipnja 2018. kojim je dana suglasnost stečajnom upravitelju na završnu diobu prema završnom diobenom popisu zaprimljenom kod ovoga suda 30. svibnja 2018., koji je objavljen na mrežnoj stranici e-Oglasna ploča sudova 6. lipnja 2018., a prema kojem će se vjerovnici I. i II. višeg isplatnog reda namiriti za ukupan iznos od 169.806,99 kn, odnosno za 100% od utvrđene tražbine te vjerovnici III. isplatnog reda za iznos od 150.036,30 kn, odnosno za 1,20% od utvrđene tražbine te </w:t>
      </w:r>
      <w:r>
        <w:rPr>
          <w:sz w:val="24"/>
          <w:szCs w:val="24"/>
          <w:lang w:val="hr-HR"/>
        </w:rPr>
        <w:t>odredio</w:t>
      </w:r>
      <w:r w:rsidRPr="00EB0600">
        <w:rPr>
          <w:sz w:val="24"/>
          <w:szCs w:val="24"/>
          <w:lang w:val="hr-HR"/>
        </w:rPr>
        <w:t xml:space="preserve"> da će se vjerovnici I. i II. višeg isplatnog reda namiriti za ukupan iznos od 169.806,99 kn, odnosno za 100% od utvrđene tražbine, dok će se vjerovnici III. isplatnog reda namiriti za iznos od 112.107,66 kn, odnosno za 0,8966% od utvrđene tražbine.</w:t>
      </w:r>
    </w:p>
    <w:p w:rsidRDefault="00D33DD1" w:rsidP="00D33DD1" w:rsidR="00D33DD1">
      <w:pPr>
        <w:jc w:val="both"/>
        <w:rPr>
          <w:sz w:val="24"/>
          <w:szCs w:val="24"/>
          <w:lang w:val="hr-HR"/>
        </w:rPr>
      </w:pPr>
    </w:p>
    <w:p w:rsidRDefault="00EB0600" w:rsidP="00D33DD1" w:rsidR="00A8159B" w:rsidRPr="00A8159B">
      <w:pPr>
        <w:ind w:firstLine="720"/>
        <w:jc w:val="both"/>
        <w:rPr>
          <w:sz w:val="24"/>
          <w:szCs w:val="24"/>
          <w:lang w:val="hr-HR"/>
        </w:rPr>
      </w:pPr>
      <w:r>
        <w:rPr>
          <w:sz w:val="24"/>
          <w:szCs w:val="24"/>
          <w:lang w:val="hr-HR"/>
        </w:rPr>
        <w:t xml:space="preserve">Naime, odredbom čl. </w:t>
      </w:r>
      <w:r w:rsidR="00A8159B">
        <w:rPr>
          <w:sz w:val="24"/>
          <w:szCs w:val="24"/>
          <w:lang w:val="hr-HR"/>
        </w:rPr>
        <w:t xml:space="preserve">193. st. 1. </w:t>
      </w:r>
      <w:r w:rsidR="00A8159B" w:rsidRPr="00A8159B">
        <w:rPr>
          <w:sz w:val="24"/>
          <w:szCs w:val="24"/>
          <w:lang w:val="hr-HR"/>
        </w:rPr>
        <w:t>SZ</w:t>
      </w:r>
      <w:r w:rsidR="00A8159B">
        <w:rPr>
          <w:sz w:val="24"/>
          <w:szCs w:val="24"/>
          <w:lang w:val="hr-HR"/>
        </w:rPr>
        <w:t>/96</w:t>
      </w:r>
      <w:r w:rsidR="00D225B7">
        <w:rPr>
          <w:sz w:val="24"/>
          <w:szCs w:val="24"/>
          <w:lang w:val="hr-HR"/>
        </w:rPr>
        <w:t xml:space="preserve"> koje se primjenjuje temeljem odredbe čl. 441. st. 1. </w:t>
      </w:r>
      <w:r w:rsidR="00D225B7" w:rsidRPr="00D225B7">
        <w:rPr>
          <w:sz w:val="24"/>
          <w:szCs w:val="24"/>
          <w:lang w:val="hr-HR"/>
        </w:rPr>
        <w:t>Stečajnog zakona („Narodne novine“ broj 71/15 i 104/2017; dalje SZ</w:t>
      </w:r>
      <w:r w:rsidR="00D225B7">
        <w:rPr>
          <w:sz w:val="24"/>
          <w:szCs w:val="24"/>
          <w:lang w:val="hr-HR"/>
        </w:rPr>
        <w:t>/15</w:t>
      </w:r>
      <w:r w:rsidR="00D225B7" w:rsidRPr="00D225B7">
        <w:rPr>
          <w:sz w:val="24"/>
          <w:szCs w:val="24"/>
          <w:lang w:val="hr-HR"/>
        </w:rPr>
        <w:t>)</w:t>
      </w:r>
      <w:r w:rsidR="00A8159B" w:rsidRPr="00A8159B">
        <w:rPr>
          <w:sz w:val="24"/>
          <w:szCs w:val="24"/>
          <w:lang w:val="hr-HR"/>
        </w:rPr>
        <w:t xml:space="preserve"> </w:t>
      </w:r>
      <w:r w:rsidR="00A8159B">
        <w:rPr>
          <w:sz w:val="24"/>
          <w:szCs w:val="24"/>
          <w:lang w:val="hr-HR"/>
        </w:rPr>
        <w:t>propisano je da p</w:t>
      </w:r>
      <w:r w:rsidR="00A8159B" w:rsidRPr="00A8159B">
        <w:rPr>
          <w:sz w:val="24"/>
          <w:szCs w:val="24"/>
          <w:lang w:val="hr-HR"/>
        </w:rPr>
        <w:t>rigodom davanja suglasnosti za završnu diobu stečajni sudac određuje završno ročište vjerovnika. Na tom ročištu se:</w:t>
      </w:r>
    </w:p>
    <w:p w:rsidRDefault="00A8159B" w:rsidP="00A8159B" w:rsidR="00A8159B" w:rsidRPr="00A8159B">
      <w:pPr>
        <w:spacing w:before="40"/>
        <w:ind w:firstLine="720"/>
        <w:jc w:val="both"/>
        <w:rPr>
          <w:sz w:val="24"/>
          <w:szCs w:val="24"/>
          <w:lang w:val="hr-HR"/>
        </w:rPr>
      </w:pPr>
      <w:r w:rsidRPr="00A8159B">
        <w:rPr>
          <w:sz w:val="24"/>
          <w:szCs w:val="24"/>
          <w:lang w:val="hr-HR"/>
        </w:rPr>
        <w:t>1. raspravlja o završnom računu stečajnoga upravitelja,</w:t>
      </w:r>
    </w:p>
    <w:p w:rsidRDefault="00A8159B" w:rsidP="00A8159B" w:rsidR="00A8159B" w:rsidRPr="00A8159B">
      <w:pPr>
        <w:spacing w:before="40"/>
        <w:ind w:firstLine="720"/>
        <w:jc w:val="both"/>
        <w:rPr>
          <w:sz w:val="24"/>
          <w:szCs w:val="24"/>
          <w:lang w:val="hr-HR"/>
        </w:rPr>
      </w:pPr>
      <w:r w:rsidRPr="00A8159B">
        <w:rPr>
          <w:sz w:val="24"/>
          <w:szCs w:val="24"/>
          <w:lang w:val="hr-HR"/>
        </w:rPr>
        <w:t>2. podnose prigovori na završni popis i</w:t>
      </w:r>
    </w:p>
    <w:p w:rsidRDefault="00A8159B" w:rsidP="00A8159B" w:rsidR="00A8159B" w:rsidRPr="00A8159B">
      <w:pPr>
        <w:spacing w:before="40"/>
        <w:ind w:firstLine="720"/>
        <w:jc w:val="both"/>
        <w:rPr>
          <w:sz w:val="24"/>
          <w:szCs w:val="24"/>
          <w:lang w:val="hr-HR"/>
        </w:rPr>
      </w:pPr>
      <w:r w:rsidRPr="00A8159B">
        <w:rPr>
          <w:sz w:val="24"/>
          <w:szCs w:val="24"/>
          <w:lang w:val="hr-HR"/>
        </w:rPr>
        <w:t>3. vjerovnici odlučuju o neunovčivim predmetima stečajne mase.</w:t>
      </w:r>
    </w:p>
    <w:p w:rsidRDefault="00A8159B" w:rsidP="00A8159B" w:rsidR="00A8159B">
      <w:pPr>
        <w:spacing w:before="40"/>
        <w:jc w:val="both"/>
        <w:rPr>
          <w:sz w:val="24"/>
          <w:szCs w:val="24"/>
          <w:lang w:val="hr-HR"/>
        </w:rPr>
      </w:pPr>
      <w:r>
        <w:rPr>
          <w:sz w:val="24"/>
          <w:szCs w:val="24"/>
          <w:lang w:val="hr-HR"/>
        </w:rPr>
        <w:t>Stavkom 3. istoga čl propisano je da s</w:t>
      </w:r>
      <w:r w:rsidRPr="00A8159B">
        <w:rPr>
          <w:sz w:val="24"/>
          <w:szCs w:val="24"/>
          <w:lang w:val="hr-HR"/>
        </w:rPr>
        <w:t>tečajni sudac rješenjem na završnom ročištu odlučuje o prigovorima vje</w:t>
      </w:r>
      <w:r>
        <w:rPr>
          <w:sz w:val="24"/>
          <w:szCs w:val="24"/>
          <w:lang w:val="hr-HR"/>
        </w:rPr>
        <w:t xml:space="preserve">rovnika iz stavka 1. točke 2. toga članka, a stavkom 4. da se na </w:t>
      </w:r>
      <w:r w:rsidRPr="00A8159B">
        <w:rPr>
          <w:sz w:val="24"/>
          <w:szCs w:val="24"/>
          <w:lang w:val="hr-HR"/>
        </w:rPr>
        <w:t>odluku stečajnog suca o prigovorima vjerovnika na odgovarajući način primjenjuju odredbe č</w:t>
      </w:r>
      <w:r>
        <w:rPr>
          <w:sz w:val="24"/>
          <w:szCs w:val="24"/>
          <w:lang w:val="hr-HR"/>
        </w:rPr>
        <w:t>lanka 190. stavka 2., 3. i 4. t</w:t>
      </w:r>
      <w:r w:rsidRPr="00A8159B">
        <w:rPr>
          <w:sz w:val="24"/>
          <w:szCs w:val="24"/>
          <w:lang w:val="hr-HR"/>
        </w:rPr>
        <w:t>oga Zakona.</w:t>
      </w:r>
    </w:p>
    <w:p w:rsidRDefault="00A8159B" w:rsidP="00BA2765" w:rsidR="00A8159B">
      <w:pPr>
        <w:spacing w:before="200"/>
        <w:jc w:val="both"/>
        <w:rPr>
          <w:sz w:val="24"/>
          <w:szCs w:val="24"/>
          <w:lang w:val="hr-HR"/>
        </w:rPr>
      </w:pPr>
      <w:r>
        <w:rPr>
          <w:sz w:val="24"/>
          <w:szCs w:val="24"/>
          <w:lang w:val="hr-HR"/>
        </w:rPr>
        <w:tab/>
        <w:t xml:space="preserve">U svom očitovanju </w:t>
      </w:r>
      <w:r w:rsidRPr="00A8159B">
        <w:rPr>
          <w:sz w:val="24"/>
          <w:szCs w:val="24"/>
          <w:lang w:val="hr-HR"/>
        </w:rPr>
        <w:t>od 3. srpnja 2018.</w:t>
      </w:r>
      <w:r>
        <w:rPr>
          <w:sz w:val="24"/>
          <w:szCs w:val="24"/>
          <w:lang w:val="hr-HR"/>
        </w:rPr>
        <w:t xml:space="preserve"> stečajni upravitelj naveo je </w:t>
      </w:r>
      <w:r w:rsidRPr="00A8159B">
        <w:rPr>
          <w:sz w:val="24"/>
          <w:szCs w:val="24"/>
          <w:lang w:val="hr-HR"/>
        </w:rPr>
        <w:t>da je predmetni prigovor osnovan jer nije rezervirao, odnosno predložio rezervaciju sredstava iz osnova ostalih obveza stečajne mase za isplatu parničnih troškova</w:t>
      </w:r>
      <w:r>
        <w:rPr>
          <w:sz w:val="24"/>
          <w:szCs w:val="24"/>
          <w:lang w:val="hr-HR"/>
        </w:rPr>
        <w:t xml:space="preserve"> </w:t>
      </w:r>
      <w:r w:rsidR="00BA2765">
        <w:rPr>
          <w:sz w:val="24"/>
          <w:szCs w:val="24"/>
          <w:lang w:val="hr-HR"/>
        </w:rPr>
        <w:t>(</w:t>
      </w:r>
      <w:r>
        <w:rPr>
          <w:sz w:val="24"/>
          <w:szCs w:val="24"/>
          <w:lang w:val="hr-HR"/>
        </w:rPr>
        <w:t xml:space="preserve">a što je bio dužan u smislu odredbe čl. </w:t>
      </w:r>
      <w:r w:rsidR="00DF74B2">
        <w:rPr>
          <w:sz w:val="24"/>
          <w:szCs w:val="24"/>
          <w:lang w:val="hr-HR"/>
        </w:rPr>
        <w:t>205. SZ/96</w:t>
      </w:r>
      <w:r w:rsidR="00BA2765">
        <w:rPr>
          <w:sz w:val="24"/>
          <w:szCs w:val="24"/>
          <w:lang w:val="hr-HR"/>
        </w:rPr>
        <w:t xml:space="preserve">). </w:t>
      </w:r>
    </w:p>
    <w:p w:rsidRDefault="00BA2765" w:rsidP="00067E03" w:rsidR="00DF74B2">
      <w:pPr>
        <w:spacing w:before="200"/>
        <w:jc w:val="both"/>
        <w:rPr>
          <w:sz w:val="24"/>
          <w:szCs w:val="24"/>
          <w:lang w:val="hr-HR"/>
        </w:rPr>
      </w:pPr>
      <w:r>
        <w:rPr>
          <w:sz w:val="24"/>
          <w:szCs w:val="24"/>
          <w:lang w:val="hr-HR"/>
        </w:rPr>
        <w:tab/>
        <w:t xml:space="preserve">Obzirom na ovakvo očitovanje stečajnog upravitelja </w:t>
      </w:r>
      <w:r w:rsidR="00D225B7">
        <w:rPr>
          <w:sz w:val="24"/>
          <w:szCs w:val="24"/>
          <w:lang w:val="hr-HR"/>
        </w:rPr>
        <w:t>te odredbu čl. 85. st. 1. i 3. SZ/96 u vezi sa</w:t>
      </w:r>
      <w:r w:rsidR="00D225B7" w:rsidRPr="00D225B7">
        <w:t xml:space="preserve"> </w:t>
      </w:r>
      <w:r w:rsidR="00D225B7" w:rsidRPr="00D225B7">
        <w:rPr>
          <w:sz w:val="24"/>
          <w:szCs w:val="24"/>
          <w:lang w:val="hr-HR"/>
        </w:rPr>
        <w:t>čl. 441. st. 1.</w:t>
      </w:r>
      <w:r w:rsidR="00D225B7">
        <w:rPr>
          <w:sz w:val="24"/>
          <w:szCs w:val="24"/>
          <w:lang w:val="hr-HR"/>
        </w:rPr>
        <w:t xml:space="preserve"> SZ/15 po kojoj se iz </w:t>
      </w:r>
      <w:r w:rsidRPr="00BA2765">
        <w:rPr>
          <w:sz w:val="24"/>
          <w:szCs w:val="24"/>
          <w:lang w:val="hr-HR"/>
        </w:rPr>
        <w:t>stečajne mase najprije se namiruju troškovi stečajnoga postupka i ostale obveze st</w:t>
      </w:r>
      <w:r w:rsidR="00D225B7">
        <w:rPr>
          <w:sz w:val="24"/>
          <w:szCs w:val="24"/>
          <w:lang w:val="hr-HR"/>
        </w:rPr>
        <w:t>ečajne mase, a o</w:t>
      </w:r>
      <w:r w:rsidRPr="00BA2765">
        <w:rPr>
          <w:sz w:val="24"/>
          <w:szCs w:val="24"/>
          <w:lang w:val="hr-HR"/>
        </w:rPr>
        <w:t>bveze stečajne mase stečajni upravitelj namirit</w:t>
      </w:r>
      <w:r w:rsidR="00067E03">
        <w:rPr>
          <w:sz w:val="24"/>
          <w:szCs w:val="24"/>
          <w:lang w:val="hr-HR"/>
        </w:rPr>
        <w:t xml:space="preserve"> će redom kojim one dospijevaju, valjalo je </w:t>
      </w:r>
      <w:r w:rsidR="002967F7">
        <w:rPr>
          <w:sz w:val="24"/>
          <w:szCs w:val="24"/>
          <w:lang w:val="hr-HR"/>
        </w:rPr>
        <w:t xml:space="preserve">prihvatiti </w:t>
      </w:r>
      <w:r w:rsidR="00067E03">
        <w:rPr>
          <w:sz w:val="24"/>
          <w:szCs w:val="24"/>
          <w:lang w:val="hr-HR"/>
        </w:rPr>
        <w:t xml:space="preserve">prigovor vjerovnika </w:t>
      </w:r>
      <w:r w:rsidR="00067E03" w:rsidRPr="00067E03">
        <w:rPr>
          <w:sz w:val="24"/>
          <w:szCs w:val="24"/>
          <w:lang w:val="hr-HR"/>
        </w:rPr>
        <w:t>Kreditna banka Zagreb d.d. Zagreb</w:t>
      </w:r>
      <w:r w:rsidR="00067E03">
        <w:rPr>
          <w:sz w:val="24"/>
          <w:szCs w:val="24"/>
          <w:lang w:val="hr-HR"/>
        </w:rPr>
        <w:t xml:space="preserve">, a što je posljedično rezultiralo smanjenjem stečajne mase raspoložive za diobu vjerovnicima III. višeg isplatnog reda (umjesto prethodno predloženog i odobrenog namirenja </w:t>
      </w:r>
      <w:r w:rsidR="00067E03" w:rsidRPr="00067E03">
        <w:rPr>
          <w:sz w:val="24"/>
          <w:szCs w:val="24"/>
          <w:lang w:val="hr-HR"/>
        </w:rPr>
        <w:t>za iznos od 150.036,30 kn, odnosno za 1,20% od utvrđene tražbine vjerovn</w:t>
      </w:r>
      <w:r w:rsidR="00067E03">
        <w:rPr>
          <w:sz w:val="24"/>
          <w:szCs w:val="24"/>
          <w:lang w:val="hr-HR"/>
        </w:rPr>
        <w:t>ici III. isplatnog reda namirit će se</w:t>
      </w:r>
      <w:r w:rsidR="00067E03" w:rsidRPr="00067E03">
        <w:rPr>
          <w:sz w:val="24"/>
          <w:szCs w:val="24"/>
          <w:lang w:val="hr-HR"/>
        </w:rPr>
        <w:t xml:space="preserve"> za iznos od 112.107,66 kn, odnosno za 0,8966% od utvrđene tražbine</w:t>
      </w:r>
      <w:r w:rsidR="00067E03">
        <w:rPr>
          <w:sz w:val="24"/>
          <w:szCs w:val="24"/>
          <w:lang w:val="hr-HR"/>
        </w:rPr>
        <w:t>)</w:t>
      </w:r>
      <w:r w:rsidR="00067E03" w:rsidRPr="00067E03">
        <w:rPr>
          <w:sz w:val="24"/>
          <w:szCs w:val="24"/>
          <w:lang w:val="hr-HR"/>
        </w:rPr>
        <w:t>.</w:t>
      </w:r>
    </w:p>
    <w:p w:rsidRDefault="00067E03" w:rsidP="00067E03" w:rsidR="00067E03">
      <w:pPr>
        <w:spacing w:before="200"/>
        <w:jc w:val="both"/>
        <w:rPr>
          <w:sz w:val="24"/>
          <w:szCs w:val="24"/>
          <w:lang w:val="hr-HR"/>
        </w:rPr>
      </w:pPr>
      <w:r>
        <w:rPr>
          <w:sz w:val="24"/>
          <w:szCs w:val="24"/>
          <w:lang w:val="hr-HR"/>
        </w:rPr>
        <w:tab/>
        <w:t>Slijedom navedenog, a temeljem odredbe čl. 193. SZ/96 odlučeno je kao u izreci ovog rješenja.</w:t>
      </w:r>
    </w:p>
    <w:p w:rsidRDefault="00211511" w:rsidP="00211511" w:rsidR="00211511" w:rsidRPr="000C4D3F">
      <w:pPr>
        <w:spacing w:before="200"/>
        <w:jc w:val="center"/>
        <w:rPr>
          <w:sz w:val="24"/>
          <w:szCs w:val="24"/>
          <w:lang w:val="hr-HR"/>
        </w:rPr>
      </w:pPr>
      <w:r>
        <w:rPr>
          <w:sz w:val="24"/>
          <w:szCs w:val="24"/>
          <w:lang w:val="hr-HR"/>
        </w:rPr>
        <w:t xml:space="preserve">U Splitu </w:t>
      </w:r>
      <w:r w:rsidR="00067E03">
        <w:rPr>
          <w:sz w:val="24"/>
          <w:szCs w:val="24"/>
          <w:lang w:val="hr-HR"/>
        </w:rPr>
        <w:t>24. srpnja</w:t>
      </w:r>
      <w:r>
        <w:rPr>
          <w:sz w:val="24"/>
          <w:szCs w:val="24"/>
          <w:lang w:val="hr-HR"/>
        </w:rPr>
        <w:t xml:space="preserve"> 2018.</w:t>
      </w:r>
    </w:p>
    <w:p w:rsidRDefault="00211511" w:rsidP="00211511" w:rsidR="00211511" w:rsidRPr="000C4D3F">
      <w:pPr>
        <w:spacing w:before="200"/>
        <w:ind w:left="6480"/>
        <w:jc w:val="center"/>
        <w:rPr>
          <w:sz w:val="24"/>
          <w:szCs w:val="24"/>
          <w:lang w:val="hr-HR"/>
        </w:rPr>
      </w:pPr>
      <w:r w:rsidRPr="000C4D3F">
        <w:rPr>
          <w:sz w:val="24"/>
          <w:szCs w:val="24"/>
          <w:lang w:val="hr-HR"/>
        </w:rPr>
        <w:t>Sutkinja</w:t>
      </w:r>
    </w:p>
    <w:p w:rsidRDefault="00211511" w:rsidP="00211511" w:rsidR="00211511" w:rsidRPr="000C4D3F">
      <w:pPr>
        <w:ind w:left="6480"/>
        <w:jc w:val="center"/>
        <w:rPr>
          <w:sz w:val="24"/>
          <w:szCs w:val="24"/>
          <w:lang w:val="hr-HR"/>
        </w:rPr>
      </w:pPr>
      <w:r w:rsidRPr="000C4D3F">
        <w:rPr>
          <w:sz w:val="24"/>
          <w:szCs w:val="24"/>
          <w:lang w:val="hr-HR"/>
        </w:rPr>
        <w:t>Ana Golub Gruić</w:t>
      </w:r>
    </w:p>
    <w:p w:rsidRDefault="002967F7" w:rsidP="00211511" w:rsidR="002967F7">
      <w:pPr>
        <w:spacing w:before="160"/>
        <w:jc w:val="both"/>
        <w:rPr>
          <w:sz w:val="24"/>
          <w:szCs w:val="24"/>
          <w:lang w:val="hr-HR"/>
        </w:rPr>
      </w:pPr>
    </w:p>
    <w:p w:rsidRDefault="00211511" w:rsidP="00211511" w:rsidR="00211511" w:rsidRPr="000C4D3F">
      <w:pPr>
        <w:spacing w:before="160"/>
        <w:jc w:val="both"/>
        <w:rPr>
          <w:sz w:val="24"/>
          <w:szCs w:val="24"/>
          <w:lang w:eastAsia="en-US" w:val="hr-HR"/>
        </w:rPr>
      </w:pPr>
      <w:r w:rsidRPr="000C4D3F">
        <w:rPr>
          <w:sz w:val="24"/>
          <w:szCs w:val="24"/>
          <w:lang w:val="hr-HR"/>
        </w:rPr>
        <w:t>Uputa o pravnom lijeku</w:t>
      </w:r>
      <w:r w:rsidRPr="000C4D3F">
        <w:rPr>
          <w:sz w:val="24"/>
          <w:szCs w:val="24"/>
          <w:lang w:eastAsia="en-US"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11511" w:rsidP="00211511" w:rsidR="00067E03">
      <w:pPr>
        <w:jc w:val="both"/>
        <w:rPr>
          <w:sz w:val="24"/>
          <w:szCs w:val="24"/>
          <w:lang w:val="hr-HR"/>
        </w:rPr>
      </w:pPr>
      <w:r w:rsidRPr="000C4D3F">
        <w:rPr>
          <w:sz w:val="24"/>
          <w:szCs w:val="24"/>
          <w:lang w:val="hr-HR"/>
        </w:rPr>
        <w:tab/>
      </w:r>
    </w:p>
    <w:p w:rsidRDefault="00067E03" w:rsidP="00211511" w:rsidR="00067E03">
      <w:pPr>
        <w:jc w:val="both"/>
        <w:rPr>
          <w:sz w:val="24"/>
          <w:szCs w:val="24"/>
          <w:lang w:val="hr-HR"/>
        </w:rPr>
      </w:pPr>
    </w:p>
    <w:p w:rsidRDefault="00211511" w:rsidP="00211511" w:rsidR="00211511" w:rsidRPr="000C4D3F">
      <w:pPr>
        <w:jc w:val="both"/>
        <w:rPr>
          <w:sz w:val="24"/>
          <w:szCs w:val="24"/>
          <w:lang w:val="hr-HR"/>
        </w:rPr>
      </w:pPr>
      <w:r w:rsidRPr="000C4D3F">
        <w:rPr>
          <w:sz w:val="24"/>
          <w:szCs w:val="24"/>
          <w:lang w:val="hr-HR"/>
        </w:rPr>
        <w:t>D</w:t>
      </w:r>
      <w:r>
        <w:rPr>
          <w:sz w:val="24"/>
          <w:szCs w:val="24"/>
          <w:lang w:val="hr-HR"/>
        </w:rPr>
        <w:t>na</w:t>
      </w:r>
      <w:r w:rsidRPr="000C4D3F">
        <w:rPr>
          <w:sz w:val="24"/>
          <w:szCs w:val="24"/>
          <w:lang w:val="hr-HR"/>
        </w:rPr>
        <w:t>:</w:t>
      </w:r>
    </w:p>
    <w:p w:rsidRDefault="00211511" w:rsidP="00211511" w:rsidR="00211511">
      <w:pPr>
        <w:pStyle w:val="Odlomakpopisa"/>
        <w:numPr>
          <w:ilvl w:val="0"/>
          <w:numId w:val="13"/>
        </w:numPr>
        <w:jc w:val="both"/>
        <w:rPr>
          <w:sz w:val="24"/>
          <w:szCs w:val="24"/>
          <w:lang w:val="hr-HR"/>
        </w:rPr>
      </w:pPr>
      <w:r w:rsidRPr="000C4D3F">
        <w:rPr>
          <w:sz w:val="24"/>
          <w:szCs w:val="24"/>
          <w:lang w:val="hr-HR"/>
        </w:rPr>
        <w:t>stečajnom upravitelju</w:t>
      </w:r>
    </w:p>
    <w:p w:rsidRDefault="003F1049" w:rsidP="00211511" w:rsidR="003F1049">
      <w:pPr>
        <w:pStyle w:val="Odlomakpopisa"/>
        <w:numPr>
          <w:ilvl w:val="0"/>
          <w:numId w:val="13"/>
        </w:numPr>
        <w:jc w:val="both"/>
        <w:rPr>
          <w:sz w:val="24"/>
          <w:szCs w:val="24"/>
          <w:lang w:val="hr-HR"/>
        </w:rPr>
      </w:pPr>
      <w:r>
        <w:rPr>
          <w:sz w:val="24"/>
          <w:szCs w:val="24"/>
          <w:lang w:val="hr-HR"/>
        </w:rPr>
        <w:t>Kreditna banka Zagreb d.d. Zagreb po punomoćniku Tomislavu Šišku, odvjetniku u Splitu</w:t>
      </w:r>
    </w:p>
    <w:p w:rsidRDefault="00A8159B" w:rsidP="00211511" w:rsidR="00A8159B" w:rsidRPr="000C4D3F">
      <w:pPr>
        <w:pStyle w:val="Odlomakpopisa"/>
        <w:numPr>
          <w:ilvl w:val="0"/>
          <w:numId w:val="13"/>
        </w:numPr>
        <w:jc w:val="both"/>
        <w:rPr>
          <w:sz w:val="24"/>
          <w:szCs w:val="24"/>
          <w:lang w:val="hr-HR"/>
        </w:rPr>
      </w:pPr>
      <w:r>
        <w:rPr>
          <w:sz w:val="24"/>
          <w:szCs w:val="24"/>
          <w:lang w:val="hr-HR"/>
        </w:rPr>
        <w:t>stečajna pisarnica</w:t>
      </w:r>
    </w:p>
    <w:p w:rsidRDefault="00211511" w:rsidP="00211511" w:rsidR="00211511" w:rsidRPr="000C4D3F">
      <w:pPr>
        <w:pStyle w:val="Odlomakpopisa"/>
        <w:numPr>
          <w:ilvl w:val="0"/>
          <w:numId w:val="13"/>
        </w:numPr>
        <w:jc w:val="both"/>
        <w:rPr>
          <w:sz w:val="24"/>
          <w:szCs w:val="24"/>
          <w:lang w:val="hr-HR"/>
        </w:rPr>
      </w:pPr>
      <w:r w:rsidRPr="000C4D3F">
        <w:rPr>
          <w:sz w:val="24"/>
          <w:szCs w:val="24"/>
          <w:lang w:val="hr-HR"/>
        </w:rPr>
        <w:t xml:space="preserve">mrežna stranica e-Oglasna ploča sudova </w:t>
      </w:r>
    </w:p>
    <w:p w:rsidRDefault="00211511" w:rsidP="00211511" w:rsidR="00211511" w:rsidRPr="000C4D3F">
      <w:pPr>
        <w:pStyle w:val="Odlomakpopisa"/>
        <w:numPr>
          <w:ilvl w:val="0"/>
          <w:numId w:val="13"/>
        </w:numPr>
        <w:jc w:val="both"/>
        <w:rPr>
          <w:sz w:val="24"/>
          <w:szCs w:val="24"/>
          <w:lang w:val="hr-HR"/>
        </w:rPr>
      </w:pPr>
      <w:r w:rsidRPr="000C4D3F">
        <w:rPr>
          <w:sz w:val="24"/>
          <w:szCs w:val="24"/>
          <w:lang w:val="hr-HR"/>
        </w:rPr>
        <w:t>u spis</w:t>
      </w:r>
    </w:p>
    <w:p w:rsidRDefault="00790D28" w:rsidP="00211511" w:rsidR="00790D28" w:rsidRPr="000C4D3F">
      <w:pPr>
        <w:tabs>
          <w:tab w:pos="709" w:val="left"/>
          <w:tab w:pos="6810" w:val="left"/>
        </w:tabs>
        <w:spacing w:before="200"/>
        <w:jc w:val="both"/>
        <w:rPr>
          <w:sz w:val="24"/>
          <w:szCs w:val="24"/>
          <w:lang w:val="hr-HR"/>
        </w:rPr>
      </w:pPr>
    </w:p>
    <w:sectPr w:rsidSect="00C70D1C" w:rsidR="00790D28" w:rsidRPr="000C4D3F">
      <w:headerReference w:type="default" r:id="rId11"/>
      <w:headerReference w:type="first" r:id="rId12"/>
      <w:pgSz w:h="15840" w:w="12240"/>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7C4D" w:rsidR="003A7C4D">
      <w:r>
        <w:separator/>
      </w:r>
    </w:p>
  </w:endnote>
  <w:endnote w:id="0" w:type="continuationSeparator">
    <w:p w:rsidRDefault="003A7C4D" w:rsidR="003A7C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7C4D" w:rsidR="003A7C4D">
      <w:r>
        <w:separator/>
      </w:r>
    </w:p>
  </w:footnote>
  <w:footnote w:id="0" w:type="continuationSeparator">
    <w:p w:rsidRDefault="003A7C4D" w:rsidR="003A7C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478" w:rsidP="00F76478" w:rsidR="004E16EE" w:rsidRPr="00F76478">
    <w:pPr>
      <w:pStyle w:val="Zaglavlje"/>
      <w:ind w:firstLine="720"/>
      <w:jc w:val="right"/>
    </w:pPr>
    <w:r>
      <w:t xml:space="preserve">   </w:t>
    </w:r>
    <w:sdt>
      <w:sdtPr>
        <w:id w:val="742994551"/>
        <w:docPartObj>
          <w:docPartGallery w:val="Page Numbers (Top of Page)"/>
          <w:docPartUnique/>
        </w:docPartObj>
      </w:sdtPr>
      <w:sdtEndPr/>
      <w:sdtContent>
        <w:r w:rsidR="00566412">
          <w:rPr>
            <w:sz w:val="24"/>
            <w:szCs w:val="24"/>
          </w:rPr>
          <w:fldChar w:fldCharType="begin"/>
        </w:r>
        <w:r w:rsidR="00C70D1C">
          <w:rPr>
            <w:sz w:val="24"/>
            <w:szCs w:val="24"/>
          </w:rPr>
          <w:instrText xml:space="preserve"> PAGE  \* ArabicDash  \* MERGEFORMAT </w:instrText>
        </w:r>
        <w:r w:rsidR="00566412">
          <w:rPr>
            <w:sz w:val="24"/>
            <w:szCs w:val="24"/>
          </w:rPr>
          <w:fldChar w:fldCharType="separate"/>
        </w:r>
        <w:r w:rsidR="006E334A">
          <w:rPr>
            <w:noProof/>
            <w:sz w:val="24"/>
            <w:szCs w:val="24"/>
          </w:rPr>
          <w:t>- 4 -</w:t>
        </w:r>
        <w:r w:rsidR="00566412">
          <w:rPr>
            <w:sz w:val="24"/>
            <w:szCs w:val="24"/>
          </w:rPr>
          <w:fldChar w:fldCharType="end"/>
        </w:r>
        <w:r>
          <w:rPr>
            <w:sz w:val="24"/>
            <w:szCs w:val="24"/>
          </w:rPr>
          <w:tab/>
        </w:r>
      </w:sdtContent>
    </w:sdt>
    <w:r>
      <w:rPr>
        <w:sz w:val="24"/>
        <w:szCs w:val="24"/>
        <w:lang w:val="hr-HR"/>
      </w:rPr>
      <w:t xml:space="preserve">Poslovni broj: </w:t>
    </w:r>
    <w:r w:rsidR="00A63EE6">
      <w:rPr>
        <w:sz w:val="24"/>
        <w:szCs w:val="24"/>
        <w:lang w:val="hr-HR"/>
      </w:rPr>
      <w:t>11</w:t>
    </w:r>
    <w:r w:rsidR="00A63EE6" w:rsidRPr="007D1041">
      <w:rPr>
        <w:sz w:val="24"/>
        <w:szCs w:val="24"/>
        <w:lang w:val="hr-HR"/>
      </w:rPr>
      <w:t>.St</w:t>
    </w:r>
    <w:r>
      <w:rPr>
        <w:sz w:val="24"/>
        <w:szCs w:val="24"/>
        <w:lang w:val="hr-HR"/>
      </w:rPr>
      <w:t>-</w:t>
    </w:r>
    <w:r w:rsidR="00E44C56">
      <w:rPr>
        <w:sz w:val="24"/>
        <w:szCs w:val="24"/>
        <w:lang w:val="hr-HR"/>
      </w:rPr>
      <w:t>895/2017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1041" w:rsidP="007D1041" w:rsidR="007D1041">
    <w:pPr>
      <w:pStyle w:val="Zaglavlje"/>
      <w:rPr>
        <w:sz w:val="24"/>
        <w:szCs w:val="24"/>
        <w:lang w:val="hr-HR"/>
      </w:rPr>
    </w:pPr>
  </w:p>
  <w:p w:rsidRDefault="007D1041" w:rsidP="00035ACA" w:rsidR="007D1041" w:rsidRPr="00035ACA">
    <w:pPr>
      <w:pStyle w:val="Zaglavlje"/>
      <w:tabs>
        <w:tab w:pos="4536" w:val="clear"/>
        <w:tab w:pos="9072" w:val="clear"/>
      </w:tabs>
      <w:jc w:val="right"/>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A2DB6"/>
    <w:multiLevelType w:val="hybridMultilevel"/>
    <w:tmpl w:val="A57E4D1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35B40"/>
    <w:multiLevelType w:val="hybridMultilevel"/>
    <w:tmpl w:val="2CC6FB6A"/>
    <w:lvl w:tplc="DEAAC3B2" w:ilvl="0">
      <w:start w:val="2"/>
      <w:numFmt w:val="upperRoman"/>
      <w:lvlText w:val="%1."/>
      <w:lvlJc w:val="left"/>
      <w:pPr>
        <w:tabs>
          <w:tab w:pos="1770" w:val="num"/>
        </w:tabs>
        <w:ind w:hanging="1050" w:left="177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FF74A3"/>
    <w:multiLevelType w:val="hybridMultilevel"/>
    <w:tmpl w:val="F89C22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2775B1A"/>
    <w:multiLevelType w:val="hybridMultilevel"/>
    <w:tmpl w:val="CE869AA0"/>
    <w:lvl w:tplc="F5D81A4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15A0432"/>
    <w:multiLevelType w:val="hybridMultilevel"/>
    <w:tmpl w:val="0ED66B9E"/>
    <w:lvl w:tplc="91329BA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6">
    <w:nsid w:val="46FD28E2"/>
    <w:multiLevelType w:val="hybridMultilevel"/>
    <w:tmpl w:val="C7AA3AF6"/>
    <w:lvl w:tplc="6BA05650" w:ilvl="0">
      <w:start w:val="1"/>
      <w:numFmt w:val="upperRoman"/>
      <w:lvlText w:val="%1."/>
      <w:lvlJc w:val="left"/>
      <w:pPr>
        <w:ind w:hanging="1035" w:left="174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4C7603C2"/>
    <w:multiLevelType w:val="hybridMultilevel"/>
    <w:tmpl w:val="721865EA"/>
    <w:lvl w:tplc="A77A7874" w:ilvl="0">
      <w:start w:val="1"/>
      <w:numFmt w:val="bullet"/>
      <w:lvlText w:val="–"/>
      <w:lvlJc w:val="left"/>
      <w:pPr>
        <w:tabs>
          <w:tab w:pos="1140" w:val="num"/>
        </w:tabs>
        <w:ind w:hanging="360" w:left="1140"/>
      </w:pPr>
      <w:rPr>
        <w:rFonts w:cs="Times New Roman" w:eastAsia="Times New Roman" w:hAnsi="Times New Roman" w:ascii="Times New Roman" w:hint="default"/>
      </w:rPr>
    </w:lvl>
    <w:lvl w:tentative="true" w:tplc="041A0003" w:ilvl="1">
      <w:start w:val="1"/>
      <w:numFmt w:val="bullet"/>
      <w:lvlText w:val="o"/>
      <w:lvlJc w:val="left"/>
      <w:pPr>
        <w:tabs>
          <w:tab w:pos="1860" w:val="num"/>
        </w:tabs>
        <w:ind w:hanging="360" w:left="1860"/>
      </w:pPr>
      <w:rPr>
        <w:rFonts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8">
    <w:nsid w:val="4F400C6B"/>
    <w:multiLevelType w:val="hybridMultilevel"/>
    <w:tmpl w:val="CF08E3A0"/>
    <w:lvl w:tplc="9922513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ABC3472"/>
    <w:multiLevelType w:val="hybridMultilevel"/>
    <w:tmpl w:val="BB1A46B0"/>
    <w:lvl w:tplc="3F4228B6" w:ilvl="0">
      <w:start w:val="1"/>
      <w:numFmt w:val="decimal"/>
      <w:lvlText w:val="%1."/>
      <w:lvlJc w:val="left"/>
      <w:pPr>
        <w:ind w:hanging="360" w:left="8441"/>
      </w:pPr>
      <w:rPr>
        <w:rFonts w:cs="Times New Roman" w:eastAsia="Times New Roman" w:hAnsi="Times New Roman" w:ascii="Times New Roman"/>
      </w:rPr>
    </w:lvl>
    <w:lvl w:tentative="true" w:tplc="041A0019" w:ilvl="1">
      <w:start w:val="1"/>
      <w:numFmt w:val="lowerLetter"/>
      <w:lvlText w:val="%2."/>
      <w:lvlJc w:val="left"/>
      <w:pPr>
        <w:ind w:hanging="360" w:left="9161"/>
      </w:pPr>
    </w:lvl>
    <w:lvl w:tentative="true" w:tplc="041A001B" w:ilvl="2">
      <w:start w:val="1"/>
      <w:numFmt w:val="lowerRoman"/>
      <w:lvlText w:val="%3."/>
      <w:lvlJc w:val="right"/>
      <w:pPr>
        <w:ind w:hanging="180" w:left="9881"/>
      </w:pPr>
    </w:lvl>
    <w:lvl w:tentative="true" w:tplc="041A000F" w:ilvl="3">
      <w:start w:val="1"/>
      <w:numFmt w:val="decimal"/>
      <w:lvlText w:val="%4."/>
      <w:lvlJc w:val="left"/>
      <w:pPr>
        <w:ind w:hanging="360" w:left="10601"/>
      </w:pPr>
    </w:lvl>
    <w:lvl w:tentative="true" w:tplc="041A0019" w:ilvl="4">
      <w:start w:val="1"/>
      <w:numFmt w:val="lowerLetter"/>
      <w:lvlText w:val="%5."/>
      <w:lvlJc w:val="left"/>
      <w:pPr>
        <w:ind w:hanging="360" w:left="11321"/>
      </w:pPr>
    </w:lvl>
    <w:lvl w:tentative="true" w:tplc="041A001B" w:ilvl="5">
      <w:start w:val="1"/>
      <w:numFmt w:val="lowerRoman"/>
      <w:lvlText w:val="%6."/>
      <w:lvlJc w:val="right"/>
      <w:pPr>
        <w:ind w:hanging="180" w:left="12041"/>
      </w:pPr>
    </w:lvl>
    <w:lvl w:tentative="true" w:tplc="041A000F" w:ilvl="6">
      <w:start w:val="1"/>
      <w:numFmt w:val="decimal"/>
      <w:lvlText w:val="%7."/>
      <w:lvlJc w:val="left"/>
      <w:pPr>
        <w:ind w:hanging="360" w:left="12761"/>
      </w:pPr>
    </w:lvl>
    <w:lvl w:tentative="true" w:tplc="041A0019" w:ilvl="7">
      <w:start w:val="1"/>
      <w:numFmt w:val="lowerLetter"/>
      <w:lvlText w:val="%8."/>
      <w:lvlJc w:val="left"/>
      <w:pPr>
        <w:ind w:hanging="360" w:left="13481"/>
      </w:pPr>
    </w:lvl>
    <w:lvl w:tentative="true" w:tplc="041A001B" w:ilvl="8">
      <w:start w:val="1"/>
      <w:numFmt w:val="lowerRoman"/>
      <w:lvlText w:val="%9."/>
      <w:lvlJc w:val="right"/>
      <w:pPr>
        <w:ind w:hanging="180" w:left="14201"/>
      </w:pPr>
    </w:lvl>
  </w:abstractNum>
  <w:abstractNum w:abstractNumId="10">
    <w:nsid w:val="5AED74A9"/>
    <w:multiLevelType w:val="hybridMultilevel"/>
    <w:tmpl w:val="C9C062A4"/>
    <w:lvl w:tplc="55AC28A6"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D30639C"/>
    <w:multiLevelType w:val="hybridMultilevel"/>
    <w:tmpl w:val="A58EB9BA"/>
    <w:lvl w:tplc="BE265E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7"/>
  </w:num>
  <w:num w:numId="4">
    <w:abstractNumId w:val="5"/>
  </w:num>
  <w:num w:numId="5">
    <w:abstractNumId w:val="1"/>
  </w:num>
  <w:num w:numId="6">
    <w:abstractNumId w:val="12"/>
  </w:num>
  <w:num w:numId="7">
    <w:abstractNumId w:val="0"/>
  </w:num>
  <w:num w:numId="8">
    <w:abstractNumId w:val="8"/>
  </w:num>
  <w:num w:numId="9">
    <w:abstractNumId w:val="9"/>
  </w:num>
  <w:num w:numId="10">
    <w:abstractNumId w:val="10"/>
  </w:num>
  <w:num w:numId="11">
    <w:abstractNumId w:val="4"/>
  </w:num>
  <w:num w:numId="12">
    <w:abstractNumId w:val="6"/>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FB"/>
    <w:rsid w:val="00000417"/>
    <w:rsid w:val="00035ACA"/>
    <w:rsid w:val="00037E19"/>
    <w:rsid w:val="00040496"/>
    <w:rsid w:val="0006365D"/>
    <w:rsid w:val="00067E03"/>
    <w:rsid w:val="00080FBD"/>
    <w:rsid w:val="00091788"/>
    <w:rsid w:val="0009644E"/>
    <w:rsid w:val="000B6864"/>
    <w:rsid w:val="000C4D3F"/>
    <w:rsid w:val="000E1670"/>
    <w:rsid w:val="000E735A"/>
    <w:rsid w:val="000F39A4"/>
    <w:rsid w:val="00107A28"/>
    <w:rsid w:val="001106B4"/>
    <w:rsid w:val="001248DD"/>
    <w:rsid w:val="00126695"/>
    <w:rsid w:val="00126EC9"/>
    <w:rsid w:val="001F5AE0"/>
    <w:rsid w:val="00202CAA"/>
    <w:rsid w:val="00210318"/>
    <w:rsid w:val="00211511"/>
    <w:rsid w:val="00213049"/>
    <w:rsid w:val="00221A38"/>
    <w:rsid w:val="00222E4D"/>
    <w:rsid w:val="00227AA2"/>
    <w:rsid w:val="002446A5"/>
    <w:rsid w:val="00261CED"/>
    <w:rsid w:val="002967F7"/>
    <w:rsid w:val="002B6FD8"/>
    <w:rsid w:val="002E6085"/>
    <w:rsid w:val="002F578D"/>
    <w:rsid w:val="003139B1"/>
    <w:rsid w:val="00317742"/>
    <w:rsid w:val="00391F8F"/>
    <w:rsid w:val="00394879"/>
    <w:rsid w:val="003A7C4D"/>
    <w:rsid w:val="003E0E21"/>
    <w:rsid w:val="003F1049"/>
    <w:rsid w:val="003F3BB8"/>
    <w:rsid w:val="00457222"/>
    <w:rsid w:val="004621C7"/>
    <w:rsid w:val="004966CE"/>
    <w:rsid w:val="004A2251"/>
    <w:rsid w:val="004B4AD4"/>
    <w:rsid w:val="004D1D5D"/>
    <w:rsid w:val="004E16EE"/>
    <w:rsid w:val="004E21B1"/>
    <w:rsid w:val="00500573"/>
    <w:rsid w:val="005065FB"/>
    <w:rsid w:val="00512899"/>
    <w:rsid w:val="005138CB"/>
    <w:rsid w:val="00514BC3"/>
    <w:rsid w:val="0052053E"/>
    <w:rsid w:val="00537AF7"/>
    <w:rsid w:val="0054582E"/>
    <w:rsid w:val="00566412"/>
    <w:rsid w:val="00593912"/>
    <w:rsid w:val="005C0A1E"/>
    <w:rsid w:val="005D51BE"/>
    <w:rsid w:val="005F64D3"/>
    <w:rsid w:val="0062271E"/>
    <w:rsid w:val="00623AEE"/>
    <w:rsid w:val="00631F27"/>
    <w:rsid w:val="006636A7"/>
    <w:rsid w:val="0067695A"/>
    <w:rsid w:val="006A1963"/>
    <w:rsid w:val="006D078A"/>
    <w:rsid w:val="006E334A"/>
    <w:rsid w:val="006E4299"/>
    <w:rsid w:val="00723D01"/>
    <w:rsid w:val="00732137"/>
    <w:rsid w:val="007336FB"/>
    <w:rsid w:val="00761637"/>
    <w:rsid w:val="00764CBF"/>
    <w:rsid w:val="007743FC"/>
    <w:rsid w:val="00790D28"/>
    <w:rsid w:val="007945D7"/>
    <w:rsid w:val="007C087A"/>
    <w:rsid w:val="007D1041"/>
    <w:rsid w:val="007F11A1"/>
    <w:rsid w:val="007F2450"/>
    <w:rsid w:val="00802D3B"/>
    <w:rsid w:val="008143AB"/>
    <w:rsid w:val="00832B4D"/>
    <w:rsid w:val="0084322B"/>
    <w:rsid w:val="00855985"/>
    <w:rsid w:val="008808CF"/>
    <w:rsid w:val="008922E6"/>
    <w:rsid w:val="008C44CC"/>
    <w:rsid w:val="008F7932"/>
    <w:rsid w:val="00906FBC"/>
    <w:rsid w:val="009159AC"/>
    <w:rsid w:val="00931CA8"/>
    <w:rsid w:val="009334C2"/>
    <w:rsid w:val="00933576"/>
    <w:rsid w:val="00933904"/>
    <w:rsid w:val="00936E1B"/>
    <w:rsid w:val="00945DD1"/>
    <w:rsid w:val="00952DA0"/>
    <w:rsid w:val="0096606C"/>
    <w:rsid w:val="00980244"/>
    <w:rsid w:val="009B4568"/>
    <w:rsid w:val="009C0399"/>
    <w:rsid w:val="009C2169"/>
    <w:rsid w:val="009C6D36"/>
    <w:rsid w:val="009D6694"/>
    <w:rsid w:val="009E2577"/>
    <w:rsid w:val="009F01AD"/>
    <w:rsid w:val="00A05823"/>
    <w:rsid w:val="00A13AC8"/>
    <w:rsid w:val="00A154FF"/>
    <w:rsid w:val="00A273DD"/>
    <w:rsid w:val="00A63512"/>
    <w:rsid w:val="00A63EE6"/>
    <w:rsid w:val="00A811F3"/>
    <w:rsid w:val="00A8159B"/>
    <w:rsid w:val="00A93D1F"/>
    <w:rsid w:val="00A941AD"/>
    <w:rsid w:val="00AA2E10"/>
    <w:rsid w:val="00AC6F74"/>
    <w:rsid w:val="00AD72E9"/>
    <w:rsid w:val="00AE1875"/>
    <w:rsid w:val="00AF0E33"/>
    <w:rsid w:val="00B1490F"/>
    <w:rsid w:val="00B17BD5"/>
    <w:rsid w:val="00B30E61"/>
    <w:rsid w:val="00B467C7"/>
    <w:rsid w:val="00B8576D"/>
    <w:rsid w:val="00BA06F5"/>
    <w:rsid w:val="00BA2038"/>
    <w:rsid w:val="00BA2765"/>
    <w:rsid w:val="00BC3B98"/>
    <w:rsid w:val="00BF4C1A"/>
    <w:rsid w:val="00C12B6F"/>
    <w:rsid w:val="00C510D9"/>
    <w:rsid w:val="00C519C4"/>
    <w:rsid w:val="00C70D1C"/>
    <w:rsid w:val="00C80B6F"/>
    <w:rsid w:val="00C85FC5"/>
    <w:rsid w:val="00C9347E"/>
    <w:rsid w:val="00C97E2C"/>
    <w:rsid w:val="00CD012D"/>
    <w:rsid w:val="00CD757F"/>
    <w:rsid w:val="00CE4AC9"/>
    <w:rsid w:val="00D0551B"/>
    <w:rsid w:val="00D164CE"/>
    <w:rsid w:val="00D17C78"/>
    <w:rsid w:val="00D225B7"/>
    <w:rsid w:val="00D3356A"/>
    <w:rsid w:val="00D33DD1"/>
    <w:rsid w:val="00D47ED2"/>
    <w:rsid w:val="00D52134"/>
    <w:rsid w:val="00D522CD"/>
    <w:rsid w:val="00D54231"/>
    <w:rsid w:val="00D65A07"/>
    <w:rsid w:val="00D9722C"/>
    <w:rsid w:val="00DB218C"/>
    <w:rsid w:val="00DB5D7A"/>
    <w:rsid w:val="00DC05C7"/>
    <w:rsid w:val="00DE133E"/>
    <w:rsid w:val="00DE231B"/>
    <w:rsid w:val="00DE450D"/>
    <w:rsid w:val="00DE6272"/>
    <w:rsid w:val="00DF1182"/>
    <w:rsid w:val="00DF74B2"/>
    <w:rsid w:val="00E050CB"/>
    <w:rsid w:val="00E07CB0"/>
    <w:rsid w:val="00E12CA0"/>
    <w:rsid w:val="00E21319"/>
    <w:rsid w:val="00E41090"/>
    <w:rsid w:val="00E44C56"/>
    <w:rsid w:val="00E7503F"/>
    <w:rsid w:val="00E84AC8"/>
    <w:rsid w:val="00E864F5"/>
    <w:rsid w:val="00E952E6"/>
    <w:rsid w:val="00EB0600"/>
    <w:rsid w:val="00EE3A88"/>
    <w:rsid w:val="00EE689D"/>
    <w:rsid w:val="00EF3E26"/>
    <w:rsid w:val="00F00D7A"/>
    <w:rsid w:val="00F013BA"/>
    <w:rsid w:val="00F36A88"/>
    <w:rsid w:val="00F44C60"/>
    <w:rsid w:val="00F54774"/>
    <w:rsid w:val="00F643A7"/>
    <w:rsid w:val="00F76478"/>
    <w:rsid w:val="00F84DD6"/>
    <w:rsid w:val="00F952EC"/>
    <w:rsid w:val="00FA696C"/>
    <w:rsid w:val="00FB17EF"/>
    <w:rsid w:val="00FD4EE6"/>
    <w:rsid w:val="00FD5B0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pPr>
      <w:overflowPunct w:val="false"/>
      <w:autoSpaceDE w:val="false"/>
      <w:autoSpaceDN w:val="false"/>
      <w:adjustRightInd w:val="false"/>
      <w:ind w:left="720"/>
      <w:jc w:val="both"/>
    </w:pPr>
    <w:rPr>
      <w:rFonts w:hAnsi="Arial" w:asci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cs="Tahoma" w:hAnsi="Tahoma" w:ascii="Tahoma"/>
      <w:sz w:val="16"/>
      <w:szCs w:val="16"/>
    </w:rPr>
  </w:style>
  <w:style w:customStyle="true" w:styleId="TekstbaloniaChar" w:type="character">
    <w:name w:val="Tekst balončića Char"/>
    <w:link w:val="Tekstbalonia"/>
    <w:rsid w:val="00261CED"/>
    <w:rPr>
      <w:rFonts w:cs="Tahoma" w:hAnsi="Tahoma" w:ascii="Tahoma"/>
      <w:sz w:val="16"/>
      <w:szCs w:val="16"/>
      <w:lang w:val="en-US"/>
    </w:rPr>
  </w:style>
  <w:style w:customStyle="true"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A13AC8"/>
    <w:rPr>
      <w:color w:val="808080"/>
      <w:bdr w:space="0" w:sz="0" w:color="auto" w:val="none"/>
      <w:shd w:fill="auto" w:color="auto" w:val="clear"/>
    </w:rPr>
  </w:style>
  <w:style w:customStyle="true" w:styleId="eSPISCCParagraphDefaultFont" w:type="character">
    <w:name w:val="eSPIS_CC_Paragraph Default Font"/>
    <w:basedOn w:val="Zadanifontodlomka"/>
    <w:rsid w:val="00A13A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3AC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3A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3AC8"/>
    <w:rPr>
      <w:rFonts w:cs="Times New Roman" w:hAnsi="Times New Roman" w:ascii="Times New Roman"/>
      <w:sz w:val="24"/>
      <w:szCs w:val="24"/>
      <w:bdr w:space="0" w:sz="0" w:color="auto" w:val="none"/>
      <w:shd w:fill="CCFFCC" w:color="auto" w:val="clear"/>
      <w:lang w:val="hr-HR"/>
    </w:rPr>
  </w:style>
  <w:style w:styleId="Naglaeno" w:type="character">
    <w:name w:val="Strong"/>
    <w:uiPriority w:val="22"/>
    <w:qFormat/>
    <w:rsid w:val="00AC6F74"/>
    <w:rPr>
      <w:b/>
      <w:bCs/>
    </w:rPr>
  </w:style>
  <w:style w:styleId="Tijeloteksta-uvlaka3" w:type="paragraph">
    <w:name w:val="Body Text Indent 3"/>
    <w:basedOn w:val="Normal"/>
    <w:link w:val="Tijeloteksta-uvlaka3Char"/>
    <w:rsid w:val="005065FB"/>
    <w:pPr>
      <w:spacing w:after="120"/>
      <w:ind w:left="283"/>
    </w:pPr>
    <w:rPr>
      <w:sz w:val="16"/>
      <w:szCs w:val="16"/>
      <w:lang w:val="hr-HR"/>
    </w:rPr>
  </w:style>
  <w:style w:customStyle="true" w:styleId="Tijeloteksta-uvlaka3Char" w:type="character">
    <w:name w:val="Tijelo teksta - uvlaka 3 Char"/>
    <w:basedOn w:val="Zadanifontodlomka"/>
    <w:link w:val="Tijeloteksta-uvlaka3"/>
    <w:rsid w:val="005065FB"/>
    <w:rPr>
      <w:sz w:val="16"/>
      <w:szCs w:val="16"/>
    </w:rPr>
  </w:style>
  <w:style w:styleId="Reetkatablice" w:type="table">
    <w:name w:val="Table Grid"/>
    <w:basedOn w:val="Obinatablica"/>
    <w:rsid w:val="00F7647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pPr>
      <w:overflowPunct w:val="0"/>
      <w:autoSpaceDE w:val="0"/>
      <w:autoSpaceDN w:val="0"/>
      <w:adjustRightInd w:val="0"/>
      <w:ind w:left="720"/>
      <w:jc w:val="both"/>
    </w:pPr>
    <w:rPr>
      <w:rFonts w:ascii="Arial" w:hAnsi="Arial"/>
      <w:sz w:val="24"/>
      <w:lang w:val="en-GB"/>
    </w:rPr>
  </w:style>
  <w:style w:styleId="Uvuenotijeloteksta" w:type="paragraph">
    <w:name w:val="Body Text Indent"/>
    <w:basedOn w:val="Normal"/>
    <w:rsid w:val="00B30E61"/>
    <w:pPr>
      <w:ind w:left="720"/>
    </w:pPr>
    <w:rPr>
      <w:sz w:val="24"/>
      <w:szCs w:val="24"/>
      <w:lang w:val="hr-HR"/>
    </w:rPr>
  </w:style>
  <w:style w:styleId="Zaglavlje" w:type="paragraph">
    <w:name w:val="header"/>
    <w:basedOn w:val="Normal"/>
    <w:link w:val="ZaglavljeChar"/>
    <w:uiPriority w:val="99"/>
    <w:rsid w:val="00CD757F"/>
    <w:pPr>
      <w:tabs>
        <w:tab w:pos="4536" w:val="center"/>
        <w:tab w:pos="9072" w:val="right"/>
      </w:tabs>
    </w:pPr>
  </w:style>
  <w:style w:styleId="Podnoje" w:type="paragraph">
    <w:name w:val="footer"/>
    <w:basedOn w:val="Normal"/>
    <w:rsid w:val="00CD757F"/>
    <w:pPr>
      <w:tabs>
        <w:tab w:pos="4536" w:val="center"/>
        <w:tab w:pos="9072" w:val="right"/>
      </w:tabs>
    </w:pPr>
  </w:style>
  <w:style w:styleId="Tekstbalonia" w:type="paragraph">
    <w:name w:val="Balloon Text"/>
    <w:basedOn w:val="Normal"/>
    <w:link w:val="TekstbaloniaChar"/>
    <w:rsid w:val="00261CED"/>
    <w:rPr>
      <w:rFonts w:ascii="Tahoma" w:cs="Tahoma" w:hAnsi="Tahoma"/>
      <w:sz w:val="16"/>
      <w:szCs w:val="16"/>
    </w:rPr>
  </w:style>
  <w:style w:customStyle="1" w:styleId="TekstbaloniaChar" w:type="character">
    <w:name w:val="Tekst balončića Char"/>
    <w:link w:val="Tekstbalonia"/>
    <w:rsid w:val="00261CED"/>
    <w:rPr>
      <w:rFonts w:ascii="Tahoma" w:cs="Tahoma" w:hAnsi="Tahoma"/>
      <w:sz w:val="16"/>
      <w:szCs w:val="16"/>
      <w:lang w:val="en-US"/>
    </w:rPr>
  </w:style>
  <w:style w:customStyle="1" w:styleId="ZaglavljeChar" w:type="character">
    <w:name w:val="Zaglavlje Char"/>
    <w:link w:val="Zaglavlje"/>
    <w:uiPriority w:val="99"/>
    <w:rsid w:val="007D1041"/>
    <w:rPr>
      <w:lang w:val="en-US"/>
    </w:rPr>
  </w:style>
  <w:style w:styleId="Odlomakpopisa" w:type="paragraph">
    <w:name w:val="List Paragraph"/>
    <w:basedOn w:val="Normal"/>
    <w:uiPriority w:val="34"/>
    <w:qFormat/>
    <w:rsid w:val="007D1041"/>
    <w:pPr>
      <w:ind w:left="720"/>
      <w:contextualSpacing/>
    </w:pPr>
  </w:style>
  <w:style w:styleId="Tekstrezerviranogmjesta" w:type="character">
    <w:name w:val="Placeholder Text"/>
    <w:basedOn w:val="Zadanifontodlomka"/>
    <w:uiPriority w:val="99"/>
    <w:semiHidden/>
    <w:rsid w:val="00A13AC8"/>
    <w:rPr>
      <w:color w:val="808080"/>
      <w:bdr w:color="auto" w:space="0" w:sz="0" w:val="none"/>
      <w:shd w:color="auto" w:fill="auto" w:val="clear"/>
    </w:rPr>
  </w:style>
  <w:style w:customStyle="1" w:styleId="eSPISCCParagraphDefaultFont" w:type="character">
    <w:name w:val="eSPIS_CC_Paragraph Default Font"/>
    <w:basedOn w:val="Zadanifontodlomka"/>
    <w:rsid w:val="00A13A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3AC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3A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3AC8"/>
    <w:rPr>
      <w:rFonts w:ascii="Times New Roman" w:cs="Times New Roman" w:hAnsi="Times New Roman"/>
      <w:sz w:val="24"/>
      <w:szCs w:val="24"/>
      <w:bdr w:color="auto" w:space="0" w:sz="0" w:val="none"/>
      <w:shd w:color="auto" w:fill="CCFFCC" w:val="clear"/>
      <w:lang w:val="hr-HR"/>
    </w:rPr>
  </w:style>
  <w:style w:styleId="Naglaeno" w:type="character">
    <w:name w:val="Strong"/>
    <w:uiPriority w:val="22"/>
    <w:qFormat/>
    <w:rsid w:val="00AC6F74"/>
    <w:rPr>
      <w:b/>
      <w:bCs/>
    </w:rPr>
  </w:style>
  <w:style w:styleId="Tijeloteksta-uvlaka3" w:type="paragraph">
    <w:name w:val="Body Text Indent 3"/>
    <w:basedOn w:val="Normal"/>
    <w:link w:val="Tijeloteksta-uvlaka3Char"/>
    <w:rsid w:val="005065FB"/>
    <w:pPr>
      <w:spacing w:after="120"/>
      <w:ind w:left="283"/>
    </w:pPr>
    <w:rPr>
      <w:sz w:val="16"/>
      <w:szCs w:val="16"/>
      <w:lang w:val="hr-HR"/>
    </w:rPr>
  </w:style>
  <w:style w:customStyle="1" w:styleId="Tijeloteksta-uvlaka3Char" w:type="character">
    <w:name w:val="Tijelo teksta - uvlaka 3 Char"/>
    <w:basedOn w:val="Zadanifontodlomka"/>
    <w:link w:val="Tijeloteksta-uvlaka3"/>
    <w:rsid w:val="005065FB"/>
    <w:rPr>
      <w:sz w:val="16"/>
      <w:szCs w:val="16"/>
    </w:rPr>
  </w:style>
  <w:style w:styleId="Reetkatablice" w:type="table">
    <w:name w:val="Table Grid"/>
    <w:basedOn w:val="Obinatablica"/>
    <w:rsid w:val="00F7647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St-895/2017</izvorni_sadrzaj>
    <derivirana_varijabla naziv="DomainObject.Predmet.OznakaBroj_1">St-895/2017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GOLD štedionica d.o.o., u stečaju</izvorni_sadrzaj>
    <derivirana_varijabla naziv="DomainObject.Predmet.ProtustrankaFormated_1">  Stečajna masa iza GOLD štedionica d.o.o., u stečaju</derivirana_varijabla>
  </DomainObject.Predmet.ProtustrankaFormated>
  <DomainObject.Predmet.ProtustrankaFormatedOIB>
    <izvorni_sadrzaj>  Stečajna masa iza GOLD štedionica d.o.o., u stečaju, OIB 25749181068</izvorni_sadrzaj>
    <derivirana_varijabla naziv="DomainObject.Predmet.ProtustrankaFormatedOIB_1">  Stečajna masa iza GOLD štedionica d.o.o., u stečaju, OIB 25749181068</derivirana_varijabla>
  </DomainObject.Predmet.ProtustrankaFormatedOIB>
  <DomainObject.Predmet.ProtustrankaFormatedWithAdress>
    <izvorni_sadrzaj> Stečajna masa iza GOLD štedionica d.o.o., u stečaju, Trg Mihovila Pavlinovića 2, 21000 Split</izvorni_sadrzaj>
    <derivirana_varijabla naziv="DomainObject.Predmet.ProtustrankaFormatedWithAdress_1"> Stečajna masa iza GOLD štedionica d.o.o., u stečaju, Trg Mihovila Pavlinovića 2, 21000 Split</derivirana_varijabla>
  </DomainObject.Predmet.ProtustrankaFormatedWithAdress>
  <DomainObject.Predmet.ProtustrankaFormatedWithAdressOIB>
    <izvorni_sadrzaj> Stečajna masa iza GOLD štedionica d.o.o., u stečaju, OIB 25749181068, Trg Mihovila Pavlinovića 2, 21000 Split</izvorni_sadrzaj>
    <derivirana_varijabla naziv="DomainObject.Predmet.ProtustrankaFormatedWithAdressOIB_1"> Stečajna masa iza GOLD štedionica d.o.o., u stečaju, OIB 25749181068, Trg Mihovila Pavlinovića 2, 21000 Split</derivirana_varijabla>
  </DomainObject.Predmet.ProtustrankaFormatedWithAdressOIB>
  <DomainObject.Predmet.ProtustrankaWithAdress>
    <izvorni_sadrzaj>Stečajna masa iza GOLD štedionica d.o.o., u stečaju Trg Mihovila Pavlinovića 2, 21000 Split</izvorni_sadrzaj>
    <derivirana_varijabla naziv="DomainObject.Predmet.ProtustrankaWithAdress_1">Stečajna masa iza GOLD štedionica d.o.o., u stečaju Trg Mihovila Pavlinovića 2, 21000 Split</derivirana_varijabla>
  </DomainObject.Predmet.ProtustrankaWithAdress>
  <DomainObject.Predmet.ProtustrankaWithAdressOIB>
    <izvorni_sadrzaj>Stečajna masa iza GOLD štedionica d.o.o., u stečaju, OIB 25749181068, Trg Mihovila Pavlinovića 2, 21000 Split</izvorni_sadrzaj>
    <derivirana_varijabla naziv="DomainObject.Predmet.ProtustrankaWithAdressOIB_1">Stečajna masa iza GOLD štedionica d.o.o., u stečaju, OIB 25749181068, Trg Mihovila Pavlinovića 2, 21000 Split</derivirana_varijabla>
  </DomainObject.Predmet.ProtustrankaWithAdressOIB>
  <DomainObject.Predmet.ProtustrankaNazivFormated>
    <izvorni_sadrzaj>Stečajna masa iza GOLD štedionica d.o.o., u stečaju</izvorni_sadrzaj>
    <derivirana_varijabla naziv="DomainObject.Predmet.ProtustrankaNazivFormated_1">Stečajna masa iza GOLD štedionica d.o.o., u stečaju</derivirana_varijabla>
  </DomainObject.Predmet.ProtustrankaNazivFormated>
  <DomainObject.Predmet.ProtustrankaNazivFormatedOIB>
    <izvorni_sadrzaj>Stečajna masa iza GOLD štedionica d.o.o., u stečaju, OIB 25749181068</izvorni_sadrzaj>
    <derivirana_varijabla naziv="DomainObject.Predmet.ProtustrankaNazivFormatedOIB_1">Stečajna masa iza GOLD štedionica d.o.o., u stečaju, OIB 25749181068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GOLD štedionica d.o.o., u stečaju</item>
    </izvorni_sadrzaj>
    <derivirana_varijabla naziv="DomainObject.Predmet.ProtuStrankaListFormated_1">
      <item>Stečajna masa iza GOLD štedionica d.o.o., u stečaju</item>
    </derivirana_varijabla>
  </DomainObject.Predmet.ProtuStrankaListFormated>
  <DomainObject.Predmet.ProtuStrankaListFormatedOIB>
    <izvorni_sadrzaj>
      <item>Stečajna masa iza GOLD štedionica d.o.o., u stečaju, OIB 25749181068</item>
    </izvorni_sadrzaj>
    <derivirana_varijabla naziv="DomainObject.Predmet.ProtuStrankaListFormatedOIB_1">
      <item>Stečajna masa iza GOLD štedionica d.o.o., u stečaju, OIB 25749181068</item>
    </derivirana_varijabla>
  </DomainObject.Predmet.ProtuStrankaListFormatedOIB>
  <DomainObject.Predmet.ProtuStrankaListFormatedWithAdress>
    <izvorni_sadrzaj>
      <item>Stečajna masa iza GOLD štedionica d.o.o., u stečaju, Trg Mihovila Pavlinovića 2, 21000 Split</item>
    </izvorni_sadrzaj>
    <derivirana_varijabla naziv="DomainObject.Predmet.ProtuStrankaListFormatedWithAdress_1">
      <item>Stečajna masa iza GOLD štedionica d.o.o., u stečaju, Trg Mihovila Pavlinovića 2, 21000 Split</item>
    </derivirana_varijabla>
  </DomainObject.Predmet.ProtuStrankaListFormatedWithAdress>
  <DomainObject.Predmet.ProtuStrankaListFormatedWithAdressOIB>
    <izvorni_sadrzaj>
      <item>Stečajna masa iza GOLD štedionica d.o.o., u stečaju, OIB 25749181068, Trg Mihovila Pavlinovića 2, 21000 Split</item>
    </izvorni_sadrzaj>
    <derivirana_varijabla naziv="DomainObject.Predmet.ProtuStrankaListFormatedWithAdressOIB_1">
      <item>Stečajna masa iza GOLD štedionica d.o.o., u stečaju, OIB 25749181068, Trg Mihovila Pavlinovića 2, 21000 Split</item>
    </derivirana_varijabla>
  </DomainObject.Predmet.ProtuStrankaListFormatedWithAdressOIB>
  <DomainObject.Predmet.ProtuStrankaListNazivFormated>
    <izvorni_sadrzaj>
      <item>Stečajna masa iza GOLD štedionica d.o.o., u stečaju</item>
    </izvorni_sadrzaj>
    <derivirana_varijabla naziv="DomainObject.Predmet.ProtuStrankaListNazivFormated_1">
      <item>Stečajna masa iza GOLD štedionica d.o.o., u stečaju</item>
    </derivirana_varijabla>
  </DomainObject.Predmet.ProtuStrankaListNazivFormated>
  <DomainObject.Predmet.ProtuStrankaListNazivFormatedOIB>
    <izvorni_sadrzaj>
      <item>Stečajna masa iza GOLD štedionica d.o.o., u stečaju, OIB 25749181068</item>
    </izvorni_sadrzaj>
    <derivirana_varijabla naziv="DomainObject.Predmet.ProtuStrankaListNazivFormatedOIB_1">
      <item>Stečajna masa iza GOLD štedionica d.o.o., u stečaju, OIB 25749181068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GOLD štedionica d.o.o., u stečaju</izvorni_sadrzaj>
    <derivirana_varijabla naziv="DomainObject.Predmet.ProtustrankaIDrugi_1">Stečajna masa iza GOLD štedionica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GOLD štedionica d.o.o., u stečaju, OIB 25749181068, Trg Mihovila Pavlinovića 2, 21000 Split</izvorni_sadrzaj>
    <derivirana_varijabla naziv="DomainObject.Predmet.ProtustrankaIDrugiAdressOIB_1">Stečajna masa iza GOLD štedionica d.o.o., u stečaju, OIB 25749181068, Trg Mihovila Pavlinovića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GOLD štedionica d.o.o., u stečaju</item>
    </izvorni_sadrzaj>
    <derivirana_varijabla naziv="DomainObject.Predmet.SudioniciListNaziv_1">
      <item>Stečajna masa iza GOLD štedionica d.o.o., u stečaju</item>
    </derivirana_varijabla>
  </DomainObject.Predmet.SudioniciListNaziv>
  <DomainObject.Predmet.SudioniciListAdressOIB>
    <izvorni_sadrzaj>
      <item>Stečajna masa iza GOLD štedionica d.o.o., u stečaju, OIB 25749181068, Trg Mihovila Pavlinovića 2,21000 Split</item>
    </izvorni_sadrzaj>
    <derivirana_varijabla naziv="DomainObject.Predmet.SudioniciListAdressOIB_1">
      <item>Stečajna masa iza GOLD štedionica d.o.o., u stečaju, OIB 25749181068, Trg Mihovila Pavlinovića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25749181068</item>
    </izvorni_sadrzaj>
    <derivirana_varijabla naziv="DomainObject.Predmet.SudioniciListNazivOIB_1">
      <item>, OIB 25749181068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9211A2-3463-42CC-B597-562BF87A43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1391</properties:Words>
  <properties:Characters>7616</properties:Characters>
  <properties:Lines>139</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2018-07-24T12:00:00Z</dcterms:created>
  <dc:creator>KDS - 8</dc:creator>
  <cp:lastModifiedBy>Ana Golub Gruić</cp:lastModifiedBy>
  <cp:lastPrinted>2018-07-24T11:42:00Z</cp:lastPrinted>
  <dcterms:modified xmlns:xsi="http://www.w3.org/2001/XMLSchema-instance" xsi:type="dcterms:W3CDTF">2018-07-24T12:01:00Z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(St-895-2017 Rješenje - prigovor na završni diobeni popis.docx)</vt:lpwstr>
  </prop:property>
  <prop:property name="CC_coloring" pid="4" fmtid="{D5CDD505-2E9C-101B-9397-08002B2CF9AE}">
    <vt:bool>false</vt:bool>
  </prop:property>
  <prop:property name="BrojStranica" pid="5" fmtid="{D5CDD505-2E9C-101B-9397-08002B2CF9AE}">
    <vt:i4>4</vt:i4>
  </prop:property>
</prop:Properties>
</file>