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B1F6D" w:rsidR="001B1F6D">
        <w:tc>
          <w:tcPr>
            <w:tcW w:type="dxa" w:w="2985"/>
            <w:hideMark/>
          </w:tcPr>
          <w:p w:rsidRDefault="001B1F6D" w:rsidP="001B1F6D" w:rsidR="001B1F6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1F6D" w:rsidP="001B1F6D" w:rsidR="001B1F6D">
            <w:pPr>
              <w:spacing w:after="0"/>
              <w:jc w:val="center"/>
            </w:pPr>
            <w:r>
              <w:t>Republika Hrvatska</w:t>
            </w:r>
          </w:p>
          <w:p w:rsidRDefault="001B1F6D" w:rsidP="001B1F6D" w:rsidR="001B1F6D">
            <w:pPr>
              <w:spacing w:after="0"/>
              <w:jc w:val="center"/>
            </w:pPr>
            <w:r>
              <w:t>Trgovački sud u Varaždinu</w:t>
            </w:r>
          </w:p>
          <w:p w:rsidRDefault="001B1F6D" w:rsidP="001B1F6D" w:rsidR="001B1F6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012de5" w14:paraId="c012de5" w:rsidRDefault="001B1F6D" w:rsidP="001B1F6D" w:rsidR="001B1F6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1B1F6D" w:rsidP="001B1F6D" w:rsidR="001B1F6D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St-91/2015-79</w:t>
      </w:r>
    </w:p>
    <w:p w:rsidRDefault="001B1F6D" w:rsidP="001B1F6D" w:rsidR="001B1F6D">
      <w:pPr>
        <w:pStyle w:val="Tijeloteksta"/>
        <w:spacing w:after="0"/>
        <w:rPr>
          <w:bCs/>
        </w:rPr>
      </w:pPr>
    </w:p>
    <w:p w:rsidRDefault="001B1F6D" w:rsidP="001B1F6D" w:rsidR="001B1F6D">
      <w:pPr>
        <w:pStyle w:val="Tijeloteksta"/>
        <w:spacing w:after="0"/>
        <w:rPr>
          <w:bCs/>
        </w:rPr>
      </w:pPr>
    </w:p>
    <w:p w:rsidRDefault="001B1F6D" w:rsidP="001B1F6D" w:rsidR="001B1F6D">
      <w:pPr>
        <w:pStyle w:val="Tijeloteksta"/>
        <w:spacing w:after="0"/>
        <w:rPr>
          <w:b/>
          <w:bCs/>
        </w:rPr>
      </w:pPr>
    </w:p>
    <w:p w:rsidRDefault="001B1F6D" w:rsidP="001B1F6D" w:rsidR="001B1F6D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u stečajnom postupku nad stečajnim dužnikom TVORNICA STOČNE HRANE d.o.o. "u stečaju" Koprivnica, Kolodvorska 14, MBS: 010029626, OIB: 76325867397, na temelju rješenja o prodaji broj St-91/15-29 od 30. svibnja 2016. godine, dana 01. prosinca 2017. godine donio je slijedeći</w:t>
      </w:r>
    </w:p>
    <w:p w:rsidRDefault="001B1F6D" w:rsidP="001B1F6D" w:rsidR="001B1F6D">
      <w:pPr>
        <w:spacing w:after="0"/>
        <w:jc w:val="both"/>
      </w:pPr>
    </w:p>
    <w:p w:rsidRDefault="001B1F6D" w:rsidP="001B1F6D" w:rsidR="001B1F6D" w:rsidRPr="001B1F6D">
      <w:pPr>
        <w:pStyle w:val="Naslov1"/>
        <w:spacing w:after="0"/>
        <w:jc w:val="center"/>
        <w:rPr>
          <w:sz w:val="24"/>
          <w:szCs w:val="24"/>
        </w:rPr>
      </w:pPr>
      <w:r w:rsidRPr="001B1F6D">
        <w:rPr>
          <w:sz w:val="24"/>
          <w:szCs w:val="24"/>
        </w:rPr>
        <w:t>ZAKLJUČAK O PRODAJI</w:t>
      </w:r>
    </w:p>
    <w:p w:rsidRDefault="001B1F6D" w:rsidP="001B1F6D" w:rsidR="001B1F6D">
      <w:pPr>
        <w:spacing w:after="0"/>
        <w:jc w:val="center"/>
        <w:rPr>
          <w:b/>
          <w:bCs/>
        </w:rPr>
      </w:pPr>
      <w:r>
        <w:rPr>
          <w:b/>
          <w:bCs/>
        </w:rPr>
        <w:t>9. JAVNA DRAŽBA</w:t>
      </w:r>
    </w:p>
    <w:p w:rsidRDefault="001B1F6D" w:rsidP="001B1F6D" w:rsidR="001B1F6D">
      <w:pPr>
        <w:spacing w:after="0"/>
        <w:jc w:val="center"/>
        <w:rPr>
          <w:b/>
          <w:bCs/>
        </w:rPr>
      </w:pPr>
    </w:p>
    <w:p w:rsidRDefault="001B1F6D" w:rsidP="001B1F6D" w:rsidR="001B1F6D">
      <w:pPr>
        <w:spacing w:after="0"/>
        <w:rPr>
          <w:b/>
          <w:bCs/>
        </w:rPr>
      </w:pPr>
    </w:p>
    <w:p w:rsidRDefault="001B1F6D" w:rsidP="001B1F6D" w:rsidR="001B1F6D">
      <w:pPr>
        <w:pStyle w:val="Tijeloteksta"/>
        <w:spacing w:after="0"/>
        <w:ind w:firstLine="708"/>
        <w:jc w:val="both"/>
      </w:pPr>
      <w:r>
        <w:rPr>
          <w:b/>
        </w:rPr>
        <w:t>I.a)</w:t>
      </w:r>
      <w:r>
        <w:t xml:space="preserve"> Određuje se prodaja nekretnina i pokretnina u vlasništvu stečajnog dužnika TVORNICA STOČNE HRANE d.o.o. "u stečaju" Koprivnica, u stečajnom postupku, uz odgovarajuću primjenu pravila o ovrsi na nekretninama i pokretninama: </w:t>
      </w:r>
    </w:p>
    <w:p w:rsidRDefault="001B1F6D" w:rsidP="001B1F6D" w:rsidR="001B1F6D">
      <w:pPr>
        <w:spacing w:after="0"/>
        <w:jc w:val="both"/>
      </w:pPr>
    </w:p>
    <w:p w:rsidRDefault="001B1F6D" w:rsidP="001B1F6D" w:rsidR="001B1F6D">
      <w:pPr>
        <w:pStyle w:val="Tijeloteksta"/>
        <w:numPr>
          <w:ilvl w:val="0"/>
          <w:numId w:val="47"/>
        </w:numPr>
        <w:spacing w:after="0"/>
        <w:jc w:val="both"/>
      </w:pPr>
      <w:r>
        <w:t>čkbr. 3138 zgrada u Kolodvorskoj ulici površine 1186 m2,  upisana u zk.ul. 13552 k.o. Koprivnica, u 1/1 dijela,</w:t>
      </w:r>
    </w:p>
    <w:p w:rsidRDefault="001B1F6D" w:rsidP="001B1F6D" w:rsidR="001B1F6D">
      <w:pPr>
        <w:pStyle w:val="Tijeloteksta"/>
        <w:numPr>
          <w:ilvl w:val="0"/>
          <w:numId w:val="47"/>
        </w:numPr>
        <w:spacing w:after="0"/>
        <w:jc w:val="both"/>
      </w:pPr>
      <w:r>
        <w:t>čkbr. 1795 dvor u Kolodvorskoj ulici površine 379 m2, upisana u zk.ul. 1653 k.o. Koprivnica, u 1/1 dijela</w:t>
      </w:r>
    </w:p>
    <w:p w:rsidRDefault="001B1F6D" w:rsidP="001B1F6D" w:rsidR="001B1F6D">
      <w:pPr>
        <w:pStyle w:val="Tijeloteksta"/>
        <w:numPr>
          <w:ilvl w:val="0"/>
          <w:numId w:val="47"/>
        </w:numPr>
        <w:spacing w:after="0"/>
        <w:jc w:val="both"/>
      </w:pPr>
      <w:r>
        <w:t>čkbr. 1794 dvor u Kolodvorskoj ulici površine 372 m2, upisan u zk.ul. 1654 k.o. Koprivnica, u 1/1 dijela</w:t>
      </w:r>
    </w:p>
    <w:p w:rsidRDefault="001B1F6D" w:rsidP="001B1F6D" w:rsidR="001B1F6D">
      <w:pPr>
        <w:pStyle w:val="Tijeloteksta"/>
        <w:spacing w:after="0"/>
      </w:pPr>
    </w:p>
    <w:p w:rsidRDefault="001B1F6D" w:rsidP="001B1F6D" w:rsidR="001B1F6D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nekretnina iznosi 2.910.000,00 kn.</w:t>
      </w:r>
    </w:p>
    <w:p w:rsidRDefault="001B1F6D" w:rsidP="001B1F6D" w:rsidR="001B1F6D">
      <w:pPr>
        <w:pStyle w:val="Tijeloteksta"/>
        <w:spacing w:after="0"/>
        <w:rPr>
          <w:b/>
        </w:rPr>
      </w:pPr>
    </w:p>
    <w:p w:rsidRDefault="001B1F6D" w:rsidP="001B1F6D" w:rsidR="001B1F6D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nekretnine iznosi 762.839,04 kn.</w:t>
      </w:r>
    </w:p>
    <w:p w:rsidRDefault="001B1F6D" w:rsidP="001B1F6D" w:rsidR="001B1F6D">
      <w:pPr>
        <w:pStyle w:val="Tijeloteksta"/>
        <w:spacing w:after="0"/>
      </w:pPr>
    </w:p>
    <w:p w:rsidRDefault="001B1F6D" w:rsidP="001B1F6D" w:rsidR="001B1F6D">
      <w:pPr>
        <w:pStyle w:val="Tijeloteksta"/>
        <w:spacing w:after="0"/>
        <w:ind w:firstLine="348" w:left="360"/>
        <w:jc w:val="both"/>
      </w:pPr>
      <w:r>
        <w:t>Na navedenim nekretninama uknjiženi su tereti u korist razlučnih vjerovnika i to Hypo Alpe-Adria-Bank d.d. Zagreb i H-Abduco d.o.o. Zagreb.</w:t>
      </w:r>
    </w:p>
    <w:p w:rsidRDefault="001B1F6D" w:rsidP="001B1F6D" w:rsidR="001B1F6D">
      <w:pPr>
        <w:pStyle w:val="Tijeloteksta"/>
        <w:spacing w:after="0"/>
      </w:pPr>
    </w:p>
    <w:p w:rsidRDefault="001B1F6D" w:rsidP="001B1F6D" w:rsidR="001B1F6D">
      <w:pPr>
        <w:pStyle w:val="Tijeloteksta"/>
        <w:spacing w:after="0"/>
        <w:ind w:firstLine="708"/>
        <w:jc w:val="both"/>
      </w:pPr>
      <w:r>
        <w:rPr>
          <w:b/>
        </w:rPr>
        <w:t xml:space="preserve">I.b) </w:t>
      </w:r>
      <w:r>
        <w:t>Pokretnine koje su ugrađene u navedenu nekretninu i sačinjavaju tehnološku proizvodnu cjelinu - mini linija za pakiranje, oprema i postrojenja, uredska oprema, namještaj i inventar, sve citirano u elaboratu procjene pokretne imovine stalnog sudskog vještaka Iveković Slobodana, koji je sastavni dio ovog zaključka.</w:t>
      </w:r>
    </w:p>
    <w:p w:rsidRDefault="001B1F6D" w:rsidP="001B1F6D" w:rsidR="001B1F6D">
      <w:pPr>
        <w:pStyle w:val="Tijeloteksta"/>
        <w:spacing w:after="0"/>
        <w:ind w:left="360"/>
      </w:pPr>
    </w:p>
    <w:p w:rsidRDefault="001B1F6D" w:rsidP="001B1F6D" w:rsidR="001B1F6D">
      <w:pPr>
        <w:pStyle w:val="Tijeloteksta"/>
        <w:spacing w:after="0"/>
        <w:ind w:left="360"/>
        <w:rPr>
          <w:b/>
        </w:rPr>
      </w:pPr>
      <w:r>
        <w:rPr>
          <w:b/>
        </w:rPr>
        <w:t xml:space="preserve">      Procijenjena vrijednost pokretnina iznosi  1.092.637,26 kn.</w:t>
      </w:r>
    </w:p>
    <w:p w:rsidRDefault="001B1F6D" w:rsidP="001B1F6D" w:rsidR="001B1F6D">
      <w:pPr>
        <w:pStyle w:val="Tijeloteksta"/>
        <w:spacing w:after="0"/>
        <w:ind w:left="360"/>
        <w:rPr>
          <w:b/>
        </w:rPr>
      </w:pPr>
    </w:p>
    <w:p w:rsidRDefault="001B1F6D" w:rsidP="001B1F6D" w:rsidR="001B1F6D">
      <w:pPr>
        <w:pStyle w:val="Tijeloteksta"/>
        <w:spacing w:after="0"/>
        <w:ind w:firstLine="348" w:left="360"/>
        <w:rPr>
          <w:b/>
        </w:rPr>
      </w:pPr>
      <w:r>
        <w:rPr>
          <w:b/>
        </w:rPr>
        <w:t>Početna prodajna cijena za pokretnine iznosi 699.288,00 kn.</w:t>
      </w:r>
    </w:p>
    <w:p w:rsidRDefault="001B1F6D" w:rsidP="001B1F6D" w:rsidR="001B1F6D">
      <w:pPr>
        <w:pStyle w:val="Tijeloteksta"/>
        <w:spacing w:after="0"/>
        <w:ind w:left="360"/>
        <w:jc w:val="both"/>
      </w:pPr>
      <w:r>
        <w:lastRenderedPageBreak/>
        <w:tab/>
        <w:t>Nekretnine pod točkom I.a) i pokretnine pod točkom I.b) prodaju se kao cjelina.</w:t>
      </w:r>
    </w:p>
    <w:p w:rsidRDefault="001B1F6D" w:rsidP="001B1F6D" w:rsidR="001B1F6D">
      <w:pPr>
        <w:pStyle w:val="Tijeloteksta"/>
        <w:spacing w:after="0"/>
        <w:ind w:left="360"/>
      </w:pPr>
    </w:p>
    <w:p w:rsidRDefault="001B1F6D" w:rsidP="001B1F6D" w:rsidR="001B1F6D">
      <w:pPr>
        <w:pStyle w:val="Tijeloteksta"/>
        <w:spacing w:after="0"/>
        <w:ind w:firstLine="708"/>
        <w:jc w:val="both"/>
      </w:pPr>
      <w:r>
        <w:t xml:space="preserve">II/ Nekretnine i pokretnine će se prodavati na usmenoj javnoj dražbi. Deveto ročište za prodaju održat će se dana </w:t>
      </w:r>
      <w:r>
        <w:rPr>
          <w:b/>
        </w:rPr>
        <w:t>08.03.2018.</w:t>
      </w:r>
      <w:r>
        <w:t xml:space="preserve"> godine, u zgradi Trgovačkog suda u Varaždinu, soba 226/II, s početkom u </w:t>
      </w:r>
      <w:r>
        <w:rPr>
          <w:b/>
        </w:rPr>
        <w:t>09,30 sati.</w:t>
      </w:r>
      <w:r>
        <w:t xml:space="preserve"> Ročište će se održati i ako na njemu sudjeluje samo jedan ponuditelj.</w:t>
      </w:r>
    </w:p>
    <w:p w:rsidRDefault="001B1F6D" w:rsidP="001B1F6D" w:rsidR="001B1F6D">
      <w:pPr>
        <w:pStyle w:val="Tijeloteksta"/>
        <w:spacing w:after="0"/>
        <w:ind w:firstLine="708"/>
        <w:jc w:val="both"/>
      </w:pPr>
    </w:p>
    <w:p w:rsidRDefault="001B1F6D" w:rsidP="001B1F6D" w:rsidR="001B1F6D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1B1F6D" w:rsidP="001B1F6D" w:rsidR="001B1F6D">
      <w:pPr>
        <w:pStyle w:val="Tijeloteksta"/>
        <w:spacing w:after="0"/>
      </w:pPr>
    </w:p>
    <w:p w:rsidRDefault="001B1F6D" w:rsidP="001B1F6D" w:rsidR="001B1F6D">
      <w:pPr>
        <w:pStyle w:val="Tijeloteksta"/>
        <w:spacing w:after="0"/>
        <w:ind w:firstLine="708"/>
      </w:pPr>
      <w:r>
        <w:t>IV/ Uvjeti prodaje:</w:t>
      </w:r>
    </w:p>
    <w:p w:rsidRDefault="001B1F6D" w:rsidP="001B1F6D" w:rsidR="001B1F6D">
      <w:pPr>
        <w:pStyle w:val="Tijeloteksta"/>
        <w:spacing w:after="0"/>
        <w:ind w:firstLine="708"/>
      </w:pPr>
    </w:p>
    <w:p w:rsidRDefault="001B1F6D" w:rsidP="001B1F6D" w:rsidR="001B1F6D">
      <w:pPr>
        <w:numPr>
          <w:ilvl w:val="0"/>
          <w:numId w:val="48"/>
        </w:numPr>
        <w:spacing w:after="0"/>
        <w:jc w:val="both"/>
      </w:pPr>
      <w:r>
        <w:t>Nekretnine iz točke I.a ovog zaključka prodavati će se po početnoj cijeni i to u iznosu    od 762.839,04 kn, pokretnine iz točke I.b ovog zaključka prodavati će se po početnoj cijeni i to u iznosu od 699.288,00 kn, što ukupno iznosi 1.462.127,04 kn, te se  ispod te cijene na devetom ročištu za javnu dražbu nekretnine ne mogu prodati.</w:t>
      </w:r>
    </w:p>
    <w:p w:rsidRDefault="001B1F6D" w:rsidP="001B1F6D" w:rsidR="001B1F6D">
      <w:pPr>
        <w:spacing w:after="0"/>
        <w:jc w:val="both"/>
      </w:pPr>
    </w:p>
    <w:p w:rsidRDefault="001B1F6D" w:rsidP="001B1F6D" w:rsidR="001B1F6D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1B1F6D" w:rsidP="001B1F6D" w:rsidR="001B1F6D">
      <w:pPr>
        <w:spacing w:after="0"/>
        <w:jc w:val="both"/>
      </w:pPr>
    </w:p>
    <w:p w:rsidRDefault="001B1F6D" w:rsidP="001B1F6D" w:rsidR="001B1F6D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10% od početne prodajne cijene nekretnina i pokretnina za koje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St-91/15. Kupcu nekretnina jamčevina se uračunava u kupoprodajnu cijenu, a ostalima se vraća odmah nakon zaključenja javne dražbe.</w:t>
      </w:r>
    </w:p>
    <w:p w:rsidRDefault="001B1F6D" w:rsidP="001B1F6D" w:rsidR="001B1F6D">
      <w:pPr>
        <w:pStyle w:val="Tijeloteksta"/>
        <w:spacing w:after="0"/>
      </w:pPr>
    </w:p>
    <w:p w:rsidRDefault="001B1F6D" w:rsidP="001B1F6D" w:rsidR="001B1F6D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i pokretnina određene grupe koje nisu obuhvaćene njihovim razlučnim pravom.</w:t>
      </w:r>
    </w:p>
    <w:p w:rsidRDefault="001B1F6D" w:rsidP="001B1F6D" w:rsidR="001B1F6D">
      <w:pPr>
        <w:pStyle w:val="Tijeloteksta21"/>
        <w:jc w:val="both"/>
        <w:rPr>
          <w:rFonts w:hint="eastAsia"/>
        </w:rPr>
      </w:pPr>
    </w:p>
    <w:p w:rsidRDefault="001B1F6D" w:rsidP="001B1F6D" w:rsidR="001B1F6D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nekretnina,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nekretnine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1B1F6D" w:rsidP="001B1F6D" w:rsidR="001B1F6D">
      <w:pPr>
        <w:pStyle w:val="Tijeloteksta"/>
        <w:spacing w:after="0"/>
      </w:pPr>
    </w:p>
    <w:p w:rsidRDefault="001B1F6D" w:rsidP="001B1F6D" w:rsidR="001B1F6D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se nakon pravomoćnosti  toga  rješenja i nakon što kupac položi kupovninu, u zemljišnim knjigama upiše pravo vlasništva na </w:t>
      </w:r>
      <w:r>
        <w:lastRenderedPageBreak/>
        <w:t>dosuđenim nekretninama u korist kupca, te brisati prava i terete na nekretninama koji prestaju njihovom prodajom.</w:t>
      </w:r>
    </w:p>
    <w:p w:rsidRDefault="001B1F6D" w:rsidP="001B1F6D" w:rsidR="001B1F6D">
      <w:pPr>
        <w:spacing w:after="0"/>
        <w:jc w:val="both"/>
      </w:pPr>
    </w:p>
    <w:p w:rsidRDefault="001B1F6D" w:rsidP="001B1F6D" w:rsidR="001B1F6D">
      <w:pPr>
        <w:numPr>
          <w:ilvl w:val="0"/>
          <w:numId w:val="48"/>
        </w:numPr>
        <w:spacing w:after="0"/>
        <w:jc w:val="both"/>
      </w:pPr>
      <w:r>
        <w:t>Nekretnina pod točkom I.a) ovog zaključka nije legalizirana, te se prodaje sukladno postojećem upisu u zemljišne knjige po načelu "viđeno-kupljeno", bez daljnjih prigovora kupca.</w:t>
      </w:r>
    </w:p>
    <w:p w:rsidRDefault="001B1F6D" w:rsidP="001B1F6D" w:rsidR="001B1F6D">
      <w:pPr>
        <w:spacing w:after="0"/>
        <w:ind w:left="720"/>
        <w:jc w:val="both"/>
      </w:pPr>
    </w:p>
    <w:p w:rsidRDefault="001B1F6D" w:rsidP="001B1F6D" w:rsidR="001B1F6D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i pokretnine koje su predmet prodaje uz prethodni dogovor sa stečajnim upraviteljem Stankom Makar, dipl. oec. iz Ludbrega, na broj 091 2010001, svakog radnog dana od 8,00-15,00 sati.</w:t>
      </w:r>
    </w:p>
    <w:p w:rsidRDefault="001B1F6D" w:rsidP="001B1F6D" w:rsidR="001B1F6D">
      <w:pPr>
        <w:pStyle w:val="Tijeloteksta"/>
        <w:tabs>
          <w:tab w:pos="1260" w:val="left"/>
        </w:tabs>
        <w:spacing w:after="0"/>
      </w:pPr>
    </w:p>
    <w:p w:rsidRDefault="001B1F6D" w:rsidP="001B1F6D" w:rsidR="001B1F6D">
      <w:pPr>
        <w:pStyle w:val="Tijeloteksta"/>
        <w:tabs>
          <w:tab w:pos="1260" w:val="left"/>
        </w:tabs>
        <w:spacing w:after="0"/>
        <w:ind w:left="720"/>
      </w:pPr>
    </w:p>
    <w:p w:rsidRDefault="001B1F6D" w:rsidP="001B1F6D" w:rsidR="001B1F6D">
      <w:pPr>
        <w:tabs>
          <w:tab w:pos="1260" w:val="left"/>
        </w:tabs>
        <w:spacing w:after="0"/>
        <w:jc w:val="center"/>
      </w:pPr>
      <w:r>
        <w:t>Varaždin, 1. prosinca 2017.</w:t>
      </w:r>
    </w:p>
    <w:p w:rsidRDefault="001B1F6D" w:rsidP="001B1F6D" w:rsidR="001B1F6D">
      <w:pPr>
        <w:tabs>
          <w:tab w:pos="1260" w:val="left"/>
        </w:tabs>
        <w:spacing w:after="0"/>
      </w:pPr>
    </w:p>
    <w:p w:rsidRDefault="001B1F6D" w:rsidP="001B1F6D" w:rsidR="001B1F6D">
      <w:pPr>
        <w:tabs>
          <w:tab w:pos="1260" w:val="left"/>
        </w:tabs>
        <w:spacing w:after="0"/>
        <w:jc w:val="center"/>
      </w:pPr>
    </w:p>
    <w:p w:rsidRDefault="001B1F6D" w:rsidP="001B1F6D" w:rsidR="001B1F6D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Sudac:</w:t>
      </w:r>
    </w:p>
    <w:p w:rsidRDefault="001B1F6D" w:rsidP="001B1F6D" w:rsidR="001B1F6D">
      <w:pPr>
        <w:tabs>
          <w:tab w:pos="1260" w:val="left"/>
        </w:tabs>
        <w:spacing w:after="0"/>
        <w:jc w:val="both"/>
      </w:pPr>
    </w:p>
    <w:p w:rsidRDefault="001B1F6D" w:rsidP="001B1F6D" w:rsidR="001B1F6D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1B1F6D" w:rsidP="001B1F6D" w:rsidR="001B1F6D">
      <w:pPr>
        <w:tabs>
          <w:tab w:pos="1260" w:val="left"/>
        </w:tabs>
        <w:spacing w:after="0"/>
        <w:jc w:val="both"/>
      </w:pPr>
    </w:p>
    <w:p w:rsidRDefault="001B1F6D" w:rsidP="001B1F6D" w:rsidR="001B1F6D">
      <w:pPr>
        <w:tabs>
          <w:tab w:pos="1260" w:val="left"/>
        </w:tabs>
        <w:spacing w:after="0"/>
        <w:jc w:val="both"/>
      </w:pPr>
    </w:p>
    <w:p w:rsidRDefault="001B1F6D" w:rsidP="001B1F6D" w:rsidR="001B1F6D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1B1F6D" w:rsidP="001B1F6D" w:rsidR="001B1F6D">
      <w:pPr>
        <w:tabs>
          <w:tab w:pos="1260" w:val="left"/>
        </w:tabs>
        <w:spacing w:after="0"/>
        <w:jc w:val="both"/>
      </w:pPr>
    </w:p>
    <w:p w:rsidRDefault="001B1F6D" w:rsidP="001B1F6D" w:rsidR="001B1F6D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1B1F6D" w:rsidP="001B1F6D" w:rsidR="001B1F6D">
      <w:pPr>
        <w:tabs>
          <w:tab w:pos="1260" w:val="left"/>
        </w:tabs>
        <w:spacing w:after="0"/>
        <w:jc w:val="both"/>
      </w:pPr>
    </w:p>
    <w:p w:rsidRDefault="001B1F6D" w:rsidP="001B1F6D" w:rsidR="001B1F6D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1B1F6D" w:rsidP="001B1F6D" w:rsidR="001B1F6D">
      <w:pPr>
        <w:tabs>
          <w:tab w:pos="1260" w:val="left"/>
        </w:tabs>
        <w:spacing w:after="0"/>
        <w:jc w:val="both"/>
      </w:pPr>
    </w:p>
    <w:p w:rsidRDefault="001B1F6D" w:rsidP="001B1F6D" w:rsidR="001B1F6D">
      <w:pPr>
        <w:tabs>
          <w:tab w:pos="1260" w:val="left"/>
        </w:tabs>
        <w:spacing w:after="0"/>
        <w:jc w:val="both"/>
      </w:pPr>
    </w:p>
    <w:p w:rsidRDefault="001B1F6D" w:rsidP="001B1F6D" w:rsidR="001B1F6D">
      <w:pPr>
        <w:tabs>
          <w:tab w:pos="1260" w:val="left"/>
        </w:tabs>
        <w:spacing w:after="0"/>
        <w:jc w:val="both"/>
      </w:pPr>
    </w:p>
    <w:p w:rsidRDefault="001B1F6D" w:rsidP="001B1F6D" w:rsidR="001B1F6D">
      <w:pPr>
        <w:tabs>
          <w:tab w:pos="1260" w:val="left"/>
        </w:tabs>
        <w:spacing w:after="0"/>
        <w:jc w:val="both"/>
      </w:pPr>
    </w:p>
    <w:p w:rsidRDefault="001B1F6D" w:rsidP="001B1F6D" w:rsidR="001B1F6D">
      <w:pPr>
        <w:spacing w:after="0"/>
        <w:jc w:val="both"/>
      </w:pPr>
      <w:r>
        <w:t xml:space="preserve"> DNA: 1. Stečajni upravitelj Stanko Makar, dipl. oec. iz Ludbrega, Petra Zrinskog 3</w:t>
      </w:r>
    </w:p>
    <w:p w:rsidRDefault="001B1F6D" w:rsidP="001B1F6D" w:rsidR="001B1F6D">
      <w:pPr>
        <w:spacing w:after="0"/>
        <w:jc w:val="both"/>
      </w:pPr>
      <w:r>
        <w:t xml:space="preserve">            2. ŽDO Varaždin, građansko-upravni odjel</w:t>
      </w:r>
    </w:p>
    <w:p w:rsidRDefault="001B1F6D" w:rsidP="001B1F6D" w:rsidR="001B1F6D">
      <w:pPr>
        <w:spacing w:after="0"/>
        <w:jc w:val="both"/>
      </w:pPr>
      <w:r>
        <w:t xml:space="preserve">            3. Hypo Alpe-Adria-Bank d.d. Zagreb, Slavonska avenija 6</w:t>
      </w:r>
    </w:p>
    <w:p w:rsidRDefault="001B1F6D" w:rsidP="001B1F6D" w:rsidR="001B1F6D">
      <w:pPr>
        <w:spacing w:after="0"/>
        <w:jc w:val="both"/>
      </w:pPr>
      <w:r>
        <w:t xml:space="preserve">            4. H-ABDUCO d.o.o. Zagreb, Slavonska avenija 6a</w:t>
      </w:r>
    </w:p>
    <w:p w:rsidRDefault="001B1F6D" w:rsidP="001B1F6D" w:rsidR="001B1F6D">
      <w:pPr>
        <w:spacing w:after="0"/>
        <w:jc w:val="both"/>
      </w:pPr>
      <w:r>
        <w:t xml:space="preserve">            5. e-Oglasna ploča ovoga suda </w:t>
      </w:r>
    </w:p>
    <w:p w:rsidRDefault="001B1F6D" w:rsidP="001B1F6D" w:rsidR="001B1F6D">
      <w:pPr>
        <w:tabs>
          <w:tab w:pos="1260" w:val="left"/>
        </w:tabs>
        <w:spacing w:after="0"/>
        <w:jc w:val="both"/>
      </w:pPr>
    </w:p>
    <w:p w:rsidRDefault="00AE649C" w:rsidP="001B1F6D" w:rsidR="00AE649C" w:rsidRPr="00B76F3C">
      <w:pPr>
        <w:pStyle w:val="NormaleSPIS"/>
        <w:spacing w:after="0"/>
      </w:pPr>
    </w:p>
    <w:p w:rsidRDefault="00AB4602" w:rsidP="001B1F6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B1F6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447" w:rsidP="00537B78" w:rsidR="00926447">
      <w:r>
        <w:separator/>
      </w:r>
    </w:p>
  </w:endnote>
  <w:endnote w:id="0" w:type="continuationSeparator">
    <w:p w:rsidRDefault="00926447" w:rsidP="00537B78" w:rsidR="00926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447" w:rsidP="00537B78" w:rsidR="00926447">
      <w:r>
        <w:separator/>
      </w:r>
    </w:p>
  </w:footnote>
  <w:footnote w:id="0" w:type="continuationSeparator">
    <w:p w:rsidRDefault="00926447" w:rsidP="00537B78" w:rsidR="009264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F6D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B1A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447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1B1F6D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1B1F6D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61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St-91/2015-79</izvorni_sadrzaj>
    <derivirana_varijabla naziv="DomainObject.Oznaka_1">St-91/2015-79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  <item>B2  KAPITAL d.o.o. za poslovne usluge, Radnička cesta 41,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  <item>B2  KAPITAL d.o.o. za poslovne usluge, OIB 57509775367, Radnička cesta 41,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St-91/2015-79</izvorni_sadrzaj>
    <derivirana_varijabla naziv="DomainObject.PoslovniBrojDokumenta_1">St-91/2015-79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  <item>B2  KAPITAL d.o.o. za poslovne usluge, OIB 57509775367, Radnička cesta 41,10000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C60E0-4B86-4096-B117-6DAABFC307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856</properties:Words>
  <properties:Characters>4737</properties:Characters>
  <properties:Lines>130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2017-12-01T08:37:00Z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St-91/2015-79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