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71b8" w14:paraId="7a171b8" w:rsidRDefault="00484FC7" w:rsidP="00484FC7" w:rsidR="00484FC7" w:rsidRPr="00484FC7">
      <w:pPr>
        <w15:collapsed w:val="false"/>
        <w:rPr>
          <w:rFonts w:cs="Times New Roman" w:eastAsia="Calibri"/>
        </w:rPr>
      </w:pPr>
      <w:bookmarkStart w:name="_GoBack" w:id="0"/>
      <w:bookmarkEnd w:id="0"/>
      <w:r w:rsidRPr="00484FC7">
        <w:rPr>
          <w:rFonts w:cs="Times New Roman" w:eastAsia="Calibri"/>
        </w:rPr>
        <w:t xml:space="preserve">                 </w:t>
      </w:r>
      <w:r w:rsidRPr="00484FC7">
        <w:rPr>
          <w:rFonts w:cs="Times New Roman" w:eastAsia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4FC7" w:rsidP="00484FC7" w:rsidR="00484FC7" w:rsidRPr="00484FC7">
      <w:pPr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 xml:space="preserve">     REPUBLIKA HRVATSKA</w:t>
      </w:r>
    </w:p>
    <w:p w:rsidRDefault="00484FC7" w:rsidP="00484FC7" w:rsidR="00484FC7" w:rsidRPr="00484FC7">
      <w:pPr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>TRGOVAČKI SUD U ZAGREBU</w:t>
      </w:r>
    </w:p>
    <w:p w:rsidRDefault="00484FC7" w:rsidP="00484FC7" w:rsidR="00484FC7" w:rsidRPr="00484FC7">
      <w:pPr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 xml:space="preserve">         Zagreb, Amruševa 2/II.</w:t>
      </w:r>
    </w:p>
    <w:p w:rsidRDefault="00484FC7" w:rsidP="00484FC7" w:rsidR="00484FC7" w:rsidRPr="00484FC7">
      <w:pPr>
        <w:rPr>
          <w:rFonts w:cs="Times New Roman" w:eastAsia="Calibri"/>
          <w:szCs w:val="24"/>
        </w:rPr>
      </w:pPr>
    </w:p>
    <w:p w:rsidRDefault="00484FC7" w:rsidP="00484FC7" w:rsidR="00484FC7" w:rsidRPr="00484FC7">
      <w:pPr>
        <w:rPr>
          <w:rFonts w:cs="Times New Roman" w:eastAsia="Calibri"/>
          <w:szCs w:val="24"/>
        </w:rPr>
      </w:pPr>
    </w:p>
    <w:p w:rsidRDefault="00484FC7" w:rsidP="00484FC7" w:rsidR="00484FC7" w:rsidRPr="00484FC7">
      <w:pPr>
        <w:jc w:val="right"/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>Poslovni broj: 21. St-</w:t>
      </w:r>
      <w:r>
        <w:rPr>
          <w:rFonts w:cs="Times New Roman" w:eastAsia="Calibri"/>
          <w:szCs w:val="24"/>
        </w:rPr>
        <w:t>2047</w:t>
      </w:r>
      <w:r w:rsidRPr="00484FC7">
        <w:rPr>
          <w:rFonts w:cs="Times New Roman" w:eastAsia="Calibri"/>
          <w:szCs w:val="24"/>
        </w:rPr>
        <w:t>/15</w:t>
      </w:r>
    </w:p>
    <w:p w:rsidRDefault="00484FC7" w:rsidP="00484FC7" w:rsidR="00484FC7" w:rsidRPr="00484FC7">
      <w:pPr>
        <w:jc w:val="right"/>
        <w:rPr>
          <w:rFonts w:cs="Times New Roman" w:eastAsia="Calibri"/>
          <w:szCs w:val="24"/>
        </w:rPr>
      </w:pPr>
    </w:p>
    <w:p w:rsidRDefault="00484FC7" w:rsidP="00484FC7" w:rsidR="00484FC7" w:rsidRPr="00484FC7">
      <w:pPr>
        <w:jc w:val="right"/>
        <w:rPr>
          <w:rFonts w:cs="Times New Roman" w:eastAsia="Calibri"/>
          <w:szCs w:val="24"/>
        </w:rPr>
      </w:pPr>
    </w:p>
    <w:p w:rsidRDefault="00484FC7" w:rsidP="00484FC7" w:rsidR="00484FC7" w:rsidRPr="00484FC7">
      <w:pPr>
        <w:jc w:val="right"/>
        <w:rPr>
          <w:rFonts w:cs="Times New Roman" w:eastAsia="Calibri"/>
          <w:szCs w:val="24"/>
        </w:rPr>
      </w:pPr>
    </w:p>
    <w:p w:rsidRDefault="00484FC7" w:rsidP="00484FC7" w:rsidR="00484FC7" w:rsidRPr="00484FC7">
      <w:pPr>
        <w:jc w:val="right"/>
        <w:rPr>
          <w:rFonts w:cs="Times New Roman" w:eastAsia="Calibri"/>
          <w:szCs w:val="24"/>
        </w:rPr>
      </w:pPr>
    </w:p>
    <w:p w:rsidRDefault="00484FC7" w:rsidP="00484FC7" w:rsidR="00484FC7" w:rsidRPr="00484FC7">
      <w:pPr>
        <w:jc w:val="center"/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>U   I M E   R E P U B L I K E   H R V A T S K E</w:t>
      </w:r>
    </w:p>
    <w:p w:rsidRDefault="00484FC7" w:rsidP="00484FC7" w:rsidR="00484FC7" w:rsidRPr="00484FC7">
      <w:pPr>
        <w:jc w:val="center"/>
        <w:rPr>
          <w:rFonts w:cs="Times New Roman" w:eastAsia="Calibri"/>
          <w:szCs w:val="24"/>
        </w:rPr>
      </w:pPr>
    </w:p>
    <w:p w:rsidRDefault="00484FC7" w:rsidP="00484FC7" w:rsidR="00484FC7" w:rsidRPr="00484FC7">
      <w:pPr>
        <w:jc w:val="center"/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>R J E Š E N J E</w:t>
      </w:r>
    </w:p>
    <w:p w:rsidRDefault="00484FC7" w:rsidP="00484FC7" w:rsidR="00484FC7" w:rsidRPr="00484FC7">
      <w:pPr>
        <w:jc w:val="center"/>
        <w:rPr>
          <w:rFonts w:cs="Times New Roman" w:eastAsia="Calibri"/>
          <w:szCs w:val="24"/>
        </w:rPr>
      </w:pPr>
    </w:p>
    <w:p w:rsidRDefault="00484FC7" w:rsidP="00484FC7" w:rsidR="00484FC7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  <w:szCs w:val="24"/>
        </w:rPr>
        <w:tab/>
        <w:t xml:space="preserve">Trgovački sud u Zagrebu, po sutkinji Ivani Manestar, </w:t>
      </w:r>
      <w:r w:rsidRPr="00484FC7">
        <w:rPr>
          <w:rFonts w:cs="Times New Roman" w:eastAsia="Calibri"/>
        </w:rPr>
        <w:t xml:space="preserve">u stečajnom predmetu povodom zahtjeva FINANCIJSKE AGENCIJE, Zagreb, Trg svibanjskih žrtava 1995. 1, za provedbu skraćenog stečajnog postupka nad dužnikom </w:t>
      </w:r>
      <w:r>
        <w:rPr>
          <w:rFonts w:cs="Times New Roman" w:eastAsia="Calibri"/>
        </w:rPr>
        <w:t>ACR – Audio i Multimedia d.o.o., Šenkovec, Laduč, Zagrebačka ulica 80, OIB: 72071573597</w:t>
      </w:r>
      <w:r w:rsidRPr="00484FC7">
        <w:rPr>
          <w:rFonts w:cs="Times New Roman" w:eastAsia="Calibri"/>
        </w:rPr>
        <w:t>, dana 19. svibnja 2016.</w:t>
      </w: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center"/>
        <w:rPr>
          <w:rFonts w:cs="Times New Roman" w:eastAsia="Calibri"/>
        </w:rPr>
      </w:pPr>
      <w:r w:rsidRPr="00484FC7">
        <w:rPr>
          <w:rFonts w:cs="Times New Roman" w:eastAsia="Calibri"/>
        </w:rPr>
        <w:t>r i j e š i o   j e</w:t>
      </w:r>
    </w:p>
    <w:p w:rsidRDefault="00484FC7" w:rsidP="00484FC7" w:rsidR="00484FC7" w:rsidRPr="00484FC7">
      <w:pPr>
        <w:jc w:val="center"/>
        <w:rPr>
          <w:rFonts w:cs="Times New Roman" w:eastAsia="Calibri"/>
        </w:rPr>
      </w:pPr>
      <w:r w:rsidRPr="00484FC7">
        <w:rPr>
          <w:rFonts w:cs="Times New Roman" w:eastAsia="Calibri"/>
        </w:rPr>
        <w:t xml:space="preserve"> </w:t>
      </w:r>
    </w:p>
    <w:p w:rsidRDefault="00484FC7" w:rsidP="00484FC7" w:rsidR="00484FC7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 xml:space="preserve">Odbacuje se kao nedopušten zahtjev za provedbu skraćenog stečajnog postupka nad dužnikom </w:t>
      </w:r>
      <w:r>
        <w:rPr>
          <w:rFonts w:cs="Times New Roman" w:eastAsia="Calibri"/>
        </w:rPr>
        <w:t>ACR – Audio i Multimedia d.o.o., Šenkovec, Laduč, Zagrebačka ulica 80, OIB: 72071573597</w:t>
      </w:r>
      <w:r w:rsidRPr="00484FC7">
        <w:rPr>
          <w:rFonts w:cs="Times New Roman" w:eastAsia="Calibri"/>
        </w:rPr>
        <w:t>.</w:t>
      </w: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center"/>
        <w:rPr>
          <w:rFonts w:cs="Times New Roman" w:eastAsia="Calibri"/>
        </w:rPr>
      </w:pPr>
      <w:r w:rsidRPr="00484FC7">
        <w:rPr>
          <w:rFonts w:cs="Times New Roman" w:eastAsia="Calibri"/>
        </w:rPr>
        <w:t>Obrazloženje</w:t>
      </w:r>
    </w:p>
    <w:p w:rsidRDefault="00484FC7" w:rsidP="00484FC7" w:rsidR="00484FC7" w:rsidRPr="00484FC7">
      <w:pPr>
        <w:jc w:val="center"/>
        <w:rPr>
          <w:rFonts w:cs="Times New Roman" w:eastAsia="Calibri"/>
        </w:rPr>
      </w:pPr>
    </w:p>
    <w:p w:rsidRDefault="00484FC7" w:rsidP="00484FC7" w:rsidR="00484FC7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 xml:space="preserve">Podneskom od 2. prosinca 2015. Financijska agencija podnijela je zahtjev za provedbu skraćenog stečajnog postupka nad dužnikom </w:t>
      </w:r>
      <w:r>
        <w:rPr>
          <w:rFonts w:cs="Times New Roman" w:eastAsia="Calibri"/>
        </w:rPr>
        <w:t>ACR – Audio i Multimedia d.o.o., Šenkovec, Laduč, Zagrebačka ulica 80, OIB: 72071573597</w:t>
      </w:r>
      <w:r w:rsidRPr="00484FC7">
        <w:rPr>
          <w:rFonts w:cs="Times New Roman" w:eastAsia="Calibri"/>
        </w:rPr>
        <w:t>, sukladno odredbi čl. 444. st. 1. Stečajnog zakona (Narodne novine, broj: 71/2015., dalje u tekstu: SZ) u vezi čl. 428. SZ-a.</w:t>
      </w: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>Uvidom u sudski registar ovog suda utvrđeno je da se u pogledu dužnika, temeljem rješenja ovog suda poslovni broj Tt-15/</w:t>
      </w:r>
      <w:r>
        <w:rPr>
          <w:rFonts w:cs="Times New Roman" w:eastAsia="Calibri"/>
        </w:rPr>
        <w:t>37723</w:t>
      </w:r>
      <w:r w:rsidRPr="00484FC7">
        <w:rPr>
          <w:rFonts w:cs="Times New Roman" w:eastAsia="Calibri"/>
        </w:rPr>
        <w:t xml:space="preserve">-1 od </w:t>
      </w:r>
      <w:r>
        <w:rPr>
          <w:rFonts w:cs="Times New Roman" w:eastAsia="Calibri"/>
        </w:rPr>
        <w:t>31. prosinca 2015</w:t>
      </w:r>
      <w:r w:rsidRPr="00484FC7">
        <w:rPr>
          <w:rFonts w:cs="Times New Roman" w:eastAsia="Calibri"/>
        </w:rPr>
        <w:t>., vodi postupak brisanja sukladno odredbi čl. 70. Zakona o sudskom registru (Narodne novine, broj: 1/1995., 57/1996., 1/1998., 30/1999., 45/1999., 54/2005., 40/2007., 91/2010., 90/2011., 148/2013., 93/2014., 110/2015.).</w:t>
      </w: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>S obzirom da je jedan od uvjeta za provođenje skraćenog stečajnog postupka da nisu ispunjene pretpostavke za pokretanje drugog postupka radi brisanja iz sudskog registra, što u konkretnom predmetu nije slučaj, jer je u pogledu dužnika pokrenut postupak brisanja, to je zahtjev za provedbu skraćenog stečajnog postupka valjalo odbaciti kao nedopušten.</w:t>
      </w: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center"/>
        <w:rPr>
          <w:rFonts w:cs="Times New Roman" w:eastAsia="Calibri"/>
        </w:rPr>
      </w:pPr>
      <w:r w:rsidRPr="00484FC7">
        <w:rPr>
          <w:rFonts w:cs="Times New Roman" w:eastAsia="Calibri"/>
        </w:rPr>
        <w:t>U Zagrebu 19. svibnja 2016.</w:t>
      </w:r>
    </w:p>
    <w:p w:rsidRDefault="00484FC7" w:rsidP="00484FC7" w:rsidR="00484FC7" w:rsidRPr="00484FC7">
      <w:pPr>
        <w:jc w:val="center"/>
        <w:rPr>
          <w:rFonts w:cs="Times New Roman" w:eastAsia="Calibri"/>
        </w:rPr>
      </w:pPr>
    </w:p>
    <w:p w:rsidRDefault="00484FC7" w:rsidP="00484FC7" w:rsidR="00484FC7" w:rsidRPr="00484FC7">
      <w:pPr>
        <w:jc w:val="center"/>
        <w:rPr>
          <w:rFonts w:cs="Times New Roman" w:eastAsia="Times New Roman"/>
          <w:szCs w:val="24"/>
        </w:rPr>
      </w:pP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</w:r>
      <w:r w:rsidRPr="00484FC7">
        <w:rPr>
          <w:rFonts w:cs="Times New Roman" w:eastAsia="Times New Roman"/>
          <w:szCs w:val="24"/>
        </w:rPr>
        <w:tab/>
        <w:t xml:space="preserve">         Sutkinja:</w:t>
      </w:r>
    </w:p>
    <w:p w:rsidRDefault="00484FC7" w:rsidP="00484FC7" w:rsidR="00484FC7" w:rsidRPr="00484FC7">
      <w:pPr>
        <w:jc w:val="right"/>
        <w:rPr>
          <w:rFonts w:cs="Times New Roman" w:eastAsia="Times New Roman"/>
          <w:szCs w:val="24"/>
        </w:rPr>
      </w:pPr>
      <w:r w:rsidRPr="00484FC7">
        <w:rPr>
          <w:rFonts w:cs="Times New Roman" w:eastAsia="Times New Roman"/>
          <w:szCs w:val="24"/>
        </w:rPr>
        <w:t>Ivana Manestar</w:t>
      </w:r>
    </w:p>
    <w:p w:rsidRDefault="00484FC7" w:rsidP="00484FC7" w:rsidR="00484FC7" w:rsidRPr="00484FC7">
      <w:pPr>
        <w:jc w:val="right"/>
        <w:rPr>
          <w:rFonts w:cs="Times New Roman" w:eastAsia="Times New Roman"/>
          <w:szCs w:val="24"/>
        </w:rPr>
      </w:pPr>
    </w:p>
    <w:p w:rsidRDefault="00484FC7" w:rsidP="00484FC7" w:rsidR="00484FC7" w:rsidRPr="00484FC7">
      <w:pPr>
        <w:jc w:val="right"/>
        <w:rPr>
          <w:rFonts w:cs="Times New Roman" w:eastAsia="Times New Roman"/>
          <w:szCs w:val="24"/>
        </w:rPr>
      </w:pPr>
    </w:p>
    <w:p w:rsidRDefault="00484FC7" w:rsidP="00484FC7" w:rsidR="00484FC7" w:rsidRPr="00484FC7">
      <w:pPr>
        <w:jc w:val="right"/>
        <w:rPr>
          <w:rFonts w:cs="Times New Roman" w:eastAsia="Times New Roman"/>
          <w:szCs w:val="24"/>
        </w:rPr>
      </w:pPr>
    </w:p>
    <w:p w:rsidRDefault="00484FC7" w:rsidP="00484FC7" w:rsidR="00484FC7" w:rsidRPr="00484FC7">
      <w:pPr>
        <w:jc w:val="both"/>
        <w:rPr>
          <w:rFonts w:cs="Times New Roman" w:eastAsia="Times New Roman"/>
          <w:szCs w:val="24"/>
        </w:rPr>
      </w:pPr>
      <w:r w:rsidRPr="00484FC7">
        <w:rPr>
          <w:rFonts w:cs="Times New Roman" w:eastAsia="Times New Roman"/>
          <w:szCs w:val="24"/>
        </w:rPr>
        <w:t>UPUTA O PRAVNOM LIJEKU:</w:t>
      </w:r>
    </w:p>
    <w:p w:rsidRDefault="00484FC7" w:rsidP="00484FC7" w:rsidR="00484FC7" w:rsidRPr="00484FC7">
      <w:pPr>
        <w:jc w:val="both"/>
        <w:rPr>
          <w:rFonts w:cs="Times New Roman" w:eastAsia="Times New Roman"/>
          <w:szCs w:val="24"/>
          <w:lang w:eastAsia="hr-HR"/>
        </w:rPr>
      </w:pPr>
      <w:r w:rsidRPr="00484FC7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484FC7" w:rsidP="00484FC7" w:rsidR="00484FC7" w:rsidRPr="00484FC7">
      <w:pPr>
        <w:jc w:val="both"/>
        <w:rPr>
          <w:rFonts w:cs="Times New Roman" w:eastAsia="Times New Roman"/>
          <w:szCs w:val="24"/>
          <w:lang w:eastAsia="hr-HR"/>
        </w:rPr>
      </w:pPr>
    </w:p>
    <w:p w:rsidRDefault="00484FC7" w:rsidP="00484FC7" w:rsidR="00484FC7" w:rsidRPr="00484FC7">
      <w:pPr>
        <w:jc w:val="both"/>
        <w:rPr>
          <w:rFonts w:cs="Times New Roman" w:eastAsia="Times New Roman"/>
          <w:szCs w:val="24"/>
        </w:rPr>
      </w:pPr>
      <w:r w:rsidRPr="00484FC7">
        <w:rPr>
          <w:rFonts w:cs="Times New Roman" w:eastAsia="Times New Roman"/>
          <w:szCs w:val="24"/>
        </w:rPr>
        <w:t>DNA:</w:t>
      </w:r>
    </w:p>
    <w:p w:rsidRDefault="00484FC7" w:rsidP="00484FC7" w:rsidR="00484FC7" w:rsidRPr="00484FC7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484FC7">
        <w:rPr>
          <w:rFonts w:cs="Times New Roman" w:eastAsia="Times New Roman"/>
          <w:szCs w:val="24"/>
        </w:rPr>
        <w:t>podnositelju zahtjeva</w:t>
      </w:r>
    </w:p>
    <w:p w:rsidRDefault="00484FC7" w:rsidP="00484FC7" w:rsidR="00484FC7" w:rsidRPr="00484FC7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484FC7">
        <w:rPr>
          <w:rFonts w:cs="Times New Roman" w:eastAsia="Times New Roman"/>
          <w:szCs w:val="24"/>
        </w:rPr>
        <w:t>e-oglasna ploča 8 dana</w:t>
      </w:r>
    </w:p>
    <w:p w:rsidRDefault="00484FC7" w:rsidP="00484FC7" w:rsidR="00484FC7" w:rsidRPr="00484FC7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484FC7">
        <w:rPr>
          <w:rFonts w:cs="Times New Roman" w:eastAsia="Times New Roman"/>
          <w:szCs w:val="24"/>
        </w:rPr>
        <w:t>pisarnica – kalendar 30 dana</w:t>
      </w:r>
    </w:p>
    <w:p w:rsidRDefault="00484FC7" w:rsidP="00484FC7" w:rsidR="00484FC7" w:rsidRPr="00484FC7">
      <w:pPr>
        <w:jc w:val="both"/>
        <w:rPr>
          <w:rFonts w:cs="Times New Roman" w:eastAsia="Times New Roman"/>
          <w:szCs w:val="24"/>
        </w:rPr>
      </w:pPr>
    </w:p>
    <w:p w:rsidRDefault="00484FC7" w:rsidP="00484FC7" w:rsidR="00484FC7" w:rsidRPr="00484FC7">
      <w:pPr>
        <w:jc w:val="both"/>
        <w:rPr>
          <w:rFonts w:cs="Times New Roman" w:eastAsia="Calibri"/>
        </w:rPr>
      </w:pPr>
    </w:p>
    <w:p w:rsidRDefault="00484FC7" w:rsidP="00484FC7" w:rsidR="00484FC7" w:rsidRPr="00484FC7">
      <w:pPr>
        <w:jc w:val="both"/>
        <w:rPr>
          <w:rFonts w:cs="Times New Roman" w:eastAsia="Times New Roman"/>
          <w:szCs w:val="24"/>
        </w:rPr>
      </w:pPr>
    </w:p>
    <w:p w:rsidRDefault="00484FC7" w:rsidP="00484FC7" w:rsidR="00484FC7" w:rsidRPr="00484FC7">
      <w:pPr>
        <w:jc w:val="both"/>
        <w:rPr>
          <w:rFonts w:cs="Times New Roman" w:eastAsia="Times New Roman"/>
          <w:szCs w:val="24"/>
        </w:rPr>
      </w:pPr>
      <w:r w:rsidRPr="00484FC7">
        <w:rPr>
          <w:rFonts w:cs="Times New Roman" w:eastAsia="Times New Roman"/>
          <w:szCs w:val="24"/>
        </w:rPr>
        <w:tab/>
      </w:r>
    </w:p>
    <w:p w:rsidRDefault="00484FC7" w:rsidP="00484FC7" w:rsidR="00484FC7" w:rsidRPr="00484FC7">
      <w:pPr>
        <w:rPr>
          <w:rFonts w:cs="Times New Roman" w:eastAsia="Calibri"/>
        </w:rPr>
      </w:pPr>
    </w:p>
    <w:p w:rsidRDefault="00484FC7" w:rsidP="00484FC7" w:rsidR="00484FC7" w:rsidRPr="00484FC7">
      <w:pPr>
        <w:rPr>
          <w:rFonts w:cs="Times New Roman" w:eastAsia="Calibri"/>
        </w:rPr>
      </w:pPr>
    </w:p>
    <w:p w:rsidRDefault="00484FC7" w:rsidP="00484FC7" w:rsidR="00484FC7" w:rsidRPr="00484FC7">
      <w:pPr>
        <w:rPr>
          <w:rFonts w:cs="Times New Roman" w:eastAsia="Calibri"/>
        </w:rPr>
      </w:pPr>
    </w:p>
    <w:p w:rsidRDefault="00131E95" w:rsidR="00131E95"/>
    <w:sectPr w:rsidSect="00071089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FC7" w:rsidP="00484FC7" w:rsidR="00484FC7">
      <w:r>
        <w:separator/>
      </w:r>
    </w:p>
  </w:endnote>
  <w:endnote w:id="0" w:type="continuationSeparator">
    <w:p w:rsidRDefault="00484FC7" w:rsidP="00484FC7" w:rsidR="00484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FC7" w:rsidP="00484FC7" w:rsidR="00484FC7">
      <w:r>
        <w:separator/>
      </w:r>
    </w:p>
  </w:footnote>
  <w:footnote w:id="0" w:type="continuationSeparator">
    <w:p w:rsidRDefault="00484FC7" w:rsidP="00484FC7" w:rsidR="00484F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4072337"/>
      <w:docPartObj>
        <w:docPartGallery w:val="Page Numbers (Top of Page)"/>
        <w:docPartUnique/>
      </w:docPartObj>
    </w:sdtPr>
    <w:sdtEndPr/>
    <w:sdtContent>
      <w:p w:rsidRDefault="00484FC7" w:rsidR="0007108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3C4E">
          <w:rPr>
            <w:noProof/>
          </w:rPr>
          <w:t>2</w:t>
        </w:r>
        <w:r>
          <w:fldChar w:fldCharType="end"/>
        </w:r>
      </w:p>
      <w:p w:rsidRDefault="00484FC7" w:rsidP="00071089" w:rsidR="00071089">
        <w:pPr>
          <w:pStyle w:val="Zaglavlje"/>
          <w:jc w:val="right"/>
        </w:pPr>
        <w:r>
          <w:t>Poslovni broj: 21. St-2047/15</w:t>
        </w:r>
      </w:p>
    </w:sdtContent>
  </w:sdt>
  <w:p w:rsidRDefault="00AF3C4E" w:rsidR="000710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BF5"/>
    <w:rsid w:val="001032F4"/>
    <w:rsid w:val="00131E95"/>
    <w:rsid w:val="0019711A"/>
    <w:rsid w:val="00197F24"/>
    <w:rsid w:val="001A1D04"/>
    <w:rsid w:val="00457EF8"/>
    <w:rsid w:val="00484FC7"/>
    <w:rsid w:val="007A1913"/>
    <w:rsid w:val="007A2BF5"/>
    <w:rsid w:val="0085059C"/>
    <w:rsid w:val="00950F54"/>
    <w:rsid w:val="009D3B13"/>
    <w:rsid w:val="00A53DC3"/>
    <w:rsid w:val="00AF3C4E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4FC7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484FC7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4F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4FC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4F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4FC7"/>
  </w:style>
  <w:style w:styleId="Tekstrezerviranogmjesta" w:type="character">
    <w:name w:val="Placeholder Text"/>
    <w:basedOn w:val="Zadanifontodlomka"/>
    <w:uiPriority w:val="99"/>
    <w:semiHidden/>
    <w:rsid w:val="00AF3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C4E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C4E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C4E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C4E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4FC7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484FC7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4F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4FC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4F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4FC7"/>
  </w:style>
  <w:style w:styleId="Tekstrezerviranogmjesta" w:type="character">
    <w:name w:val="Placeholder Text"/>
    <w:basedOn w:val="Zadanifontodlomka"/>
    <w:uiPriority w:val="99"/>
    <w:semiHidden/>
    <w:rsid w:val="00AF3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C4E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C4E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C4E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C4E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2047</izvorni_sadrzaj>
    <derivirana_varijabla naziv="DomainObject.Predmet.Broj_1">2047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St-2047/2015</izvorni_sadrzaj>
    <derivirana_varijabla naziv="DomainObject.Predmet.OznakaBroj_1">St-2047/2015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ACR - Audio i Multimedia d.o.o.</izvorni_sadrzaj>
    <derivirana_varijabla naziv="DomainObject.Predmet.ProtustrankaFormated_1">  ACR - Audio i Multimedia d.o.o.</derivirana_varijabla>
  </DomainObject.Predmet.ProtustrankaFormated>
  <DomainObject.Predmet.ProtustrankaFormatedOIB>
    <izvorni_sadrzaj>  ACR - Audio i Multimedia d.o.o., OIB 72071573597</izvorni_sadrzaj>
    <derivirana_varijabla naziv="DomainObject.Predmet.ProtustrankaFormatedOIB_1">  ACR - Audio i Multimedia d.o.o., OIB 72071573597</derivirana_varijabla>
  </DomainObject.Predmet.ProtustrankaFormatedOIB>
  <DomainObject.Predmet.ProtustrankaFormatedWithAdress>
    <izvorni_sadrzaj> ACR - Audio i Multimedia d.o.o., Laduč, Zagrebačka ulica 80, 10292 Šenkovec</izvorni_sadrzaj>
    <derivirana_varijabla naziv="DomainObject.Predmet.ProtustrankaFormatedWithAdress_1"> ACR - Audio i Multimedia d.o.o., Laduč, Zagrebačka ulica 80, 10292 Šenkovec</derivirana_varijabla>
  </DomainObject.Predmet.ProtustrankaFormatedWithAdress>
  <DomainObject.Predmet.ProtustrankaFormatedWithAdressOIB>
    <izvorni_sadrzaj> ACR - Audio i Multimedia d.o.o., OIB 72071573597, Laduč, Zagrebačka ulica 80, 10292 Šenkovec</izvorni_sadrzaj>
    <derivirana_varijabla naziv="DomainObject.Predmet.ProtustrankaFormatedWithAdressOIB_1"> ACR - Audio i Multimedia d.o.o., OIB 72071573597, Laduč, Zagrebačka ulica 80, 10292 Šenkovec</derivirana_varijabla>
  </DomainObject.Predmet.ProtustrankaFormatedWithAdressOIB>
  <DomainObject.Predmet.ProtustrankaWithAdress>
    <izvorni_sadrzaj>ACR - Audio i Multimedia d.o.o. Laduč, Zagrebačka ulica 80, 10292 Šenkovec</izvorni_sadrzaj>
    <derivirana_varijabla naziv="DomainObject.Predmet.ProtustrankaWithAdress_1">ACR - Audio i Multimedia d.o.o. Laduč, Zagrebačka ulica 80, 10292 Šenkovec</derivirana_varijabla>
  </DomainObject.Predmet.ProtustrankaWithAdress>
  <DomainObject.Predmet.ProtustrankaWithAdressOIB>
    <izvorni_sadrzaj>ACR - Audio i Multimedia d.o.o., OIB 72071573597, Laduč, Zagrebačka ulica 80, 10292 Šenkovec</izvorni_sadrzaj>
    <derivirana_varijabla naziv="DomainObject.Predmet.ProtustrankaWithAdressOIB_1">ACR - Audio i Multimedia d.o.o., OIB 72071573597, Laduč, Zagrebačka ulica 80, 10292 Šenkovec</derivirana_varijabla>
  </DomainObject.Predmet.ProtustrankaWithAdressOIB>
  <DomainObject.Predmet.ProtustrankaNazivFormated>
    <izvorni_sadrzaj>ACR - Audio i Multimedia d.o.o.</izvorni_sadrzaj>
    <derivirana_varijabla naziv="DomainObject.Predmet.ProtustrankaNazivFormated_1">ACR - Audio i Multimedia d.o.o.</derivirana_varijabla>
  </DomainObject.Predmet.ProtustrankaNazivFormated>
  <DomainObject.Predmet.ProtustrankaNazivFormatedOIB>
    <izvorni_sadrzaj>ACR - Audio i Multimedia d.o.o., OIB 72071573597</izvorni_sadrzaj>
    <derivirana_varijabla naziv="DomainObject.Predmet.ProtustrankaNazivFormatedOIB_1">ACR - Audio i Multimedia d.o.o., OIB 72071573597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ACR - Audio i Multimedia d.o.o.</item>
    </izvorni_sadrzaj>
    <derivirana_varijabla naziv="DomainObject.Predmet.ProtuStrankaListFormated_1">
      <item>ACR - Audio i Multimedia d.o.o.</item>
    </derivirana_varijabla>
  </DomainObject.Predmet.ProtuStrankaListFormated>
  <DomainObject.Predmet.ProtuStrankaListFormatedOIB>
    <izvorni_sadrzaj>
      <item>ACR - Audio i Multimedia d.o.o., OIB 72071573597</item>
    </izvorni_sadrzaj>
    <derivirana_varijabla naziv="DomainObject.Predmet.ProtuStrankaListFormatedOIB_1">
      <item>ACR - Audio i Multimedia d.o.o., OIB 72071573597</item>
    </derivirana_varijabla>
  </DomainObject.Predmet.ProtuStrankaListFormatedOIB>
  <DomainObject.Predmet.ProtuStrankaListFormatedWithAdress>
    <izvorni_sadrzaj>
      <item>ACR - Audio i Multimedia d.o.o., Laduč, Zagrebačka ulica 80, 10292 Šenkovec</item>
    </izvorni_sadrzaj>
    <derivirana_varijabla naziv="DomainObject.Predmet.ProtuStrankaListFormatedWithAdress_1">
      <item>ACR - Audio i Multimedia d.o.o., Laduč, Zagrebačka ulica 80, 10292 Šenkovec</item>
    </derivirana_varijabla>
  </DomainObject.Predmet.ProtuStrankaListFormatedWithAdress>
  <DomainObject.Predmet.ProtuStrankaListFormatedWithAdressOIB>
    <izvorni_sadrzaj>
      <item>ACR - Audio i Multimedia d.o.o., OIB 72071573597, Laduč, Zagrebačka ulica 80, 10292 Šenkovec</item>
    </izvorni_sadrzaj>
    <derivirana_varijabla naziv="DomainObject.Predmet.ProtuStrankaListFormatedWithAdressOIB_1">
      <item>ACR - Audio i Multimedia d.o.o., OIB 72071573597, Laduč, Zagrebačka ulica 80, 10292 Šenkovec</item>
    </derivirana_varijabla>
  </DomainObject.Predmet.ProtuStrankaListFormatedWithAdressOIB>
  <DomainObject.Predmet.ProtuStrankaListNazivFormated>
    <izvorni_sadrzaj>
      <item>ACR - Audio i Multimedia d.o.o.</item>
    </izvorni_sadrzaj>
    <derivirana_varijabla naziv="DomainObject.Predmet.ProtuStrankaListNazivFormated_1">
      <item>ACR - Audio i Multimedia d.o.o.</item>
    </derivirana_varijabla>
  </DomainObject.Predmet.ProtuStrankaListNazivFormated>
  <DomainObject.Predmet.ProtuStrankaListNazivFormatedOIB>
    <izvorni_sadrzaj>
      <item>ACR - Audio i Multimedia d.o.o., OIB 72071573597</item>
    </izvorni_sadrzaj>
    <derivirana_varijabla naziv="DomainObject.Predmet.ProtuStrankaListNazivFormatedOIB_1">
      <item>ACR - Audio i Multimedia d.o.o., OIB 72071573597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ACR - Audio i Multimedia d.o.o.</izvorni_sadrzaj>
    <derivirana_varijabla naziv="DomainObject.Predmet.ProtustrankaIDrugi_1">ACR - Audio i Multimedia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ACR - Audio i Multimedia d.o.o., OIB 72071573597, Laduč, Zagrebačka ulica 80, 10292 Šenkovec</izvorni_sadrzaj>
    <derivirana_varijabla naziv="DomainObject.Predmet.ProtustrankaIDrugiAdressOIB_1">ACR - Audio i Multimedia d.o.o., OIB 72071573597, Laduč, Zagrebačka ulica 80, 10292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ACR - Audio i Multimedia d.o.o.</item>
      <item>FINA Regionalni centar Zagreb</item>
    </izvorni_sadrzaj>
    <derivirana_varijabla naziv="DomainObject.Predmet.SudioniciListNaziv_1">
      <item>ACR - Audio i Multimedia d.o.o.</item>
      <item>FINA Regionalni centar Zagreb</item>
    </derivirana_varijabla>
  </DomainObject.Predmet.SudioniciListNaziv>
  <DomainObject.Predmet.SudioniciListAdressOIB>
    <izvorni_sadrzaj>
      <item>ACR - Audio i Multimedia d.o.o., OIB 72071573597, Laduč, Zagrebačka ulica 80,10292 Šenkovec</item>
      <item>FINA Regionalni centar Zagreb, OIB 85821130368, Trg svibanjskih žrtava 1995. 1,10000 Zagreb</item>
    </izvorni_sadrzaj>
    <derivirana_varijabla naziv="DomainObject.Predmet.SudioniciListAdressOIB_1">
      <item>ACR - Audio i Multimedia d.o.o., OIB 72071573597, Laduč, Zagrebačka ulica 80,10292 Šenkovec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72071573597</item>
      <item>, OIB 85821130368</item>
    </izvorni_sadrzaj>
    <derivirana_varijabla naziv="DomainObject.Predmet.SudioniciListNazivOIB_1">
      <item>, OIB 72071573597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2138</properties:Characters>
  <properties:Lines>75</properties:Lines>
  <properties:Paragraphs>23</properties:Paragraphs>
  <properties:TotalTime>2</properties:TotalTime>
  <properties:ScaleCrop>false</properties:ScaleCrop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2016-05-19T07:54:00Z</dcterms:created>
  <dc:creator>Ivana Manestar</dc:creator>
  <dc:description/>
  <cp:keywords/>
  <cp:lastModifiedBy>Ivana Manestar</cp:lastModifiedBy>
  <dcterms:modified xmlns:xsi="http://www.w3.org/2001/XMLSchema-instance" xsi:type="dcterms:W3CDTF">2016-05-19T07:57:00Z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