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0b64" w14:paraId="7be0b64" w:rsidRDefault="00DF6241" w:rsidP="00DF6241" w:rsidR="00DF6241" w:rsidRPr="001D30A6">
      <w:pPr>
        <w:spacing w:lineRule="auto" w:line="240"/>
        <w15:collapsed w:val="false"/>
        <w:rPr>
          <w:rFonts w:cs="Times New Roman"/>
          <w:sz w:val="24"/>
          <w:szCs w:val="24"/>
        </w:rPr>
      </w:pPr>
      <w:bookmarkStart w:name="_GoBack" w:id="0"/>
      <w:bookmarkEnd w:id="0"/>
      <w:r w:rsidRPr="001D30A6">
        <w:rPr>
          <w:rFonts w:cs="Times New Roman"/>
          <w:sz w:val="24"/>
          <w:szCs w:val="24"/>
        </w:rPr>
        <w:t xml:space="preserve">           </w:t>
      </w:r>
      <w:r w:rsidRPr="001D30A6">
        <w:rPr>
          <w:rFonts w:cs="Times New Roman"/>
          <w:noProof/>
          <w:sz w:val="24"/>
          <w:szCs w:val="24"/>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F6241" w:rsidP="00DF6241" w:rsidR="00DF6241" w:rsidRPr="001D30A6">
      <w:pPr>
        <w:spacing w:lineRule="auto" w:line="240" w:before="100"/>
        <w:rPr>
          <w:rFonts w:cs="Times New Roman"/>
          <w:sz w:val="24"/>
          <w:szCs w:val="24"/>
        </w:rPr>
      </w:pPr>
      <w:r w:rsidRPr="001D30A6">
        <w:rPr>
          <w:rFonts w:cs="Times New Roman"/>
          <w:sz w:val="24"/>
          <w:szCs w:val="24"/>
        </w:rPr>
        <w:t>REPUBLIKA HRVATSKA</w:t>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t xml:space="preserve">      </w:t>
      </w:r>
    </w:p>
    <w:p w:rsidRDefault="00DF6241" w:rsidP="00DF6241" w:rsidR="00DF6241" w:rsidRPr="001D30A6">
      <w:pPr>
        <w:tabs>
          <w:tab w:pos="720" w:val="left"/>
          <w:tab w:pos="1440" w:val="left"/>
          <w:tab w:pos="2160" w:val="left"/>
          <w:tab w:pos="2880" w:val="left"/>
          <w:tab w:pos="3600" w:val="left"/>
          <w:tab w:pos="4320" w:val="center"/>
        </w:tabs>
        <w:spacing w:lineRule="auto" w:line="240"/>
        <w:rPr>
          <w:rFonts w:cs="Times New Roman"/>
          <w:sz w:val="24"/>
          <w:szCs w:val="24"/>
        </w:rPr>
      </w:pPr>
      <w:r w:rsidRPr="001D30A6">
        <w:rPr>
          <w:rFonts w:cs="Times New Roman"/>
          <w:sz w:val="24"/>
          <w:szCs w:val="24"/>
        </w:rPr>
        <w:t>TRGOVAČKI SUD U SPLITU</w:t>
      </w:r>
    </w:p>
    <w:p w:rsidRDefault="00BE7493" w:rsidP="00BE7493" w:rsidR="00BE7493" w:rsidRPr="009C3F59">
      <w:pPr>
        <w:rPr>
          <w:sz w:val="24"/>
          <w:szCs w:val="24"/>
        </w:rPr>
      </w:pPr>
      <w:r w:rsidRPr="009C3F59">
        <w:rPr>
          <w:sz w:val="24"/>
          <w:szCs w:val="24"/>
        </w:rPr>
        <w:t>Split, Sukoišanska 6</w:t>
      </w:r>
      <w:r w:rsidRPr="009C3F59">
        <w:rPr>
          <w:sz w:val="24"/>
          <w:szCs w:val="24"/>
        </w:rPr>
        <w:tab/>
      </w:r>
    </w:p>
    <w:p w:rsidRDefault="00BE7493" w:rsidP="00BE7493" w:rsidR="00BE7493" w:rsidRPr="009C3F59">
      <w:pPr>
        <w:spacing w:after="200" w:before="200"/>
        <w:jc w:val="center"/>
        <w:rPr>
          <w:spacing w:val="60"/>
          <w:sz w:val="24"/>
          <w:szCs w:val="24"/>
        </w:rPr>
      </w:pPr>
      <w:r w:rsidRPr="009C3F59">
        <w:rPr>
          <w:spacing w:val="60"/>
          <w:sz w:val="24"/>
          <w:szCs w:val="24"/>
        </w:rPr>
        <w:t>REPUBLIKA HRVATSKA</w:t>
      </w:r>
    </w:p>
    <w:p w:rsidRDefault="00BE7493" w:rsidP="00BE7493" w:rsidR="005017C0" w:rsidRPr="009C3F59">
      <w:pPr>
        <w:jc w:val="center"/>
        <w:rPr>
          <w:rFonts w:eastAsia="Calibri"/>
          <w:sz w:val="24"/>
          <w:szCs w:val="24"/>
          <w:lang w:eastAsia="en-US"/>
        </w:rPr>
      </w:pPr>
      <w:r w:rsidRPr="009C3F59">
        <w:rPr>
          <w:rFonts w:eastAsia="Calibri"/>
          <w:sz w:val="24"/>
          <w:szCs w:val="24"/>
          <w:lang w:eastAsia="en-US"/>
        </w:rPr>
        <w:t>R J E Š E N J E</w:t>
      </w:r>
      <w:r w:rsidR="005017C0" w:rsidRPr="009C3F59">
        <w:rPr>
          <w:rFonts w:eastAsia="Calibri"/>
          <w:sz w:val="24"/>
          <w:szCs w:val="24"/>
          <w:lang w:eastAsia="en-US"/>
        </w:rPr>
        <w:t xml:space="preserve"> </w:t>
      </w:r>
    </w:p>
    <w:p w:rsidRDefault="00BE7493" w:rsidP="00BE7493" w:rsidR="00BE7493" w:rsidRPr="009C3F59">
      <w:pPr>
        <w:rPr>
          <w:sz w:val="24"/>
          <w:szCs w:val="24"/>
        </w:rPr>
      </w:pPr>
    </w:p>
    <w:p w:rsidRDefault="00BE7493" w:rsidP="00BE7493" w:rsidR="00BE7493" w:rsidRPr="000F2CA4">
      <w:pPr>
        <w:pStyle w:val="Tijeloteksta"/>
        <w:ind w:hanging="180"/>
        <w:rPr>
          <w:bCs/>
        </w:rPr>
      </w:pPr>
      <w:r w:rsidRPr="009C3F59">
        <w:tab/>
      </w:r>
      <w:r w:rsidRPr="009C3F59">
        <w:tab/>
        <w:t>Trgovački sud u Splitu, po sutkinji Ani Golub Gruić, u stečajnom postupku nad stečajnim dužnikom DALMACIJAVINO d.d. za proizvodnju i promet alkoholnih i bezalkoholnih pića – u stečaju, Split, Obala kneza</w:t>
      </w:r>
      <w:r w:rsidR="00C21DF1">
        <w:t xml:space="preserve"> Domagoja 15, OIB: 07837847925</w:t>
      </w:r>
      <w:r w:rsidR="0042298E">
        <w:t>, dana 23</w:t>
      </w:r>
      <w:r w:rsidRPr="000F2CA4">
        <w:t xml:space="preserve">. studenog 2015. </w:t>
      </w:r>
      <w:r w:rsidR="005304F3">
        <w:t>godine</w:t>
      </w:r>
    </w:p>
    <w:p w:rsidRDefault="00BE7493" w:rsidP="006327D1" w:rsidR="00A64FAD" w:rsidRPr="009C3F59">
      <w:pPr>
        <w:spacing w:after="300" w:before="300"/>
        <w:jc w:val="center"/>
        <w:rPr>
          <w:bCs/>
          <w:sz w:val="24"/>
          <w:szCs w:val="24"/>
        </w:rPr>
      </w:pPr>
      <w:r w:rsidRPr="000F2CA4">
        <w:rPr>
          <w:bCs/>
          <w:sz w:val="24"/>
          <w:szCs w:val="24"/>
        </w:rPr>
        <w:t>r i j e š i o   j e</w:t>
      </w:r>
    </w:p>
    <w:p w:rsidRDefault="000A6B73" w:rsidP="00DF6241" w:rsidR="0042298E">
      <w:pPr>
        <w:ind w:firstLine="708"/>
        <w:rPr>
          <w:bCs/>
          <w:sz w:val="24"/>
          <w:szCs w:val="24"/>
        </w:rPr>
      </w:pPr>
      <w:r w:rsidRPr="009C3F59">
        <w:rPr>
          <w:bCs/>
          <w:sz w:val="24"/>
          <w:szCs w:val="24"/>
        </w:rPr>
        <w:t xml:space="preserve">Ispravlja se </w:t>
      </w:r>
      <w:r w:rsidR="009304E7" w:rsidRPr="009C3F59">
        <w:rPr>
          <w:bCs/>
          <w:sz w:val="24"/>
          <w:szCs w:val="24"/>
        </w:rPr>
        <w:t>točka I</w:t>
      </w:r>
      <w:r w:rsidR="0042298E">
        <w:rPr>
          <w:bCs/>
          <w:sz w:val="24"/>
          <w:szCs w:val="24"/>
        </w:rPr>
        <w:t>I. rješenja o ispravku Trgovačkog suda u Splitu 11. St-49/2012 od 16. studenog 2015. godine u šestom retku, na način da umjesto:</w:t>
      </w:r>
    </w:p>
    <w:p w:rsidRDefault="0042298E" w:rsidP="0042298E" w:rsidR="0042298E">
      <w:pPr>
        <w:spacing w:before="200"/>
        <w:ind w:firstLine="709"/>
        <w:rPr>
          <w:bCs/>
          <w:sz w:val="24"/>
          <w:szCs w:val="24"/>
        </w:rPr>
      </w:pPr>
      <w:r>
        <w:rPr>
          <w:bCs/>
          <w:sz w:val="24"/>
          <w:szCs w:val="24"/>
        </w:rPr>
        <w:t>˝</w:t>
      </w:r>
      <w:r w:rsidRPr="0042298E">
        <w:rPr>
          <w:bCs/>
          <w:sz w:val="24"/>
          <w:szCs w:val="24"/>
        </w:rPr>
        <w:t xml:space="preserve"> </w:t>
      </w:r>
      <w:r w:rsidRPr="00DF6241">
        <w:rPr>
          <w:bCs/>
          <w:sz w:val="24"/>
          <w:szCs w:val="24"/>
        </w:rPr>
        <w:t xml:space="preserve">u dijelu </w:t>
      </w:r>
      <w:r w:rsidRPr="00DF6241">
        <w:rPr>
          <w:color w:val="000000"/>
          <w:sz w:val="24"/>
          <w:szCs w:val="24"/>
        </w:rPr>
        <w:t xml:space="preserve">pod točkom 1.2.a/ na način da umjesto oznake „čest. zem. 5732/1“ ima ispravno stajati „k.č. ZEM </w:t>
      </w:r>
      <w:r w:rsidRPr="0042298E">
        <w:rPr>
          <w:color w:val="000000"/>
          <w:sz w:val="24"/>
          <w:szCs w:val="24"/>
        </w:rPr>
        <w:t>5732/11</w:t>
      </w:r>
      <w:r w:rsidRPr="00DF6241">
        <w:rPr>
          <w:color w:val="000000"/>
          <w:sz w:val="24"/>
          <w:szCs w:val="24"/>
        </w:rPr>
        <w:t xml:space="preserve">“, </w:t>
      </w:r>
      <w:r>
        <w:rPr>
          <w:bCs/>
          <w:sz w:val="24"/>
          <w:szCs w:val="24"/>
        </w:rPr>
        <w:t>˝</w:t>
      </w:r>
    </w:p>
    <w:p w:rsidRDefault="0042298E" w:rsidP="0042298E" w:rsidR="0042298E">
      <w:pPr>
        <w:spacing w:before="200"/>
        <w:ind w:firstLine="709"/>
        <w:rPr>
          <w:bCs/>
          <w:sz w:val="24"/>
          <w:szCs w:val="24"/>
        </w:rPr>
      </w:pPr>
      <w:r>
        <w:rPr>
          <w:bCs/>
          <w:sz w:val="24"/>
          <w:szCs w:val="24"/>
        </w:rPr>
        <w:t xml:space="preserve"> ima ispravno stajati</w:t>
      </w:r>
    </w:p>
    <w:p w:rsidRDefault="0042298E" w:rsidP="0042298E" w:rsidR="0042298E">
      <w:pPr>
        <w:spacing w:before="200"/>
        <w:ind w:firstLine="709"/>
        <w:rPr>
          <w:bCs/>
          <w:sz w:val="24"/>
          <w:szCs w:val="24"/>
        </w:rPr>
      </w:pPr>
      <w:r>
        <w:rPr>
          <w:bCs/>
          <w:sz w:val="24"/>
          <w:szCs w:val="24"/>
        </w:rPr>
        <w:t>˝</w:t>
      </w:r>
      <w:r w:rsidRPr="00DF6241">
        <w:rPr>
          <w:bCs/>
          <w:sz w:val="24"/>
          <w:szCs w:val="24"/>
        </w:rPr>
        <w:t xml:space="preserve">u dijelu </w:t>
      </w:r>
      <w:r w:rsidRPr="00DF6241">
        <w:rPr>
          <w:color w:val="000000"/>
          <w:sz w:val="24"/>
          <w:szCs w:val="24"/>
        </w:rPr>
        <w:t xml:space="preserve">pod točkom 1.2.a/ na način da umjesto oznake „čest. zem. 5732/1“ ima ispravno stajati „k.č. ZEM </w:t>
      </w:r>
      <w:r>
        <w:rPr>
          <w:color w:val="000000"/>
          <w:sz w:val="24"/>
          <w:szCs w:val="24"/>
        </w:rPr>
        <w:t>5732/1</w:t>
      </w:r>
      <w:r w:rsidRPr="00DF6241">
        <w:rPr>
          <w:color w:val="000000"/>
          <w:sz w:val="24"/>
          <w:szCs w:val="24"/>
        </w:rPr>
        <w:t>“,</w:t>
      </w:r>
      <w:r>
        <w:rPr>
          <w:color w:val="000000"/>
          <w:sz w:val="24"/>
          <w:szCs w:val="24"/>
        </w:rPr>
        <w:t>˝</w:t>
      </w:r>
    </w:p>
    <w:p w:rsidRDefault="006327D1" w:rsidP="0042298E" w:rsidR="006327D1" w:rsidRPr="009C3F59">
      <w:pPr>
        <w:spacing w:after="100" w:before="240"/>
        <w:jc w:val="center"/>
        <w:rPr>
          <w:bCs/>
          <w:sz w:val="24"/>
          <w:szCs w:val="24"/>
        </w:rPr>
      </w:pPr>
      <w:r w:rsidRPr="009C3F59">
        <w:rPr>
          <w:bCs/>
          <w:sz w:val="24"/>
          <w:szCs w:val="24"/>
        </w:rPr>
        <w:t>Obrazloženje</w:t>
      </w:r>
    </w:p>
    <w:p w:rsidRDefault="0042298E" w:rsidP="0042298E" w:rsidR="0042298E" w:rsidRPr="0042298E">
      <w:pPr>
        <w:spacing w:lineRule="auto" w:line="240"/>
        <w:ind w:firstLine="709"/>
        <w:rPr>
          <w:rFonts w:cs="Times New Roman"/>
          <w:color w:val="auto"/>
          <w:sz w:val="24"/>
          <w:szCs w:val="24"/>
        </w:rPr>
      </w:pPr>
      <w:r w:rsidRPr="0042298E">
        <w:rPr>
          <w:rFonts w:cs="Times New Roman"/>
          <w:color w:val="auto"/>
          <w:sz w:val="24"/>
          <w:szCs w:val="24"/>
        </w:rPr>
        <w:t>Očitom omaškom u pisanju u rješenju ovog suda poslovni broj 11. St-</w:t>
      </w:r>
      <w:r>
        <w:rPr>
          <w:rFonts w:cs="Times New Roman"/>
          <w:color w:val="auto"/>
          <w:sz w:val="24"/>
          <w:szCs w:val="24"/>
        </w:rPr>
        <w:t>49/2012 od 16. studenog</w:t>
      </w:r>
      <w:r w:rsidRPr="0042298E">
        <w:rPr>
          <w:rFonts w:cs="Times New Roman"/>
          <w:color w:val="auto"/>
          <w:sz w:val="24"/>
          <w:szCs w:val="24"/>
        </w:rPr>
        <w:t xml:space="preserve"> 2015. godine u </w:t>
      </w:r>
      <w:r>
        <w:rPr>
          <w:rFonts w:cs="Times New Roman"/>
          <w:color w:val="auto"/>
          <w:sz w:val="24"/>
          <w:szCs w:val="24"/>
        </w:rPr>
        <w:t>točki II. izreke pogrešno je navedena k.č. ZEM 5732/11, umjesto ispravne k.č. ZEM 5732/1.</w:t>
      </w:r>
    </w:p>
    <w:p w:rsidRDefault="0042298E" w:rsidP="0042298E" w:rsidR="0042298E" w:rsidRPr="0042298E">
      <w:pPr>
        <w:spacing w:lineRule="auto" w:line="240" w:before="240"/>
        <w:ind w:firstLine="709"/>
        <w:rPr>
          <w:rFonts w:cs="Times New Roman"/>
          <w:color w:val="auto"/>
          <w:sz w:val="24"/>
          <w:szCs w:val="24"/>
        </w:rPr>
      </w:pPr>
      <w:r w:rsidRPr="0042298E">
        <w:rPr>
          <w:rFonts w:cs="Times New Roman" w:eastAsia="Calibri"/>
          <w:bCs/>
          <w:iCs/>
          <w:noProof/>
          <w:color w:val="auto"/>
          <w:sz w:val="24"/>
          <w:szCs w:val="24"/>
        </w:rPr>
        <w:t xml:space="preserve">Slijedom navedenog, a </w:t>
      </w:r>
      <w:r w:rsidRPr="0042298E">
        <w:rPr>
          <w:rFonts w:cs="Times New Roman" w:eastAsia="Calibri"/>
          <w:color w:val="auto"/>
          <w:sz w:val="24"/>
          <w:szCs w:val="24"/>
          <w:lang w:eastAsia="en-US"/>
        </w:rPr>
        <w:t xml:space="preserve">temeljem odredbe čl. 6. Stečajnog zakona (˝Narodne novine˝ 44/96, 29/99, 129/00, 123/03, 82/06, 116/10, 25/12, 133/12 i 45/13; dalje SZ) u vezi s odredbom čl. 342. st. 1. Zakona o </w:t>
      </w:r>
      <w:r w:rsidRPr="0042298E">
        <w:rPr>
          <w:rFonts w:cs="Times New Roman" w:eastAsia="Calibri"/>
          <w:bCs/>
          <w:color w:val="auto"/>
          <w:sz w:val="24"/>
          <w:szCs w:val="24"/>
          <w:lang w:eastAsia="en-US"/>
        </w:rPr>
        <w:t>parničnom postupku (˝Narodne novine˝ broj 53/91, 91/92, 112/99, 88/01, 117/03, 88/05, 2/07, 84/08, 96/08, 123/08, 57/11 i 25/13, dalje: ZPP) odlučeno je kao u izreci ovog rješenja.</w:t>
      </w:r>
      <w:r w:rsidRPr="0042298E">
        <w:rPr>
          <w:rFonts w:cs="Times New Roman"/>
          <w:color w:val="auto"/>
          <w:sz w:val="24"/>
          <w:szCs w:val="24"/>
        </w:rPr>
        <w:t xml:space="preserve">                                                                                                                                                                                                                                                                                                                                                                                                                                                                                                                                                                                                                                                                                                                                                                                                                                                                                                                                                                                                                                                                                                                                                                                                                                                                            </w:t>
      </w:r>
    </w:p>
    <w:p w:rsidRDefault="00BE7493" w:rsidP="0042298E" w:rsidR="00BE7493" w:rsidRPr="009C3F59">
      <w:pPr>
        <w:spacing w:lineRule="auto" w:line="240" w:before="200"/>
        <w:jc w:val="center"/>
        <w:rPr>
          <w:sz w:val="24"/>
          <w:szCs w:val="24"/>
        </w:rPr>
      </w:pPr>
      <w:r w:rsidRPr="009C3F59">
        <w:rPr>
          <w:sz w:val="24"/>
          <w:szCs w:val="24"/>
        </w:rPr>
        <w:t xml:space="preserve">U Splitu, </w:t>
      </w:r>
      <w:r w:rsidR="0042298E">
        <w:rPr>
          <w:sz w:val="24"/>
          <w:szCs w:val="24"/>
        </w:rPr>
        <w:t>23</w:t>
      </w:r>
      <w:r w:rsidR="007E3943" w:rsidRPr="009C3F59">
        <w:rPr>
          <w:sz w:val="24"/>
          <w:szCs w:val="24"/>
        </w:rPr>
        <w:t>. studenog</w:t>
      </w:r>
      <w:r w:rsidRPr="009C3F59">
        <w:rPr>
          <w:sz w:val="24"/>
          <w:szCs w:val="24"/>
        </w:rPr>
        <w:t xml:space="preserve"> 2015.</w:t>
      </w:r>
      <w:r w:rsidR="0042298E">
        <w:rPr>
          <w:sz w:val="24"/>
          <w:szCs w:val="24"/>
        </w:rPr>
        <w:t xml:space="preserve"> godine</w:t>
      </w:r>
    </w:p>
    <w:p w:rsidRDefault="00BE7493" w:rsidP="00BE7493" w:rsidR="00BE7493" w:rsidRPr="009C3F59">
      <w:pPr>
        <w:spacing w:before="200"/>
        <w:ind w:left="6372"/>
        <w:jc w:val="center"/>
        <w:rPr>
          <w:bCs/>
          <w:sz w:val="24"/>
          <w:szCs w:val="24"/>
        </w:rPr>
      </w:pPr>
      <w:r w:rsidRPr="009C3F59">
        <w:rPr>
          <w:bCs/>
          <w:sz w:val="24"/>
          <w:szCs w:val="24"/>
        </w:rPr>
        <w:t>SUTKINJA</w:t>
      </w:r>
    </w:p>
    <w:p w:rsidRDefault="00BE7493" w:rsidP="0042298E" w:rsidR="003538DB">
      <w:pPr>
        <w:ind w:left="6373"/>
        <w:jc w:val="center"/>
        <w:rPr>
          <w:bCs/>
          <w:sz w:val="24"/>
          <w:szCs w:val="24"/>
        </w:rPr>
      </w:pPr>
      <w:r w:rsidRPr="009C3F59">
        <w:rPr>
          <w:bCs/>
          <w:sz w:val="24"/>
          <w:szCs w:val="24"/>
        </w:rPr>
        <w:t>ANA GOLUB GRUIĆ</w:t>
      </w:r>
    </w:p>
    <w:p w:rsidRDefault="00F527F2" w:rsidP="00012D68" w:rsidR="00F527F2" w:rsidRPr="00012D68">
      <w:pPr>
        <w:spacing w:before="200"/>
        <w:ind w:left="6373"/>
        <w:jc w:val="center"/>
        <w:rPr>
          <w:bCs/>
          <w:sz w:val="24"/>
          <w:szCs w:val="24"/>
        </w:rPr>
      </w:pPr>
    </w:p>
    <w:p w:rsidRDefault="00012D68" w:rsidP="00BE7493" w:rsidR="00012D68">
      <w:pPr>
        <w:rPr>
          <w:sz w:val="24"/>
          <w:szCs w:val="24"/>
        </w:rPr>
      </w:pPr>
    </w:p>
    <w:p w:rsidRDefault="00C21DF1" w:rsidP="00BE7493" w:rsidR="00C21DF1">
      <w:pPr>
        <w:rPr>
          <w:sz w:val="24"/>
          <w:szCs w:val="24"/>
        </w:rPr>
      </w:pPr>
    </w:p>
    <w:p w:rsidRDefault="00BE7493" w:rsidP="00BE7493" w:rsidR="00BE7493" w:rsidRPr="009C3F59">
      <w:pPr>
        <w:rPr>
          <w:sz w:val="24"/>
          <w:szCs w:val="24"/>
        </w:rPr>
      </w:pPr>
      <w:r w:rsidRPr="009C3F59">
        <w:rPr>
          <w:sz w:val="24"/>
          <w:szCs w:val="24"/>
        </w:rPr>
        <w:lastRenderedPageBreak/>
        <w:t>POUKA O PRAVNOM LIJEKU:</w:t>
      </w:r>
    </w:p>
    <w:p w:rsidRDefault="00BE7493" w:rsidP="0042298E" w:rsidR="00BE7493" w:rsidRPr="009C3F59">
      <w:pPr>
        <w:spacing w:lineRule="auto" w:line="240"/>
        <w:rPr>
          <w:sz w:val="24"/>
          <w:szCs w:val="24"/>
        </w:rPr>
      </w:pPr>
      <w:r w:rsidRPr="009C3F59">
        <w:rPr>
          <w:sz w:val="24"/>
          <w:szCs w:val="24"/>
        </w:rPr>
        <w:t xml:space="preserve">Protiv ovog rješenja je dopuštena žalba. Žalba se podnosi pismenim </w:t>
      </w:r>
      <w:r w:rsidR="00FA3369">
        <w:rPr>
          <w:sz w:val="24"/>
          <w:szCs w:val="24"/>
        </w:rPr>
        <w:t>putem Visokom trgovačkom sudu Republike Hrvatske</w:t>
      </w:r>
      <w:r w:rsidRPr="009C3F59">
        <w:rPr>
          <w:sz w:val="24"/>
          <w:szCs w:val="24"/>
        </w:rPr>
        <w:t xml:space="preserve"> u Zagrebu, putem ovog suda, u roku od 8 dana od dana dostave prijepisa ovog rješenja, u 3 primjerka.</w:t>
      </w:r>
    </w:p>
    <w:p w:rsidRDefault="001403D6" w:rsidP="001403D6" w:rsidR="001403D6" w:rsidRPr="009C3F59">
      <w:pPr>
        <w:spacing w:before="200"/>
        <w:rPr>
          <w:sz w:val="24"/>
          <w:szCs w:val="24"/>
        </w:rPr>
      </w:pPr>
      <w:r w:rsidRPr="009C3F59">
        <w:rPr>
          <w:sz w:val="24"/>
          <w:szCs w:val="24"/>
        </w:rPr>
        <w:t>DNA:</w:t>
      </w:r>
    </w:p>
    <w:p w:rsidRDefault="001403D6" w:rsidP="001403D6" w:rsidR="001403D6" w:rsidRPr="00073671">
      <w:pPr>
        <w:rPr>
          <w:sz w:val="24"/>
          <w:szCs w:val="24"/>
        </w:rPr>
      </w:pPr>
      <w:r w:rsidRPr="00073671">
        <w:rPr>
          <w:sz w:val="24"/>
          <w:szCs w:val="24"/>
        </w:rPr>
        <w:t>- stečajn</w:t>
      </w:r>
      <w:r w:rsidR="001159FF" w:rsidRPr="00073671">
        <w:rPr>
          <w:sz w:val="24"/>
          <w:szCs w:val="24"/>
        </w:rPr>
        <w:t>i upravitelj</w:t>
      </w:r>
      <w:r w:rsidRPr="00073671">
        <w:rPr>
          <w:sz w:val="24"/>
          <w:szCs w:val="24"/>
        </w:rPr>
        <w:t xml:space="preserve"> Peric</w:t>
      </w:r>
      <w:r w:rsidR="001159FF" w:rsidRPr="00073671">
        <w:rPr>
          <w:sz w:val="24"/>
          <w:szCs w:val="24"/>
        </w:rPr>
        <w:t>a Mitrović</w:t>
      </w:r>
      <w:r w:rsidRPr="00073671">
        <w:rPr>
          <w:sz w:val="24"/>
          <w:szCs w:val="24"/>
        </w:rPr>
        <w:t>, Osijek, Bjelolasička 23</w:t>
      </w:r>
    </w:p>
    <w:p w:rsidRDefault="001403D6" w:rsidP="001403D6" w:rsidR="001403D6" w:rsidRPr="00073671">
      <w:pPr>
        <w:rPr>
          <w:sz w:val="24"/>
          <w:szCs w:val="24"/>
        </w:rPr>
      </w:pPr>
      <w:r w:rsidRPr="00073671">
        <w:rPr>
          <w:sz w:val="24"/>
          <w:szCs w:val="24"/>
        </w:rPr>
        <w:t>- OŠTRC d.o.o. Zagreb po punomoćniku Ivanu Mišetiću, odvjetniku u Zagrebu</w:t>
      </w:r>
    </w:p>
    <w:p w:rsidRDefault="001403D6" w:rsidP="001403D6" w:rsidR="001403D6" w:rsidRPr="00073671">
      <w:pPr>
        <w:rPr>
          <w:sz w:val="24"/>
          <w:szCs w:val="24"/>
        </w:rPr>
      </w:pPr>
      <w:r w:rsidRPr="00073671">
        <w:rPr>
          <w:sz w:val="24"/>
          <w:szCs w:val="24"/>
        </w:rPr>
        <w:t>- Republika Hrvatska – Ministarstvo financija, Carinska uprava, Carinarnica Split</w:t>
      </w:r>
    </w:p>
    <w:p w:rsidRDefault="001403D6" w:rsidP="001403D6" w:rsidR="001403D6" w:rsidRPr="00073671">
      <w:pPr>
        <w:rPr>
          <w:sz w:val="24"/>
          <w:szCs w:val="24"/>
        </w:rPr>
      </w:pPr>
      <w:r w:rsidRPr="00073671">
        <w:rPr>
          <w:sz w:val="24"/>
          <w:szCs w:val="24"/>
        </w:rPr>
        <w:t>- Republika Hrvatska – Ministarstvo financija, Porezna uprava, Područni ured Split</w:t>
      </w:r>
    </w:p>
    <w:p w:rsidRDefault="001403D6" w:rsidP="001403D6" w:rsidR="001403D6" w:rsidRPr="00073671">
      <w:pPr>
        <w:rPr>
          <w:sz w:val="24"/>
          <w:szCs w:val="24"/>
        </w:rPr>
      </w:pPr>
      <w:r w:rsidRPr="00073671">
        <w:rPr>
          <w:sz w:val="24"/>
          <w:szCs w:val="24"/>
        </w:rPr>
        <w:t>- Societe Generale – Splitska banka d.d., Split, R. Boškovića 16</w:t>
      </w:r>
    </w:p>
    <w:p w:rsidRDefault="001403D6" w:rsidP="001403D6" w:rsidR="001403D6" w:rsidRPr="009C3F59">
      <w:pPr>
        <w:rPr>
          <w:sz w:val="24"/>
          <w:szCs w:val="24"/>
        </w:rPr>
      </w:pPr>
      <w:r w:rsidRPr="00073671">
        <w:rPr>
          <w:sz w:val="24"/>
          <w:szCs w:val="24"/>
        </w:rPr>
        <w:t xml:space="preserve">- Općinski sud u Splitu – </w:t>
      </w:r>
      <w:r w:rsidR="0042298E" w:rsidRPr="00073671">
        <w:rPr>
          <w:sz w:val="24"/>
          <w:szCs w:val="24"/>
        </w:rPr>
        <w:t>ZK odjel, Split, Gundulićeva 29</w:t>
      </w:r>
      <w:r w:rsidR="00073671" w:rsidRPr="00073671">
        <w:rPr>
          <w:sz w:val="24"/>
          <w:szCs w:val="24"/>
        </w:rPr>
        <w:t xml:space="preserve"> uz</w:t>
      </w:r>
      <w:r w:rsidR="00073671" w:rsidRPr="00DF2C64">
        <w:rPr>
          <w:sz w:val="24"/>
          <w:szCs w:val="24"/>
        </w:rPr>
        <w:t xml:space="preserve"> otpravak rješenja o dosudi ovoga suda St-49/2012 od 13. travnja 2015. godine</w:t>
      </w:r>
      <w:r w:rsidR="00073671">
        <w:rPr>
          <w:sz w:val="24"/>
          <w:szCs w:val="24"/>
        </w:rPr>
        <w:t xml:space="preserve"> i rješenja St-49/2012 od 16. studenog 2015. godine</w:t>
      </w:r>
    </w:p>
    <w:p w:rsidRDefault="001403D6" w:rsidP="00B1001B" w:rsidR="001403D6" w:rsidRPr="009C3F59">
      <w:pPr>
        <w:rPr>
          <w:sz w:val="24"/>
          <w:szCs w:val="24"/>
        </w:rPr>
      </w:pPr>
      <w:r w:rsidRPr="009C3F59">
        <w:rPr>
          <w:sz w:val="24"/>
          <w:szCs w:val="24"/>
        </w:rPr>
        <w:t xml:space="preserve">- Županijsko državno odvjetništvo u Splitu, Građansko upravni odjel, Split, </w:t>
      </w:r>
      <w:r w:rsidR="00DF2C64" w:rsidRPr="00DF2C64">
        <w:rPr>
          <w:sz w:val="24"/>
          <w:szCs w:val="24"/>
        </w:rPr>
        <w:t>uz otpravak rješenja o dosudi ovoga suda St-49/2012 od 13. travnja 2015. godine</w:t>
      </w:r>
    </w:p>
    <w:p w:rsidRDefault="001403D6" w:rsidP="00B1001B" w:rsidR="001403D6" w:rsidRPr="009C3F59">
      <w:pPr>
        <w:rPr>
          <w:sz w:val="24"/>
          <w:szCs w:val="24"/>
        </w:rPr>
      </w:pPr>
      <w:r w:rsidRPr="009C3F59">
        <w:rPr>
          <w:sz w:val="24"/>
          <w:szCs w:val="24"/>
        </w:rPr>
        <w:t>- rješenje istaknuti na mrežnu stranicu e-Oglasna ploča sudova</w:t>
      </w:r>
    </w:p>
    <w:p w:rsidRDefault="001403D6" w:rsidP="00B1001B" w:rsidR="001403D6" w:rsidRPr="009C3F59">
      <w:pPr>
        <w:rPr>
          <w:sz w:val="24"/>
          <w:szCs w:val="24"/>
        </w:rPr>
      </w:pPr>
      <w:r w:rsidRPr="009C3F59">
        <w:rPr>
          <w:sz w:val="24"/>
          <w:szCs w:val="24"/>
        </w:rPr>
        <w:t>- u spis</w:t>
      </w:r>
    </w:p>
    <w:p w:rsidRDefault="007A715B" w:rsidP="00DF2C64" w:rsidR="007A715B" w:rsidRPr="009C3F59">
      <w:pPr>
        <w:spacing w:lineRule="auto" w:line="240"/>
        <w:rPr>
          <w:sz w:val="24"/>
          <w:szCs w:val="24"/>
        </w:rPr>
      </w:pPr>
    </w:p>
    <w:sectPr w:rsidSect="00DF6241" w:rsidR="007A715B" w:rsidRPr="009C3F59">
      <w:headerReference w:type="default" r:id="rId11"/>
      <w:headerReference w:type="first" r:id="rId12"/>
      <w:pgSz w:h="16838" w:w="11906"/>
      <w:pgMar w:gutter="0" w:footer="720"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879" w:rsidP="00F95174" w:rsidR="00FF5879">
      <w:pPr>
        <w:spacing w:lineRule="auto" w:line="240"/>
      </w:pPr>
      <w:r>
        <w:separator/>
      </w:r>
    </w:p>
  </w:endnote>
  <w:endnote w:id="0" w:type="continuationSeparator">
    <w:p w:rsidRDefault="00FF5879" w:rsidP="00F95174" w:rsidR="00FF5879">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879" w:rsidP="00F95174" w:rsidR="00FF5879">
      <w:pPr>
        <w:spacing w:lineRule="auto" w:line="240"/>
      </w:pPr>
      <w:r>
        <w:separator/>
      </w:r>
    </w:p>
  </w:footnote>
  <w:footnote w:id="0" w:type="continuationSeparator">
    <w:p w:rsidRDefault="00FF5879" w:rsidP="00F95174" w:rsidR="00FF5879">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1883325"/>
      <w:docPartObj>
        <w:docPartGallery w:val="Page Numbers (Top of Page)"/>
        <w:docPartUnique/>
      </w:docPartObj>
    </w:sdtPr>
    <w:sdtEndPr>
      <w:rPr>
        <w:sz w:val="24"/>
        <w:szCs w:val="24"/>
      </w:rPr>
    </w:sdtEndPr>
    <w:sdtContent>
      <w:p w:rsidRDefault="00DF6241" w:rsidR="00DF6241" w:rsidRPr="00DF6241">
        <w:pPr>
          <w:pStyle w:val="Zaglavlje"/>
          <w:jc w:val="center"/>
          <w:rPr>
            <w:sz w:val="24"/>
            <w:szCs w:val="24"/>
          </w:rPr>
        </w:pPr>
        <w:r w:rsidRPr="00DF6241">
          <w:rPr>
            <w:sz w:val="24"/>
            <w:szCs w:val="24"/>
          </w:rPr>
          <w:fldChar w:fldCharType="begin"/>
        </w:r>
        <w:r w:rsidRPr="00DF6241">
          <w:rPr>
            <w:sz w:val="24"/>
            <w:szCs w:val="24"/>
          </w:rPr>
          <w:instrText>PAGE   \* MERGEFORMAT</w:instrText>
        </w:r>
        <w:r w:rsidRPr="00DF6241">
          <w:rPr>
            <w:sz w:val="24"/>
            <w:szCs w:val="24"/>
          </w:rPr>
          <w:fldChar w:fldCharType="separate"/>
        </w:r>
        <w:r w:rsidR="00F70C94">
          <w:rPr>
            <w:noProof/>
            <w:sz w:val="24"/>
            <w:szCs w:val="24"/>
          </w:rPr>
          <w:t>2</w:t>
        </w:r>
        <w:r w:rsidRPr="00DF6241">
          <w:rPr>
            <w:sz w:val="24"/>
            <w:szCs w:val="24"/>
          </w:rPr>
          <w:fldChar w:fldCharType="end"/>
        </w:r>
      </w:p>
    </w:sdtContent>
  </w:sdt>
  <w:sdt>
    <w:sdtPr>
      <w:id w:val="-1647109428"/>
      <w:docPartObj>
        <w:docPartGallery w:val="Page Numbers (Top of Page)"/>
        <w:docPartUnique/>
      </w:docPartObj>
    </w:sdtPr>
    <w:sdtEndPr>
      <w:rPr>
        <w:sz w:val="24"/>
        <w:szCs w:val="24"/>
      </w:rPr>
    </w:sdtEndPr>
    <w:sdtContent>
      <w:p w:rsidRDefault="00DF6241" w:rsidP="00DF6241" w:rsidR="00DF6241" w:rsidRPr="00DF6241">
        <w:pPr>
          <w:pStyle w:val="Zaglavlje"/>
          <w:jc w:val="right"/>
          <w:rPr>
            <w:sz w:val="24"/>
            <w:szCs w:val="24"/>
          </w:rPr>
        </w:pPr>
        <w:r w:rsidRPr="00DF6241">
          <w:rPr>
            <w:sz w:val="24"/>
            <w:szCs w:val="24"/>
          </w:rPr>
          <w:t>11. St-49/2012</w:t>
        </w:r>
      </w:p>
    </w:sdtContent>
  </w:sdt>
  <w:p w:rsidRDefault="00F95174" w:rsidP="00AE52D1" w:rsidR="00F95174">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38850"/>
      <w:docPartObj>
        <w:docPartGallery w:val="Page Numbers (Top of Page)"/>
        <w:docPartUnique/>
      </w:docPartObj>
    </w:sdtPr>
    <w:sdtEndPr>
      <w:rPr>
        <w:sz w:val="24"/>
        <w:szCs w:val="24"/>
      </w:rPr>
    </w:sdtEndPr>
    <w:sdtContent>
      <w:p w:rsidRDefault="00DF6241" w:rsidP="00DF6241" w:rsidR="00F95174" w:rsidRPr="00DF6241">
        <w:pPr>
          <w:pStyle w:val="Zaglavlje"/>
          <w:jc w:val="right"/>
          <w:rPr>
            <w:sz w:val="24"/>
            <w:szCs w:val="24"/>
          </w:rPr>
        </w:pPr>
        <w:r w:rsidRPr="00DF6241">
          <w:rPr>
            <w:sz w:val="24"/>
            <w:szCs w:val="24"/>
          </w:rPr>
          <w:t>11. St-49/2012</w:t>
        </w:r>
      </w:p>
    </w:sdtContent>
  </w:sdt>
  <w:p w:rsidRDefault="00F95174" w:rsidR="00F951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40CCA"/>
    <w:multiLevelType w:val="hybridMultilevel"/>
    <w:tmpl w:val="CC6A7BDE"/>
    <w:lvl w:tplc="33BC1FC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452C28"/>
    <w:multiLevelType w:val="hybridMultilevel"/>
    <w:tmpl w:val="DD78C9B6"/>
    <w:lvl w:tplc="9AAAE6C0"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B5070E"/>
    <w:multiLevelType w:val="hybridMultilevel"/>
    <w:tmpl w:val="AC72246E"/>
    <w:lvl w:tplc="6B36535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017166"/>
    <w:multiLevelType w:val="hybridMultilevel"/>
    <w:tmpl w:val="2B0E07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5164730"/>
    <w:multiLevelType w:val="hybridMultilevel"/>
    <w:tmpl w:val="D7BE509A"/>
    <w:lvl w:tplc="DB0C0B10" w:ilvl="0">
      <w:numFmt w:val="bullet"/>
      <w:lvlText w:val="-"/>
      <w:lvlJc w:val="left"/>
      <w:pPr>
        <w:tabs>
          <w:tab w:pos="1773" w:val="num"/>
        </w:tabs>
        <w:ind w:hanging="360" w:left="1773"/>
      </w:pPr>
      <w:rPr>
        <w:rFonts w:cs="Times New Roman" w:eastAsia="Times New Roman" w:hAnsi="Times New Roman" w:ascii="Times New Roman" w:hint="default"/>
      </w:rPr>
    </w:lvl>
    <w:lvl w:tentative="true" w:tplc="041A0003" w:ilvl="1">
      <w:start w:val="1"/>
      <w:numFmt w:val="bullet"/>
      <w:lvlText w:val="o"/>
      <w:lvlJc w:val="left"/>
      <w:pPr>
        <w:tabs>
          <w:tab w:pos="2493" w:val="num"/>
        </w:tabs>
        <w:ind w:hanging="360" w:left="2493"/>
      </w:pPr>
      <w:rPr>
        <w:rFonts w:hAnsi="Courier New" w:ascii="Courier New" w:hint="default"/>
      </w:rPr>
    </w:lvl>
    <w:lvl w:tentative="true" w:tplc="041A0005" w:ilvl="2">
      <w:start w:val="1"/>
      <w:numFmt w:val="bullet"/>
      <w:lvlText w:val=""/>
      <w:lvlJc w:val="left"/>
      <w:pPr>
        <w:tabs>
          <w:tab w:pos="3213" w:val="num"/>
        </w:tabs>
        <w:ind w:hanging="360" w:left="3213"/>
      </w:pPr>
      <w:rPr>
        <w:rFonts w:hAnsi="Wingdings" w:ascii="Wingdings" w:hint="default"/>
      </w:rPr>
    </w:lvl>
    <w:lvl w:tentative="true" w:tplc="041A0001" w:ilvl="3">
      <w:start w:val="1"/>
      <w:numFmt w:val="bullet"/>
      <w:lvlText w:val=""/>
      <w:lvlJc w:val="left"/>
      <w:pPr>
        <w:tabs>
          <w:tab w:pos="3933" w:val="num"/>
        </w:tabs>
        <w:ind w:hanging="360" w:left="3933"/>
      </w:pPr>
      <w:rPr>
        <w:rFonts w:hAnsi="Symbol" w:ascii="Symbol" w:hint="default"/>
      </w:rPr>
    </w:lvl>
    <w:lvl w:tentative="true" w:tplc="041A0003" w:ilvl="4">
      <w:start w:val="1"/>
      <w:numFmt w:val="bullet"/>
      <w:lvlText w:val="o"/>
      <w:lvlJc w:val="left"/>
      <w:pPr>
        <w:tabs>
          <w:tab w:pos="4653" w:val="num"/>
        </w:tabs>
        <w:ind w:hanging="360" w:left="4653"/>
      </w:pPr>
      <w:rPr>
        <w:rFonts w:hAnsi="Courier New" w:ascii="Courier New" w:hint="default"/>
      </w:rPr>
    </w:lvl>
    <w:lvl w:tentative="true" w:tplc="041A0005" w:ilvl="5">
      <w:start w:val="1"/>
      <w:numFmt w:val="bullet"/>
      <w:lvlText w:val=""/>
      <w:lvlJc w:val="left"/>
      <w:pPr>
        <w:tabs>
          <w:tab w:pos="5373" w:val="num"/>
        </w:tabs>
        <w:ind w:hanging="360" w:left="5373"/>
      </w:pPr>
      <w:rPr>
        <w:rFonts w:hAnsi="Wingdings" w:ascii="Wingdings" w:hint="default"/>
      </w:rPr>
    </w:lvl>
    <w:lvl w:tentative="true" w:tplc="041A0001" w:ilvl="6">
      <w:start w:val="1"/>
      <w:numFmt w:val="bullet"/>
      <w:lvlText w:val=""/>
      <w:lvlJc w:val="left"/>
      <w:pPr>
        <w:tabs>
          <w:tab w:pos="6093" w:val="num"/>
        </w:tabs>
        <w:ind w:hanging="360" w:left="6093"/>
      </w:pPr>
      <w:rPr>
        <w:rFonts w:hAnsi="Symbol" w:ascii="Symbol" w:hint="default"/>
      </w:rPr>
    </w:lvl>
    <w:lvl w:tentative="true" w:tplc="041A0003" w:ilvl="7">
      <w:start w:val="1"/>
      <w:numFmt w:val="bullet"/>
      <w:lvlText w:val="o"/>
      <w:lvlJc w:val="left"/>
      <w:pPr>
        <w:tabs>
          <w:tab w:pos="6813" w:val="num"/>
        </w:tabs>
        <w:ind w:hanging="360" w:left="6813"/>
      </w:pPr>
      <w:rPr>
        <w:rFonts w:hAnsi="Courier New" w:ascii="Courier New" w:hint="default"/>
      </w:rPr>
    </w:lvl>
    <w:lvl w:tentative="true" w:tplc="041A0005" w:ilvl="8">
      <w:start w:val="1"/>
      <w:numFmt w:val="bullet"/>
      <w:lvlText w:val=""/>
      <w:lvlJc w:val="left"/>
      <w:pPr>
        <w:tabs>
          <w:tab w:pos="7533" w:val="num"/>
        </w:tabs>
        <w:ind w:hanging="360" w:left="7533"/>
      </w:pPr>
      <w:rPr>
        <w:rFonts w:hAnsi="Wingdings" w:ascii="Wingdings" w:hint="default"/>
      </w:rPr>
    </w:lvl>
  </w:abstractNum>
  <w:abstractNum w:abstractNumId="5">
    <w:nsid w:val="4DB85065"/>
    <w:multiLevelType w:val="hybridMultilevel"/>
    <w:tmpl w:val="ECBC962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CEE33CD"/>
    <w:multiLevelType w:val="hybridMultilevel"/>
    <w:tmpl w:val="8AC8BC56"/>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7">
    <w:nsid w:val="730C6292"/>
    <w:multiLevelType w:val="hybridMultilevel"/>
    <w:tmpl w:val="84460A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05"/>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2899"/>
    <w:rsid w:val="00004A71"/>
    <w:rsid w:val="00012D68"/>
    <w:rsid w:val="00013E59"/>
    <w:rsid w:val="00015D09"/>
    <w:rsid w:val="00042049"/>
    <w:rsid w:val="00061239"/>
    <w:rsid w:val="00062CF5"/>
    <w:rsid w:val="00067506"/>
    <w:rsid w:val="00072A37"/>
    <w:rsid w:val="00073671"/>
    <w:rsid w:val="000766A7"/>
    <w:rsid w:val="00076A33"/>
    <w:rsid w:val="0008240F"/>
    <w:rsid w:val="0009206D"/>
    <w:rsid w:val="00093C1B"/>
    <w:rsid w:val="000A64AB"/>
    <w:rsid w:val="000A6B73"/>
    <w:rsid w:val="000C0CDE"/>
    <w:rsid w:val="000E42B8"/>
    <w:rsid w:val="000F2CA4"/>
    <w:rsid w:val="001039A3"/>
    <w:rsid w:val="001159FF"/>
    <w:rsid w:val="00127575"/>
    <w:rsid w:val="00130D5A"/>
    <w:rsid w:val="001403D6"/>
    <w:rsid w:val="001451A3"/>
    <w:rsid w:val="001569A4"/>
    <w:rsid w:val="00172CAD"/>
    <w:rsid w:val="001846B7"/>
    <w:rsid w:val="001A3B08"/>
    <w:rsid w:val="001A682D"/>
    <w:rsid w:val="001D7227"/>
    <w:rsid w:val="001F4770"/>
    <w:rsid w:val="00212833"/>
    <w:rsid w:val="00213F6B"/>
    <w:rsid w:val="00216DE4"/>
    <w:rsid w:val="00232FDE"/>
    <w:rsid w:val="00241D36"/>
    <w:rsid w:val="00247053"/>
    <w:rsid w:val="00250B8A"/>
    <w:rsid w:val="0025773B"/>
    <w:rsid w:val="00282A5B"/>
    <w:rsid w:val="002907CD"/>
    <w:rsid w:val="002B0BD1"/>
    <w:rsid w:val="002B1887"/>
    <w:rsid w:val="002F4E2B"/>
    <w:rsid w:val="003068D1"/>
    <w:rsid w:val="00307D3D"/>
    <w:rsid w:val="003305AF"/>
    <w:rsid w:val="00352C45"/>
    <w:rsid w:val="003538DB"/>
    <w:rsid w:val="00356300"/>
    <w:rsid w:val="003858B8"/>
    <w:rsid w:val="00387425"/>
    <w:rsid w:val="003A4EF8"/>
    <w:rsid w:val="003B6AF2"/>
    <w:rsid w:val="003D6658"/>
    <w:rsid w:val="003E24CD"/>
    <w:rsid w:val="003F2722"/>
    <w:rsid w:val="00420FAB"/>
    <w:rsid w:val="0042298E"/>
    <w:rsid w:val="00433302"/>
    <w:rsid w:val="00440C83"/>
    <w:rsid w:val="0044191E"/>
    <w:rsid w:val="00467E81"/>
    <w:rsid w:val="0047308C"/>
    <w:rsid w:val="00473867"/>
    <w:rsid w:val="00475321"/>
    <w:rsid w:val="00483D99"/>
    <w:rsid w:val="004849B7"/>
    <w:rsid w:val="00486F75"/>
    <w:rsid w:val="004A301D"/>
    <w:rsid w:val="004A7109"/>
    <w:rsid w:val="004B59F2"/>
    <w:rsid w:val="004B7B9A"/>
    <w:rsid w:val="005017C0"/>
    <w:rsid w:val="00501A11"/>
    <w:rsid w:val="00506909"/>
    <w:rsid w:val="005304F3"/>
    <w:rsid w:val="00530A0F"/>
    <w:rsid w:val="0053212C"/>
    <w:rsid w:val="00545D94"/>
    <w:rsid w:val="0059313B"/>
    <w:rsid w:val="00593CB7"/>
    <w:rsid w:val="005A0427"/>
    <w:rsid w:val="005B2904"/>
    <w:rsid w:val="005F3D3B"/>
    <w:rsid w:val="00604F97"/>
    <w:rsid w:val="00624033"/>
    <w:rsid w:val="006327D1"/>
    <w:rsid w:val="00655F67"/>
    <w:rsid w:val="006574F2"/>
    <w:rsid w:val="00657F65"/>
    <w:rsid w:val="00664BF4"/>
    <w:rsid w:val="00675391"/>
    <w:rsid w:val="00684F32"/>
    <w:rsid w:val="0069094E"/>
    <w:rsid w:val="006A4AA9"/>
    <w:rsid w:val="006B374C"/>
    <w:rsid w:val="006B56D0"/>
    <w:rsid w:val="006C5DD9"/>
    <w:rsid w:val="006D2B98"/>
    <w:rsid w:val="006E2057"/>
    <w:rsid w:val="00700C02"/>
    <w:rsid w:val="007620E3"/>
    <w:rsid w:val="00770691"/>
    <w:rsid w:val="00796F71"/>
    <w:rsid w:val="007A715B"/>
    <w:rsid w:val="007B6BDD"/>
    <w:rsid w:val="007C310A"/>
    <w:rsid w:val="007D15D5"/>
    <w:rsid w:val="007E3943"/>
    <w:rsid w:val="00802899"/>
    <w:rsid w:val="0081023B"/>
    <w:rsid w:val="008306B9"/>
    <w:rsid w:val="0083501F"/>
    <w:rsid w:val="00863C7E"/>
    <w:rsid w:val="00871F5D"/>
    <w:rsid w:val="008A2F2A"/>
    <w:rsid w:val="008D5BF9"/>
    <w:rsid w:val="008D7810"/>
    <w:rsid w:val="008E42FB"/>
    <w:rsid w:val="009044FE"/>
    <w:rsid w:val="0091235D"/>
    <w:rsid w:val="0091641D"/>
    <w:rsid w:val="00916F03"/>
    <w:rsid w:val="00925086"/>
    <w:rsid w:val="009304E7"/>
    <w:rsid w:val="009445C3"/>
    <w:rsid w:val="0095151C"/>
    <w:rsid w:val="00960EB2"/>
    <w:rsid w:val="0096628B"/>
    <w:rsid w:val="0097714F"/>
    <w:rsid w:val="009C3F59"/>
    <w:rsid w:val="009D1E1C"/>
    <w:rsid w:val="009E3885"/>
    <w:rsid w:val="00A15D0A"/>
    <w:rsid w:val="00A16B10"/>
    <w:rsid w:val="00A45605"/>
    <w:rsid w:val="00A52FE8"/>
    <w:rsid w:val="00A53F62"/>
    <w:rsid w:val="00A56B00"/>
    <w:rsid w:val="00A64FAD"/>
    <w:rsid w:val="00A75034"/>
    <w:rsid w:val="00A959AE"/>
    <w:rsid w:val="00A95ADE"/>
    <w:rsid w:val="00AA3797"/>
    <w:rsid w:val="00AA666B"/>
    <w:rsid w:val="00AD5D1A"/>
    <w:rsid w:val="00AD6F14"/>
    <w:rsid w:val="00AE52D1"/>
    <w:rsid w:val="00AF2C80"/>
    <w:rsid w:val="00B047AD"/>
    <w:rsid w:val="00B07131"/>
    <w:rsid w:val="00B1001B"/>
    <w:rsid w:val="00B16C56"/>
    <w:rsid w:val="00B32180"/>
    <w:rsid w:val="00B55885"/>
    <w:rsid w:val="00B6197C"/>
    <w:rsid w:val="00B65970"/>
    <w:rsid w:val="00B942EB"/>
    <w:rsid w:val="00B94A4C"/>
    <w:rsid w:val="00BA7DAD"/>
    <w:rsid w:val="00BB3794"/>
    <w:rsid w:val="00BB659E"/>
    <w:rsid w:val="00BC4EBC"/>
    <w:rsid w:val="00BC6E37"/>
    <w:rsid w:val="00BE54F4"/>
    <w:rsid w:val="00BE7493"/>
    <w:rsid w:val="00BF7067"/>
    <w:rsid w:val="00C0296E"/>
    <w:rsid w:val="00C15D46"/>
    <w:rsid w:val="00C21DF1"/>
    <w:rsid w:val="00C30788"/>
    <w:rsid w:val="00C81626"/>
    <w:rsid w:val="00C90C7F"/>
    <w:rsid w:val="00CC3C21"/>
    <w:rsid w:val="00CE0748"/>
    <w:rsid w:val="00CE5413"/>
    <w:rsid w:val="00D05E18"/>
    <w:rsid w:val="00D13C2E"/>
    <w:rsid w:val="00D144BE"/>
    <w:rsid w:val="00D23FF0"/>
    <w:rsid w:val="00D24A14"/>
    <w:rsid w:val="00D261B3"/>
    <w:rsid w:val="00D35DD1"/>
    <w:rsid w:val="00D53BEB"/>
    <w:rsid w:val="00D565D4"/>
    <w:rsid w:val="00D5685D"/>
    <w:rsid w:val="00D5767F"/>
    <w:rsid w:val="00D636EF"/>
    <w:rsid w:val="00D870A0"/>
    <w:rsid w:val="00D92AD8"/>
    <w:rsid w:val="00DA1F3C"/>
    <w:rsid w:val="00DB1AAF"/>
    <w:rsid w:val="00DB67C2"/>
    <w:rsid w:val="00DB7F59"/>
    <w:rsid w:val="00DE7C27"/>
    <w:rsid w:val="00DF2C64"/>
    <w:rsid w:val="00DF3F9D"/>
    <w:rsid w:val="00DF6241"/>
    <w:rsid w:val="00DF6DF1"/>
    <w:rsid w:val="00E01F58"/>
    <w:rsid w:val="00E06D62"/>
    <w:rsid w:val="00E24964"/>
    <w:rsid w:val="00E6279B"/>
    <w:rsid w:val="00E73D31"/>
    <w:rsid w:val="00E8758C"/>
    <w:rsid w:val="00EA589B"/>
    <w:rsid w:val="00EC15CB"/>
    <w:rsid w:val="00EC6310"/>
    <w:rsid w:val="00EE0BE5"/>
    <w:rsid w:val="00EE0BEE"/>
    <w:rsid w:val="00EF4BD9"/>
    <w:rsid w:val="00F02E94"/>
    <w:rsid w:val="00F11486"/>
    <w:rsid w:val="00F23F76"/>
    <w:rsid w:val="00F25183"/>
    <w:rsid w:val="00F527F2"/>
    <w:rsid w:val="00F5442B"/>
    <w:rsid w:val="00F55668"/>
    <w:rsid w:val="00F61894"/>
    <w:rsid w:val="00F70C94"/>
    <w:rsid w:val="00F73E99"/>
    <w:rsid w:val="00F7578F"/>
    <w:rsid w:val="00F90E44"/>
    <w:rsid w:val="00F95174"/>
    <w:rsid w:val="00FA3369"/>
    <w:rsid w:val="00FB2CF1"/>
    <w:rsid w:val="00FB7FDE"/>
    <w:rsid w:val="00FC19B5"/>
    <w:rsid w:val="00FF2F0F"/>
    <w:rsid w:val="00FF58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2899"/>
    <w:pPr>
      <w:spacing w:lineRule="exact" w:line="300" w:after="0"/>
      <w:jc w:val="both"/>
    </w:pPr>
    <w:rPr>
      <w:rFonts w:cs="Arial" w:eastAsia="Times New Roman" w:hAnsi="Times New Roman" w:asci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2057"/>
    <w:rPr>
      <w:rFonts w:cs="Arial" w:eastAsia="Times New Roman" w:hAnsi="Times New Roman" w:ascii="Times New Roman"/>
      <w:bCs/>
      <w:color w:themeColor="text1" w:val="000000"/>
      <w:kern w:val="32"/>
      <w:sz w:val="21"/>
      <w:szCs w:val="32"/>
      <w:lang w:eastAsia="hr-HR"/>
    </w:rPr>
  </w:style>
  <w:style w:customStyle="true" w:styleId="Default" w:type="paragraph">
    <w:name w:val="Default"/>
    <w:rsid w:val="00473867"/>
    <w:pPr>
      <w:autoSpaceDE w:val="false"/>
      <w:autoSpaceDN w:val="false"/>
      <w:adjustRightInd w:val="false"/>
      <w:spacing w:lineRule="auto" w:line="240" w:after="0"/>
    </w:pPr>
    <w:rPr>
      <w:rFonts w:cs="Arial" w:hAnsi="Arial" w:ascii="Arial"/>
      <w:color w:val="000000"/>
      <w:sz w:val="24"/>
      <w:szCs w:val="24"/>
    </w:rPr>
  </w:style>
  <w:style w:customStyle="true"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Rule="auto" w:line="240"/>
    </w:pPr>
    <w:rPr>
      <w:sz w:val="20"/>
    </w:rPr>
  </w:style>
  <w:style w:customStyle="true" w:styleId="TekstkomentaraChar" w:type="character">
    <w:name w:val="Tekst komentara Char"/>
    <w:basedOn w:val="Zadanifontodlomka"/>
    <w:link w:val="Tekstkomentara"/>
    <w:uiPriority w:val="99"/>
    <w:semiHidden/>
    <w:rsid w:val="00FB2CF1"/>
    <w:rPr>
      <w:rFonts w:cs="Arial" w:eastAsia="Times New Roman" w:hAnsi="Times New Roman" w:asci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true" w:styleId="PredmetkomentaraChar" w:type="character">
    <w:name w:val="Predmet komentara Char"/>
    <w:basedOn w:val="TekstkomentaraChar"/>
    <w:link w:val="Predmetkomentara"/>
    <w:uiPriority w:val="99"/>
    <w:semiHidden/>
    <w:rsid w:val="00FB2CF1"/>
    <w:rPr>
      <w:rFonts w:cs="Arial" w:eastAsia="Times New Roman" w:hAnsi="Times New Roman" w:asci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2CF1"/>
    <w:rPr>
      <w:rFonts w:cs="Tahoma" w:eastAsia="Times New Roman" w:hAnsi="Tahoma" w:ascii="Tahoma"/>
      <w:color w:themeColor="text1" w:val="000000"/>
      <w:sz w:val="16"/>
      <w:szCs w:val="16"/>
      <w:lang w:eastAsia="hr-HR"/>
    </w:rPr>
  </w:style>
  <w:style w:customStyle="true" w:styleId="Style2C" w:type="paragraph">
    <w:name w:val="Style2C"/>
    <w:basedOn w:val="Normal"/>
    <w:next w:val="Normal"/>
    <w:rsid w:val="00624033"/>
    <w:pPr>
      <w:keepNext/>
      <w:tabs>
        <w:tab w:pos="4536" w:leader="hyphen" w:val="center"/>
        <w:tab w:pos="9072" w:leader="hyphen" w:val="left"/>
      </w:tabs>
      <w:spacing w:lineRule="auto" w:line="240"/>
    </w:pPr>
    <w:rPr>
      <w:rFonts w:cs="Times New Roman" w:hAnsi="Tahoma" w:ascii="Tahoma"/>
      <w:b/>
      <w:color w:val="auto"/>
      <w:sz w:val="18"/>
      <w:szCs w:val="24"/>
      <w:lang w:eastAsia="en-US"/>
    </w:rPr>
  </w:style>
  <w:style w:customStyle="true" w:styleId="Bezproreda1" w:type="paragraph">
    <w:name w:val="Bez proreda1"/>
    <w:rsid w:val="00DF6DF1"/>
    <w:pPr>
      <w:suppressAutoHyphens/>
    </w:pPr>
    <w:rPr>
      <w:rFonts w:cs="Times New Roman" w:eastAsia="Times New Roman" w:hAnsi="Times New Roman" w:ascii="Times New Roman"/>
      <w:kern w:val="1"/>
      <w:sz w:val="24"/>
      <w:szCs w:val="24"/>
      <w:lang w:eastAsia="ar-SA"/>
    </w:rPr>
  </w:style>
  <w:style w:styleId="Tijeloteksta" w:type="paragraph">
    <w:name w:val="Body Text"/>
    <w:basedOn w:val="Normal"/>
    <w:link w:val="TijelotekstaChar"/>
    <w:rsid w:val="00BE7493"/>
    <w:pPr>
      <w:spacing w:lineRule="auto" w:line="240"/>
    </w:pPr>
    <w:rPr>
      <w:rFonts w:cs="Times New Roman"/>
      <w:color w:val="auto"/>
      <w:sz w:val="24"/>
      <w:szCs w:val="24"/>
    </w:rPr>
  </w:style>
  <w:style w:customStyle="true" w:styleId="TijelotekstaChar" w:type="character">
    <w:name w:val="Tijelo teksta Char"/>
    <w:basedOn w:val="Zadanifontodlomka"/>
    <w:link w:val="Tijeloteksta"/>
    <w:rsid w:val="00BE7493"/>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true" w:styleId="UvuenotijelotekstaChar" w:type="character">
    <w:name w:val="Uvučeno tijelo teksta Char"/>
    <w:basedOn w:val="Zadanifontodlomka"/>
    <w:link w:val="Uvuenotijeloteksta"/>
    <w:uiPriority w:val="99"/>
    <w:semiHidden/>
    <w:rsid w:val="006327D1"/>
    <w:rPr>
      <w:rFonts w:cs="Arial" w:eastAsia="Times New Roman" w:hAnsi="Times New Roman" w:ascii="Times New Roman"/>
      <w:color w:themeColor="text1" w:val="000000"/>
      <w:sz w:val="21"/>
      <w:szCs w:val="20"/>
      <w:lang w:eastAsia="hr-HR"/>
    </w:rPr>
  </w:style>
  <w:style w:styleId="StandardWeb" w:type="paragraph">
    <w:name w:val="Normal (Web)"/>
    <w:basedOn w:val="Normal"/>
    <w:rsid w:val="006327D1"/>
    <w:pPr>
      <w:spacing w:lineRule="auto" w:line="240" w:afterAutospacing="true" w:after="100" w:beforeAutospacing="true" w:before="100"/>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F95174"/>
    <w:rPr>
      <w:rFonts w:cs="Arial" w:eastAsia="Times New Roman" w:hAnsi="Times New Roman" w:asci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Rule="auto" w:line="240"/>
    </w:pPr>
  </w:style>
  <w:style w:customStyle="true" w:styleId="PodnojeChar" w:type="character">
    <w:name w:val="Podnožje Char"/>
    <w:basedOn w:val="Zadanifontodlomka"/>
    <w:link w:val="Podnoje"/>
    <w:uiPriority w:val="99"/>
    <w:rsid w:val="00F95174"/>
    <w:rPr>
      <w:rFonts w:cs="Arial" w:eastAsia="Times New Roman" w:hAnsi="Times New Roman" w:ascii="Times New Roman"/>
      <w:color w:themeColor="text1" w:val="000000"/>
      <w:sz w:val="21"/>
      <w:szCs w:val="20"/>
      <w:lang w:eastAsia="hr-HR"/>
    </w:rPr>
  </w:style>
  <w:style w:styleId="Tekstrezerviranogmjesta" w:type="character">
    <w:name w:val="Placeholder Text"/>
    <w:basedOn w:val="Zadanifontodlomka"/>
    <w:uiPriority w:val="99"/>
    <w:semiHidden/>
    <w:rsid w:val="00F70C94"/>
    <w:rPr>
      <w:color w:val="808080"/>
      <w:bdr w:space="0" w:sz="0" w:color="auto" w:val="none"/>
      <w:shd w:fill="auto" w:color="auto" w:val="clear"/>
    </w:rPr>
  </w:style>
  <w:style w:customStyle="true" w:styleId="eSPISCCParagraphDefaultFont" w:type="character">
    <w:name w:val="eSPIS_CC_Paragraph Default Font"/>
    <w:basedOn w:val="Zadanifontodlomka"/>
    <w:rsid w:val="00F70C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0C94"/>
    <w:rPr>
      <w:rFonts w:cs="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0C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0C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2899"/>
    <w:pPr>
      <w:spacing w:after="0" w:line="300" w:lineRule="exact"/>
      <w:jc w:val="both"/>
    </w:pPr>
    <w:rPr>
      <w:rFonts w:ascii="Times New Roman" w:cs="Arial" w:eastAsia="Times New Roman" w:hAns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2057"/>
    <w:rPr>
      <w:rFonts w:ascii="Times New Roman" w:cs="Arial" w:eastAsia="Times New Roman" w:hAnsi="Times New Roman"/>
      <w:bCs/>
      <w:color w:themeColor="text1" w:val="000000"/>
      <w:kern w:val="32"/>
      <w:sz w:val="21"/>
      <w:szCs w:val="32"/>
      <w:lang w:eastAsia="hr-HR"/>
    </w:rPr>
  </w:style>
  <w:style w:customStyle="1" w:styleId="Default" w:type="paragraph">
    <w:name w:val="Default"/>
    <w:rsid w:val="00473867"/>
    <w:pPr>
      <w:autoSpaceDE w:val="0"/>
      <w:autoSpaceDN w:val="0"/>
      <w:adjustRightInd w:val="0"/>
      <w:spacing w:after="0" w:line="240" w:lineRule="auto"/>
    </w:pPr>
    <w:rPr>
      <w:rFonts w:ascii="Arial" w:cs="Arial" w:hAnsi="Arial"/>
      <w:color w:val="000000"/>
      <w:sz w:val="24"/>
      <w:szCs w:val="24"/>
    </w:rPr>
  </w:style>
  <w:style w:customStyle="1"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240" w:lineRule="auto"/>
    </w:pPr>
    <w:rPr>
      <w:sz w:val="20"/>
    </w:rPr>
  </w:style>
  <w:style w:customStyle="1" w:styleId="TekstkomentaraChar" w:type="character">
    <w:name w:val="Tekst komentara Char"/>
    <w:basedOn w:val="Zadanifontodlomka"/>
    <w:link w:val="Tekstkomentara"/>
    <w:uiPriority w:val="99"/>
    <w:semiHidden/>
    <w:rsid w:val="00FB2CF1"/>
    <w:rPr>
      <w:rFonts w:ascii="Times New Roman" w:cs="Arial" w:eastAsia="Times New Roman" w:hAns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1" w:styleId="PredmetkomentaraChar" w:type="character">
    <w:name w:val="Predmet komentara Char"/>
    <w:basedOn w:val="TekstkomentaraChar"/>
    <w:link w:val="Predmetkomentara"/>
    <w:uiPriority w:val="99"/>
    <w:semiHidden/>
    <w:rsid w:val="00FB2CF1"/>
    <w:rPr>
      <w:rFonts w:ascii="Times New Roman" w:cs="Arial" w:eastAsia="Times New Roman" w:hAns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2CF1"/>
    <w:rPr>
      <w:rFonts w:ascii="Tahoma" w:cs="Tahoma" w:eastAsia="Times New Roman" w:hAnsi="Tahoma"/>
      <w:color w:themeColor="text1" w:val="000000"/>
      <w:sz w:val="16"/>
      <w:szCs w:val="16"/>
      <w:lang w:eastAsia="hr-HR"/>
    </w:rPr>
  </w:style>
  <w:style w:customStyle="1" w:styleId="Style2C" w:type="paragraph">
    <w:name w:val="Style2C"/>
    <w:basedOn w:val="Normal"/>
    <w:next w:val="Normal"/>
    <w:rsid w:val="00624033"/>
    <w:pPr>
      <w:keepNext/>
      <w:tabs>
        <w:tab w:leader="hyphen" w:pos="4536" w:val="center"/>
        <w:tab w:leader="hyphen" w:pos="9072" w:val="left"/>
      </w:tabs>
      <w:spacing w:line="240" w:lineRule="auto"/>
    </w:pPr>
    <w:rPr>
      <w:rFonts w:ascii="Tahoma" w:cs="Times New Roman" w:hAnsi="Tahoma"/>
      <w:b/>
      <w:color w:val="auto"/>
      <w:sz w:val="18"/>
      <w:szCs w:val="24"/>
      <w:lang w:eastAsia="en-US"/>
    </w:rPr>
  </w:style>
  <w:style w:customStyle="1" w:styleId="Bezproreda1" w:type="paragraph">
    <w:name w:val="Bez proreda1"/>
    <w:rsid w:val="00DF6DF1"/>
    <w:pPr>
      <w:suppressAutoHyphens/>
    </w:pPr>
    <w:rPr>
      <w:rFonts w:ascii="Times New Roman" w:cs="Times New Roman" w:eastAsia="Times New Roman" w:hAnsi="Times New Roman"/>
      <w:kern w:val="1"/>
      <w:sz w:val="24"/>
      <w:szCs w:val="24"/>
      <w:lang w:eastAsia="ar-SA"/>
    </w:rPr>
  </w:style>
  <w:style w:styleId="Tijeloteksta" w:type="paragraph">
    <w:name w:val="Body Text"/>
    <w:basedOn w:val="Normal"/>
    <w:link w:val="TijelotekstaChar"/>
    <w:rsid w:val="00BE7493"/>
    <w:pPr>
      <w:spacing w:line="240" w:lineRule="auto"/>
    </w:pPr>
    <w:rPr>
      <w:rFonts w:cs="Times New Roman"/>
      <w:color w:val="auto"/>
      <w:sz w:val="24"/>
      <w:szCs w:val="24"/>
    </w:rPr>
  </w:style>
  <w:style w:customStyle="1" w:styleId="TijelotekstaChar" w:type="character">
    <w:name w:val="Tijelo teksta Char"/>
    <w:basedOn w:val="Zadanifontodlomka"/>
    <w:link w:val="Tijeloteksta"/>
    <w:rsid w:val="00BE7493"/>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1" w:styleId="UvuenotijelotekstaChar" w:type="character">
    <w:name w:val="Uvučeno tijelo teksta Char"/>
    <w:basedOn w:val="Zadanifontodlomka"/>
    <w:link w:val="Uvuenotijeloteksta"/>
    <w:uiPriority w:val="99"/>
    <w:semiHidden/>
    <w:rsid w:val="006327D1"/>
    <w:rPr>
      <w:rFonts w:ascii="Times New Roman" w:cs="Arial" w:eastAsia="Times New Roman" w:hAnsi="Times New Roman"/>
      <w:color w:themeColor="text1" w:val="000000"/>
      <w:sz w:val="21"/>
      <w:szCs w:val="20"/>
      <w:lang w:eastAsia="hr-HR"/>
    </w:rPr>
  </w:style>
  <w:style w:styleId="StandardWeb" w:type="paragraph">
    <w:name w:val="Normal (Web)"/>
    <w:basedOn w:val="Normal"/>
    <w:rsid w:val="006327D1"/>
    <w:pPr>
      <w:spacing w:after="100" w:afterAutospacing="1" w:before="100" w:beforeAutospacing="1" w:line="240" w:lineRule="auto"/>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240" w:lineRule="auto"/>
    </w:pPr>
  </w:style>
  <w:style w:customStyle="1" w:styleId="ZaglavljeChar" w:type="character">
    <w:name w:val="Zaglavlje Char"/>
    <w:basedOn w:val="Zadanifontodlomka"/>
    <w:link w:val="Zaglavlje"/>
    <w:uiPriority w:val="99"/>
    <w:rsid w:val="00F95174"/>
    <w:rPr>
      <w:rFonts w:ascii="Times New Roman" w:cs="Arial" w:eastAsia="Times New Roman" w:hAns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240" w:lineRule="auto"/>
    </w:pPr>
  </w:style>
  <w:style w:customStyle="1" w:styleId="PodnojeChar" w:type="character">
    <w:name w:val="Podnožje Char"/>
    <w:basedOn w:val="Zadanifontodlomka"/>
    <w:link w:val="Podnoje"/>
    <w:uiPriority w:val="99"/>
    <w:rsid w:val="00F95174"/>
    <w:rPr>
      <w:rFonts w:ascii="Times New Roman" w:cs="Arial" w:eastAsia="Times New Roman" w:hAnsi="Times New Roman"/>
      <w:color w:themeColor="text1" w:val="000000"/>
      <w:sz w:val="21"/>
      <w:szCs w:val="20"/>
      <w:lang w:eastAsia="hr-HR"/>
    </w:rPr>
  </w:style>
  <w:style w:styleId="Tekstrezerviranogmjesta" w:type="character">
    <w:name w:val="Placeholder Text"/>
    <w:basedOn w:val="Zadanifontodlomka"/>
    <w:uiPriority w:val="99"/>
    <w:semiHidden/>
    <w:rsid w:val="00F70C94"/>
    <w:rPr>
      <w:color w:val="808080"/>
      <w:bdr w:color="auto" w:space="0" w:sz="0" w:val="none"/>
      <w:shd w:color="auto" w:fill="auto" w:val="clear"/>
    </w:rPr>
  </w:style>
  <w:style w:customStyle="1" w:styleId="eSPISCCParagraphDefaultFont" w:type="character">
    <w:name w:val="eSPIS_CC_Paragraph Default Font"/>
    <w:basedOn w:val="Zadanifontodlomka"/>
    <w:rsid w:val="00F70C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0C94"/>
    <w:rPr>
      <w:rFonts w:cs="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0C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0C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480068">
      <w:bodyDiv w:val="true"/>
      <w:marLeft w:val="0"/>
      <w:marRight w:val="0"/>
      <w:marTop w:val="0"/>
      <w:marBottom w:val="0"/>
      <w:divBdr>
        <w:top w:space="0" w:sz="0" w:color="auto" w:val="none"/>
        <w:left w:space="0" w:sz="0" w:color="auto" w:val="none"/>
        <w:bottom w:space="0" w:sz="0" w:color="auto" w:val="none"/>
        <w:right w:space="0" w:sz="0" w:color="auto" w:val="none"/>
      </w:divBdr>
    </w:div>
    <w:div w:id="561453176">
      <w:bodyDiv w:val="true"/>
      <w:marLeft w:val="0"/>
      <w:marRight w:val="0"/>
      <w:marTop w:val="0"/>
      <w:marBottom w:val="0"/>
      <w:divBdr>
        <w:top w:space="0" w:sz="0" w:color="auto" w:val="none"/>
        <w:left w:space="0" w:sz="0" w:color="auto" w:val="none"/>
        <w:bottom w:space="0" w:sz="0" w:color="auto" w:val="none"/>
        <w:right w:space="0" w:sz="0" w:color="auto" w:val="none"/>
      </w:divBdr>
    </w:div>
    <w:div w:id="1513035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5D0AF-D829-405D-8654-58C34F3F58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386</properties:Words>
  <properties:Characters>2048</properties:Characters>
  <properties:Lines>50</properties:Lines>
  <properties:Paragraphs>28</properties:Paragraphs>
  <properties:TotalTime>18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„VIII.Kupac OŠTRC d.o.o., Zagreb, Dežmanova 5, OIB: 74171273839 će kupovninu, um</vt:lpstr>
      <vt:lpstr>IX. Nakon pravomoćnosti ovog rješenja te pošto kupovnina iz točke III. izreke ov</vt:lpstr>
      <vt:lpstr>i/u zemljišne knjige Općinskog suda u Velikoj Gorici – Zemljišnoknjižni odjel Ve</vt:lpstr>
      <vt:lpstr>S obzirom na navedeno, kupac predlaže sudu da donese dopunsko rješenje kojim će</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2015-11-16T10:36:00Z</dcterms:created>
  <dc:creator>Mirna Mišetić</dc:creator>
  <cp:lastModifiedBy>Ana Golub Gruić</cp:lastModifiedBy>
  <cp:lastPrinted>2015-11-23T11:43:00Z</cp:lastPrinted>
  <dcterms:modified xmlns:xsi="http://www.w3.org/2001/XMLSchema-instance" xsi:type="dcterms:W3CDTF">2015-11-23T13:11:00Z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