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ackground w:color="FFFFFF"/>
  <w:body>
    <w:p w14:textId="ffd8624" w14:paraId="ffd8624" w:rsidRDefault="00AE6EB4" w:rsidR="00DF2444">
      <w:pPr>
        <w:pStyle w:val="Tijeloteksta"/>
        <w:spacing w:lineRule="auto" w:line="240" w:after="0"/>
        <w:ind w:right="-142"/>
        <w15:collapsed w:val="false"/>
        <w:rPr>
          <w:rFonts w:hint="eastAsia"/>
        </w:rPr>
      </w:pPr>
      <w:bookmarkStart w:name="_GoBack" w:id="0"/>
      <w:bookmarkEnd w:id="0"/>
      <w:r>
        <w:rPr>
          <w:rFonts w:cs="Times New Roman" w:hAnsi="Times New Roman" w:ascii="Times New Roman"/>
          <w:lang w:val="hr-HR"/>
        </w:rPr>
        <w:t xml:space="preserve">Na osnovu članka 227. Stečajnog zakona te Rješenja Trgovačkog suda u Zagrebu, broj </w:t>
      </w:r>
      <w:r>
        <w:rPr>
          <w:rFonts w:cs="Times New Roman" w:hAnsi="Times New Roman" w:ascii="Times New Roman"/>
        </w:rPr>
        <w:t xml:space="preserve">St-2410/17 </w:t>
      </w:r>
      <w:r>
        <w:rPr>
          <w:rFonts w:cs="Times New Roman" w:hAnsi="Times New Roman" w:ascii="Times New Roman"/>
          <w:lang w:val="hr-HR"/>
        </w:rPr>
        <w:t xml:space="preserve">od </w:t>
      </w:r>
      <w:r>
        <w:rPr>
          <w:rFonts w:cs="Times New Roman" w:hAnsi="Times New Roman" w:ascii="Times New Roman"/>
        </w:rPr>
        <w:t>08.03.2019</w:t>
      </w:r>
      <w:r>
        <w:rPr>
          <w:rFonts w:cs="Times New Roman" w:hAnsi="Times New Roman" w:ascii="Times New Roman"/>
          <w:lang w:val="hr-HR"/>
        </w:rPr>
        <w:t xml:space="preserve">. godine, stečajna upraviteljica društva </w:t>
      </w:r>
      <w:bookmarkStart w:name="_Hlk11616206" w:id="1"/>
      <w:r>
        <w:rPr>
          <w:rFonts w:cs="Times New Roman" w:hAnsi="Times New Roman" w:ascii="Times New Roman"/>
        </w:rPr>
        <w:t>KALIGRAFIJA d.o.o. u stečaju, OIB:19870761807,  Zagreb, Freudeova 3</w:t>
      </w:r>
      <w:bookmarkEnd w:id="1"/>
      <w:r>
        <w:rPr>
          <w:rFonts w:cs="Times New Roman" w:hAnsi="Times New Roman" w:ascii="Times New Roman"/>
          <w:lang w:val="hr-HR"/>
        </w:rPr>
        <w:t>, podnosi sljedeće</w:t>
      </w:r>
    </w:p>
    <w:p w:rsidRDefault="00DF2444" w:rsidR="00DF2444">
      <w:pPr>
        <w:pStyle w:val="Tijeloteksta"/>
        <w:spacing w:lineRule="auto" w:line="240" w:after="0"/>
        <w:rPr>
          <w:rFonts w:cs="Times New Roman" w:hAnsi="Times New Roman" w:ascii="Times New Roman"/>
          <w:lang w:val="hr-HR"/>
        </w:rPr>
      </w:pPr>
    </w:p>
    <w:p w:rsidRDefault="00DF2444" w:rsidR="00DF2444">
      <w:pPr>
        <w:pStyle w:val="Tijeloteksta"/>
        <w:spacing w:lineRule="auto" w:line="240" w:after="0"/>
        <w:rPr>
          <w:rFonts w:cs="Times New Roman" w:hAnsi="Times New Roman" w:ascii="Times New Roman"/>
          <w:lang w:val="hr-HR"/>
        </w:rPr>
      </w:pPr>
    </w:p>
    <w:p w:rsidRDefault="00DF2444" w:rsidR="00DF2444">
      <w:pPr>
        <w:pStyle w:val="Tijeloteksta"/>
        <w:spacing w:lineRule="auto" w:line="240" w:after="0"/>
        <w:rPr>
          <w:rFonts w:cs="Times New Roman" w:hAnsi="Times New Roman" w:ascii="Times New Roman"/>
          <w:lang w:val="hr-HR"/>
        </w:rPr>
      </w:pPr>
    </w:p>
    <w:p w:rsidRDefault="00DF2444" w:rsidR="00DF2444">
      <w:pPr>
        <w:pStyle w:val="Tijeloteksta"/>
        <w:spacing w:lineRule="auto" w:line="240" w:after="0"/>
        <w:rPr>
          <w:rFonts w:cs="Times New Roman" w:hAnsi="Times New Roman" w:ascii="Times New Roman"/>
          <w:lang w:val="hr-HR"/>
        </w:rPr>
      </w:pPr>
    </w:p>
    <w:p w:rsidRDefault="00AE6EB4" w:rsidR="00DF2444">
      <w:pPr>
        <w:pStyle w:val="Tijeloteksta"/>
        <w:spacing w:lineRule="auto" w:line="240" w:after="0"/>
        <w:jc w:val="center"/>
        <w:rPr>
          <w:rFonts w:hint="eastAsia"/>
        </w:rPr>
      </w:pPr>
      <w:r>
        <w:rPr>
          <w:rFonts w:cs="Times New Roman" w:hAnsi="Times New Roman" w:ascii="Times New Roman"/>
          <w:b/>
          <w:lang w:val="hr-HR"/>
        </w:rPr>
        <w:t>IZVJEŠĆE</w:t>
      </w:r>
    </w:p>
    <w:p w:rsidRDefault="00AE6EB4" w:rsidR="00DF2444">
      <w:pPr>
        <w:pStyle w:val="Tijeloteksta"/>
        <w:spacing w:lineRule="auto" w:line="240" w:after="0"/>
        <w:jc w:val="center"/>
        <w:rPr>
          <w:rFonts w:hint="eastAsia"/>
        </w:rPr>
      </w:pPr>
      <w:r>
        <w:rPr>
          <w:rFonts w:cs="Times New Roman" w:hAnsi="Times New Roman" w:ascii="Times New Roman"/>
          <w:b/>
          <w:lang w:val="hr-HR"/>
        </w:rPr>
        <w:t>O GOSPODARSKOM POLOŽAJU STEČAJNOG DUŽNIKA I NJEGOVIM UZROCIMA</w:t>
      </w:r>
    </w:p>
    <w:p w:rsidRDefault="00DF2444" w:rsidR="00DF2444">
      <w:pPr>
        <w:pStyle w:val="Tijeloteksta"/>
        <w:spacing w:lineRule="auto" w:line="240" w:after="0"/>
        <w:jc w:val="center"/>
        <w:rPr>
          <w:rFonts w:cs="Times New Roman" w:hAnsi="Times New Roman" w:ascii="Times New Roman"/>
          <w:b/>
          <w:lang w:val="hr-HR"/>
        </w:rPr>
      </w:pPr>
    </w:p>
    <w:p w:rsidRDefault="00DF2444" w:rsidR="00DF2444">
      <w:pPr>
        <w:pStyle w:val="Tijeloteksta"/>
        <w:spacing w:lineRule="auto" w:line="240" w:after="0"/>
        <w:rPr>
          <w:rFonts w:cs="Times New Roman" w:hAnsi="Times New Roman" w:ascii="Times New Roman"/>
          <w:b/>
          <w:lang w:val="hr-HR"/>
        </w:rPr>
      </w:pPr>
    </w:p>
    <w:p w:rsidRDefault="00AE6EB4" w:rsidR="00DF2444">
      <w:pPr>
        <w:pStyle w:val="Tijeloteksta"/>
        <w:spacing w:lineRule="auto" w:line="240" w:after="0"/>
        <w:ind w:left="360"/>
        <w:rPr>
          <w:rFonts w:hint="eastAsia"/>
        </w:rPr>
      </w:pPr>
      <w:r>
        <w:rPr>
          <w:rFonts w:cs="Times New Roman" w:hAnsi="Times New Roman" w:ascii="Times New Roman"/>
          <w:b/>
          <w:lang w:val="hr-HR"/>
        </w:rPr>
        <w:t>1.UVODNE NAPOMENE</w:t>
      </w:r>
    </w:p>
    <w:p w:rsidRDefault="00DF2444" w:rsidR="00DF2444">
      <w:pPr>
        <w:pStyle w:val="Tijeloteksta"/>
        <w:spacing w:lineRule="auto" w:line="240" w:after="0"/>
        <w:rPr>
          <w:rFonts w:cs="Times New Roman" w:hAnsi="Times New Roman" w:ascii="Times New Roman"/>
          <w:b/>
          <w:lang w:val="hr-HR"/>
        </w:rPr>
      </w:pPr>
    </w:p>
    <w:p w:rsidRDefault="00AE6EB4" w:rsidR="00DF2444">
      <w:pPr>
        <w:pStyle w:val="Tijeloteksta"/>
        <w:spacing w:lineRule="auto" w:line="240" w:after="0"/>
        <w:rPr>
          <w:rFonts w:hint="eastAsia"/>
        </w:rPr>
      </w:pPr>
      <w:r>
        <w:rPr>
          <w:rFonts w:cs="Times New Roman" w:eastAsia="Times New Roman" w:hAnsi="Times New Roman" w:ascii="Times New Roman"/>
          <w:lang w:eastAsia="hr-HR" w:val="hr-HR"/>
        </w:rPr>
        <w:t xml:space="preserve"> Financijska agencija podnijela je zahtjev za provedbu skraćenog stečajnog postupka nad dužnikom, a na temelju odredbe čl. 444. st. 1. Stečajnog zakona. </w:t>
      </w:r>
    </w:p>
    <w:p w:rsidRDefault="00AE6EB4" w:rsidR="00DF2444">
      <w:pPr>
        <w:pStyle w:val="Tijeloteksta"/>
        <w:spacing w:lineRule="auto" w:line="240" w:after="0"/>
        <w:rPr>
          <w:rFonts w:hint="eastAsia"/>
        </w:rPr>
      </w:pPr>
      <w:r>
        <w:rPr>
          <w:rFonts w:cs="Times New Roman" w:eastAsia="Times New Roman" w:hAnsi="Times New Roman" w:ascii="Times New Roman"/>
          <w:lang w:eastAsia="hr-HR" w:val="hr-HR"/>
        </w:rPr>
        <w:t xml:space="preserve">Pravomoćnim rješenjem ovoga suda poslovni broj </w:t>
      </w:r>
      <w:r>
        <w:rPr>
          <w:rFonts w:cs="Times New Roman" w:hAnsi="Times New Roman" w:ascii="Times New Roman"/>
          <w:lang w:val="pl-PL"/>
        </w:rPr>
        <w:t xml:space="preserve">St-6108/2015 </w:t>
      </w:r>
      <w:r>
        <w:rPr>
          <w:rFonts w:cs="Times New Roman" w:eastAsia="Times New Roman" w:hAnsi="Times New Roman" w:ascii="Times New Roman"/>
          <w:lang w:eastAsia="hr-HR" w:val="hr-HR"/>
        </w:rPr>
        <w:t>od 07. travnja 2017. obustavljen je skraćeni stečajni postupak nad dužnikom na temelju odredaba čl. 433. SZ-a jer su vjerovnici</w:t>
      </w:r>
      <w:r>
        <w:rPr>
          <w:rFonts w:cs="Times New Roman" w:hAnsi="Times New Roman" w:ascii="Times New Roman"/>
          <w:lang w:val="hr-HR"/>
        </w:rPr>
        <w:t xml:space="preserve"> Nina Berić, Republika Hrvatska po Županijskom državnom odvjetništvu u Zagrebu i PBZ d.d.</w:t>
      </w:r>
      <w:r>
        <w:rPr>
          <w:rFonts w:cs="Times New Roman" w:eastAsia="Times New Roman" w:hAnsi="Times New Roman" w:ascii="Times New Roman"/>
          <w:lang w:eastAsia="hr-HR" w:val="hr-HR"/>
        </w:rPr>
        <w:t xml:space="preserve"> podnijeli prijedlog za otvaranje stečajnog postupka nad dužnikom. Vjerovnik PBZ d.d. je dana </w:t>
      </w:r>
      <w:r>
        <w:rPr>
          <w:rFonts w:cs="Times New Roman" w:hAnsi="Times New Roman" w:ascii="Times New Roman"/>
          <w:lang w:val="hr-HR"/>
        </w:rPr>
        <w:t>01.12.2016.g. uplatio predujam za vođenje ovog postupka.</w:t>
      </w:r>
    </w:p>
    <w:p w:rsidRDefault="00DF2444" w:rsidR="00DF2444">
      <w:pPr>
        <w:pStyle w:val="Tijeloteksta"/>
        <w:spacing w:lineRule="auto" w:line="240" w:after="0"/>
        <w:rPr>
          <w:rFonts w:cs="Times New Roman" w:hAnsi="Times New Roman" w:ascii="Times New Roman"/>
          <w:lang w:val="hr-HR"/>
        </w:rPr>
      </w:pPr>
    </w:p>
    <w:p w:rsidRDefault="00AE6EB4" w:rsidR="00DF2444">
      <w:pPr>
        <w:pStyle w:val="Tijeloteksta"/>
        <w:spacing w:lineRule="auto" w:line="240" w:after="0"/>
        <w:rPr>
          <w:rFonts w:hint="eastAsia"/>
        </w:rPr>
      </w:pPr>
      <w:r>
        <w:rPr>
          <w:rFonts w:cs="Times New Roman" w:hAnsi="Times New Roman" w:ascii="Times New Roman"/>
          <w:lang w:val="hr-HR"/>
        </w:rPr>
        <w:t xml:space="preserve">Kako su ostvareni stečajni razlozi sukladno Stečajnom zakonu, Trgovački sud u Zagrebu otvorio je dana 8.ožujka 2019. godine stečajni postupak nad stečajnim dužnikom KALIGRAFIJA d.o.o. </w:t>
      </w:r>
    </w:p>
    <w:p w:rsidRDefault="00DF2444" w:rsidR="00DF2444">
      <w:pPr>
        <w:pStyle w:val="Tijeloteksta"/>
        <w:spacing w:lineRule="auto" w:line="240" w:after="0"/>
        <w:rPr>
          <w:rFonts w:cs="Times New Roman" w:hAnsi="Times New Roman" w:ascii="Times New Roman"/>
          <w:lang w:val="hr-HR"/>
        </w:rPr>
      </w:pPr>
    </w:p>
    <w:p w:rsidRDefault="00AE6EB4" w:rsidR="00DF2444">
      <w:pPr>
        <w:pStyle w:val="Tijeloteksta"/>
        <w:spacing w:lineRule="auto" w:line="240" w:after="0"/>
        <w:ind w:left="360"/>
        <w:rPr>
          <w:rFonts w:hint="eastAsia"/>
        </w:rPr>
      </w:pPr>
      <w:r>
        <w:rPr>
          <w:rFonts w:cs="Times New Roman" w:hAnsi="Times New Roman" w:ascii="Times New Roman"/>
          <w:b/>
          <w:lang w:val="hr-HR"/>
        </w:rPr>
        <w:t>2. OSNOVNI PODACI O STEČAJNOM DUŽNIKU</w:t>
      </w:r>
    </w:p>
    <w:p w:rsidRDefault="00DF2444" w:rsidR="00DF2444">
      <w:pPr>
        <w:rPr>
          <w:rFonts w:cs="Times New Roman" w:hAnsi="Times New Roman" w:ascii="Times New Roman"/>
          <w:lang w:val="hr-HR"/>
        </w:rPr>
      </w:pPr>
    </w:p>
    <w:p w:rsidRDefault="00AE6EB4" w:rsidR="00DF2444">
      <w:pPr>
        <w:rPr>
          <w:rFonts w:hint="eastAsia"/>
        </w:rPr>
      </w:pPr>
      <w:r>
        <w:rPr>
          <w:rFonts w:cs="Times New Roman" w:hAnsi="Times New Roman" w:ascii="Times New Roman"/>
          <w:lang w:val="hr-HR"/>
        </w:rPr>
        <w:t>Pravni oblik: društvo s ograničenom odgovornošću.</w:t>
      </w:r>
      <w:r>
        <w:rPr>
          <w:rFonts w:cs="Times New Roman" w:hAnsi="Times New Roman" w:ascii="Times New Roman"/>
          <w:lang w:val="hr-HR"/>
        </w:rPr>
        <w:tab/>
      </w:r>
    </w:p>
    <w:p w:rsidRDefault="00DF2444" w:rsidR="00DF2444">
      <w:pPr>
        <w:rPr>
          <w:rFonts w:cs="Times New Roman" w:hAnsi="Times New Roman" w:ascii="Times New Roman"/>
          <w:lang w:val="hr-HR"/>
        </w:rPr>
      </w:pPr>
    </w:p>
    <w:p w:rsidRDefault="00AE6EB4" w:rsidR="00DF2444">
      <w:pPr>
        <w:rPr>
          <w:rFonts w:hint="eastAsia"/>
        </w:rPr>
      </w:pPr>
      <w:r>
        <w:rPr>
          <w:rFonts w:cs="Times New Roman" w:hAnsi="Times New Roman" w:ascii="Times New Roman"/>
          <w:lang w:val="hr-HR"/>
        </w:rPr>
        <w:t xml:space="preserve">Društvo je osnovano Izjavom o osnivanju društva s ograničenom odgovornošću od 16.srpnja 2010.godine. </w:t>
      </w:r>
    </w:p>
    <w:p w:rsidRDefault="00AE6EB4" w:rsidR="00DF2444">
      <w:pPr>
        <w:rPr>
          <w:rFonts w:hint="eastAsia"/>
        </w:rPr>
      </w:pPr>
      <w:r>
        <w:rPr>
          <w:rFonts w:cs="Times New Roman" w:hAnsi="Times New Roman" w:ascii="Times New Roman"/>
          <w:lang w:val="hr-HR"/>
        </w:rPr>
        <w:t xml:space="preserve">Jedini osnivač društva je </w:t>
      </w:r>
      <w:r>
        <w:rPr>
          <w:rFonts w:cs="Times New Roman" w:hAnsi="Times New Roman" w:ascii="Times New Roman"/>
          <w:color w:val="000000"/>
          <w:spacing w:val="3"/>
        </w:rPr>
        <w:t xml:space="preserve">Walter Alexander Reyes-Illescas, OIB: 18642796262, Sjedinjene Američke Države, Los Angeles, Marathon Street 2146 </w:t>
      </w:r>
      <w:r>
        <w:rPr>
          <w:rFonts w:cs="Times New Roman" w:hAnsi="Times New Roman" w:ascii="Times New Roman"/>
          <w:color w:val="000000"/>
          <w:spacing w:val="3"/>
          <w:lang w:val="hr-HR"/>
        </w:rPr>
        <w:t>koji je ujedno bio i direktor društva.</w:t>
      </w:r>
    </w:p>
    <w:p w:rsidRDefault="00AE6EB4" w:rsidR="00DF2444">
      <w:pPr>
        <w:shd w:fill="FFFFFF" w:color="auto" w:val="clear"/>
        <w:jc w:val="both"/>
        <w:rPr>
          <w:rFonts w:hint="eastAsia"/>
        </w:rPr>
      </w:pPr>
      <w:r>
        <w:rPr>
          <w:rFonts w:cs="Times New Roman" w:hAnsi="Times New Roman" w:ascii="Times New Roman"/>
          <w:color w:val="000000"/>
          <w:spacing w:val="3"/>
          <w:lang w:val="hr-HR"/>
        </w:rPr>
        <w:t>Temeljni kapital društva: 20.000,00 kuna.</w:t>
      </w:r>
    </w:p>
    <w:p w:rsidRDefault="00DF2444" w:rsidR="00DF2444">
      <w:pPr>
        <w:shd w:fill="FFFFFF" w:color="auto" w:val="clear"/>
        <w:jc w:val="both"/>
        <w:rPr>
          <w:rFonts w:cs="Times New Roman" w:hAnsi="Times New Roman" w:ascii="Times New Roman"/>
          <w:lang w:val="hr-HR"/>
        </w:rPr>
      </w:pPr>
    </w:p>
    <w:p w:rsidRDefault="00AE6EB4" w:rsidR="00DF2444">
      <w:pPr>
        <w:pStyle w:val="Tijeloteksta"/>
        <w:spacing w:lineRule="auto" w:line="240" w:after="0"/>
        <w:ind w:left="360"/>
        <w:rPr>
          <w:rFonts w:hint="eastAsia"/>
        </w:rPr>
      </w:pPr>
      <w:r>
        <w:rPr>
          <w:rFonts w:cs="Times New Roman" w:hAnsi="Times New Roman" w:ascii="Times New Roman"/>
          <w:b/>
          <w:lang w:val="hr-HR"/>
        </w:rPr>
        <w:t>3. RADNI ODNOSI I NASTAVAK POSLOVANJA</w:t>
      </w:r>
    </w:p>
    <w:p w:rsidRDefault="00DF2444" w:rsidR="00DF2444">
      <w:pPr>
        <w:pStyle w:val="Tijeloteksta"/>
        <w:spacing w:lineRule="auto" w:line="240" w:after="0"/>
        <w:rPr>
          <w:rFonts w:cs="Times New Roman" w:hAnsi="Times New Roman" w:ascii="Times New Roman"/>
          <w:lang w:val="hr-HR"/>
        </w:rPr>
      </w:pPr>
    </w:p>
    <w:p w:rsidRDefault="00AE6EB4" w:rsidR="00DF2444">
      <w:pPr>
        <w:pStyle w:val="Tijeloteksta"/>
        <w:spacing w:lineRule="auto" w:line="240" w:after="0"/>
        <w:rPr>
          <w:rFonts w:hint="eastAsia"/>
        </w:rPr>
      </w:pPr>
      <w:r>
        <w:rPr>
          <w:rFonts w:cs="Times New Roman" w:hAnsi="Times New Roman" w:ascii="Times New Roman"/>
          <w:lang w:val="hr-HR"/>
        </w:rPr>
        <w:t>Kod stupanja na dužnost stečajna upraviteljica je utvrdila da u društvu  nema zaposlenih radnika, a što proizlazi i iz potvrde Hrvatskog zavoda za mirovinsko osiguranje od dana 25.03.2019.g. u kojoj se navodi da je zadnji zaposlenik odjavljen dana 30.11.2011.g.</w:t>
      </w:r>
    </w:p>
    <w:p w:rsidRDefault="00DF2444" w:rsidR="00DF2444">
      <w:pPr>
        <w:pStyle w:val="Tijeloteksta"/>
        <w:spacing w:lineRule="auto" w:line="240" w:after="0"/>
        <w:rPr>
          <w:rFonts w:cs="Times New Roman" w:hAnsi="Times New Roman" w:ascii="Times New Roman"/>
          <w:lang w:val="hr-HR"/>
        </w:rPr>
      </w:pPr>
    </w:p>
    <w:p w:rsidRDefault="00AE6EB4" w:rsidR="00DF2444">
      <w:pPr>
        <w:pStyle w:val="Tijeloteksta"/>
        <w:spacing w:lineRule="auto" w:line="240" w:after="0"/>
        <w:rPr>
          <w:rFonts w:hint="eastAsia"/>
        </w:rPr>
      </w:pPr>
      <w:r>
        <w:rPr>
          <w:rFonts w:cs="Times New Roman" w:hAnsi="Times New Roman" w:ascii="Times New Roman"/>
          <w:lang w:val="hr-HR"/>
        </w:rPr>
        <w:t xml:space="preserve">Ocjenjeno je da  stečajni dužnik </w:t>
      </w:r>
      <w:r>
        <w:rPr>
          <w:rFonts w:cs="Times New Roman" w:hAnsi="Times New Roman" w:ascii="Times New Roman"/>
          <w:b/>
          <w:bCs/>
          <w:lang w:val="hr-HR"/>
        </w:rPr>
        <w:t xml:space="preserve">ne </w:t>
      </w:r>
      <w:r>
        <w:rPr>
          <w:rFonts w:cs="Times New Roman" w:hAnsi="Times New Roman" w:ascii="Times New Roman"/>
          <w:b/>
          <w:lang w:val="hr-HR"/>
        </w:rPr>
        <w:t>treba nastaviti obavljati svoju registriranu djelatnost</w:t>
      </w:r>
      <w:r>
        <w:rPr>
          <w:rFonts w:cs="Times New Roman" w:hAnsi="Times New Roman" w:ascii="Times New Roman"/>
          <w:lang w:val="hr-HR"/>
        </w:rPr>
        <w:t xml:space="preserve"> iz razloga što se ne mogu stvoriti prihodi iz kojih  bi se mogli u cijelosti isplaćivati troškovi stečajnog postupka, a niti bi se u konačnici omogućilo  vjerovnicima bolje namirenje njihovih potraživanja.</w:t>
      </w:r>
    </w:p>
    <w:p w:rsidRDefault="00DF2444" w:rsidR="00DF2444">
      <w:pPr>
        <w:pStyle w:val="Tijeloteksta"/>
        <w:spacing w:lineRule="auto" w:line="240" w:after="0"/>
        <w:rPr>
          <w:rFonts w:cs="Times New Roman" w:hAnsi="Times New Roman" w:ascii="Times New Roman"/>
          <w:lang w:val="hr-HR"/>
        </w:rPr>
      </w:pPr>
    </w:p>
    <w:p w:rsidRDefault="00DF2444" w:rsidR="00DF2444">
      <w:pPr>
        <w:pStyle w:val="Tijeloteksta"/>
        <w:spacing w:lineRule="auto" w:line="240" w:after="0"/>
        <w:rPr>
          <w:rFonts w:cs="Times New Roman" w:hAnsi="Times New Roman" w:ascii="Times New Roman"/>
          <w:lang w:val="hr-HR"/>
        </w:rPr>
      </w:pPr>
    </w:p>
    <w:p w:rsidRDefault="00AE6EB4" w:rsidR="00DF2444">
      <w:pPr>
        <w:pStyle w:val="Tijeloteksta"/>
        <w:spacing w:lineRule="auto" w:line="240" w:after="0"/>
        <w:ind w:left="360"/>
        <w:rPr>
          <w:rFonts w:hint="eastAsia"/>
        </w:rPr>
      </w:pPr>
      <w:r>
        <w:rPr>
          <w:rFonts w:cs="Times New Roman" w:hAnsi="Times New Roman" w:ascii="Times New Roman"/>
          <w:b/>
          <w:lang w:val="hr-HR"/>
        </w:rPr>
        <w:lastRenderedPageBreak/>
        <w:t xml:space="preserve">4. PODUZETE AKTIVNOSTI OD OTVARANJA STEČAJNOG POSTUPKA </w:t>
      </w:r>
    </w:p>
    <w:p w:rsidRDefault="00DF2444" w:rsidR="00DF2444">
      <w:pPr>
        <w:pStyle w:val="Tijeloteksta"/>
        <w:spacing w:lineRule="auto" w:line="240" w:after="0"/>
        <w:rPr>
          <w:rFonts w:cs="Times New Roman" w:hAnsi="Times New Roman" w:ascii="Times New Roman"/>
          <w:b/>
          <w:lang w:val="hr-HR"/>
        </w:rPr>
      </w:pPr>
    </w:p>
    <w:p w:rsidRDefault="00AE6EB4" w:rsidR="00DF2444">
      <w:pPr>
        <w:pStyle w:val="Tijeloteksta"/>
        <w:spacing w:lineRule="auto" w:line="240" w:after="0"/>
        <w:rPr>
          <w:rFonts w:hint="eastAsia"/>
        </w:rPr>
      </w:pPr>
      <w:r>
        <w:rPr>
          <w:rFonts w:cs="Times New Roman" w:hAnsi="Times New Roman" w:ascii="Times New Roman"/>
          <w:lang w:val="hr-HR"/>
        </w:rPr>
        <w:t>Nakon otvaranja stečajnog postupka poduzela sam sljedeće aktivnosti:</w:t>
      </w:r>
    </w:p>
    <w:p w:rsidRDefault="00DF2444" w:rsidR="00DF2444">
      <w:pPr>
        <w:pStyle w:val="Tijeloteksta"/>
        <w:spacing w:lineRule="auto" w:line="240" w:after="0"/>
        <w:rPr>
          <w:rFonts w:cs="Times New Roman" w:hAnsi="Times New Roman" w:ascii="Times New Roman"/>
          <w:lang w:val="hr-HR"/>
        </w:rPr>
      </w:pPr>
    </w:p>
    <w:p w:rsidRDefault="00DF2444" w:rsidR="00DF2444">
      <w:pPr>
        <w:pStyle w:val="Tijeloteksta"/>
        <w:spacing w:lineRule="auto" w:line="240" w:after="0"/>
        <w:rPr>
          <w:rFonts w:cs="Times New Roman" w:hAnsi="Times New Roman" w:ascii="Times New Roman"/>
          <w:lang w:val="hr-HR"/>
        </w:rPr>
      </w:pPr>
    </w:p>
    <w:p w:rsidRDefault="00AE6EB4" w:rsidR="00DF2444">
      <w:pPr>
        <w:pStyle w:val="Tijeloteksta"/>
        <w:numPr>
          <w:ilvl w:val="0"/>
          <w:numId w:val="2"/>
        </w:numPr>
        <w:spacing w:lineRule="auto" w:line="240" w:after="0"/>
        <w:ind w:firstLine="0" w:left="0"/>
        <w:rPr>
          <w:rFonts w:hint="eastAsia"/>
        </w:rPr>
      </w:pPr>
      <w:r>
        <w:rPr>
          <w:rFonts w:cs="Times New Roman" w:hAnsi="Times New Roman" w:ascii="Times New Roman"/>
          <w:lang w:val="hr-HR"/>
        </w:rPr>
        <w:t>Napravila sam žig sa naznakom tvrtke u stečaju, a poslovni račun ću otvoriti naknadno, neposredno prije unovčenja imovine stečajnog dužnika.</w:t>
      </w:r>
    </w:p>
    <w:p w:rsidRDefault="00AE6EB4" w:rsidR="00DF2444">
      <w:pPr>
        <w:pStyle w:val="Tijeloteksta"/>
        <w:spacing w:lineRule="auto" w:line="240" w:after="0"/>
        <w:rPr>
          <w:rFonts w:hint="eastAsia"/>
        </w:rPr>
      </w:pPr>
      <w:r>
        <w:rPr>
          <w:rFonts w:cs="Times New Roman" w:eastAsia="Times New Roman" w:hAnsi="Times New Roman" w:ascii="Times New Roman"/>
          <w:lang w:val="hr-HR"/>
        </w:rPr>
        <w:t xml:space="preserve"> </w:t>
      </w:r>
    </w:p>
    <w:p w:rsidRDefault="00AE6EB4" w:rsidR="00DF2444">
      <w:pPr>
        <w:pStyle w:val="Tijeloteksta"/>
        <w:numPr>
          <w:ilvl w:val="0"/>
          <w:numId w:val="2"/>
        </w:numPr>
        <w:spacing w:lineRule="auto" w:line="240" w:after="0"/>
        <w:ind w:firstLine="0" w:left="0"/>
        <w:rPr>
          <w:rFonts w:hint="eastAsia"/>
        </w:rPr>
      </w:pPr>
      <w:r>
        <w:rPr>
          <w:rFonts w:cs="Times New Roman" w:hAnsi="Times New Roman" w:ascii="Times New Roman"/>
          <w:lang w:val="hr-HR"/>
        </w:rPr>
        <w:t>Poduzela sam sve potrebne aktivnosti oko sređivanja očevidnika knjigovodstvenih podataka Dužnika do dana otvaranja stečajnog postupka.</w:t>
      </w:r>
    </w:p>
    <w:p w:rsidRDefault="00DF2444" w:rsidR="00DF2444">
      <w:pPr>
        <w:pStyle w:val="Odlomakpopisa1"/>
        <w:rPr>
          <w:rFonts w:cs="Times New Roman" w:hAnsi="Times New Roman" w:ascii="Times New Roman"/>
          <w:szCs w:val="24"/>
          <w:lang w:val="hr-HR"/>
        </w:rPr>
      </w:pPr>
    </w:p>
    <w:p w:rsidRDefault="00AE6EB4" w:rsidR="00DF2444">
      <w:pPr>
        <w:pStyle w:val="Tijeloteksta"/>
        <w:numPr>
          <w:ilvl w:val="0"/>
          <w:numId w:val="2"/>
        </w:numPr>
        <w:spacing w:lineRule="auto" w:line="240" w:after="0"/>
        <w:ind w:firstLine="0" w:left="0"/>
        <w:rPr>
          <w:rFonts w:hint="eastAsia"/>
        </w:rPr>
      </w:pPr>
      <w:r>
        <w:rPr>
          <w:rFonts w:cs="Times New Roman" w:hAnsi="Times New Roman" w:ascii="Times New Roman"/>
          <w:lang w:val="hr-HR"/>
        </w:rPr>
        <w:t>Stupila sam u kontakt sa bivšim punomoćnikom stečajnog dužnika koji mi je dostavio izvješće o aktivnim predmetima u kojima je zastupao stečajnog dužnika.</w:t>
      </w:r>
    </w:p>
    <w:p w:rsidRDefault="00DF2444" w:rsidR="00DF2444">
      <w:pPr>
        <w:pStyle w:val="Tijeloteksta"/>
        <w:spacing w:lineRule="auto" w:line="240" w:after="0"/>
        <w:rPr>
          <w:rFonts w:cs="Times New Roman" w:hAnsi="Times New Roman" w:ascii="Times New Roman"/>
          <w:lang w:val="hr-HR"/>
        </w:rPr>
      </w:pPr>
    </w:p>
    <w:p w:rsidRDefault="00AE6EB4" w:rsidR="00DF2444">
      <w:pPr>
        <w:pStyle w:val="Tijeloteksta"/>
        <w:numPr>
          <w:ilvl w:val="0"/>
          <w:numId w:val="2"/>
        </w:numPr>
        <w:spacing w:lineRule="auto" w:line="240" w:after="0"/>
        <w:ind w:firstLine="0" w:left="0"/>
        <w:rPr>
          <w:rFonts w:hint="eastAsia"/>
        </w:rPr>
      </w:pPr>
      <w:r>
        <w:rPr>
          <w:rFonts w:cs="Times New Roman" w:hAnsi="Times New Roman" w:ascii="Times New Roman"/>
          <w:lang w:val="hr-HR"/>
        </w:rPr>
        <w:t>Pokušala sam kontaktirati bivšeg zakonskog zastupnika dužnika, ali do dana sastavljanja ovog izvješća taj kontakt nije ostvaren.</w:t>
      </w:r>
    </w:p>
    <w:p w:rsidRDefault="00DF2444" w:rsidR="00DF2444">
      <w:pPr>
        <w:pStyle w:val="Tijeloteksta"/>
        <w:spacing w:lineRule="auto" w:line="240" w:after="0"/>
        <w:rPr>
          <w:rFonts w:cs="Times New Roman" w:hAnsi="Times New Roman" w:ascii="Times New Roman"/>
          <w:lang w:val="hr-HR"/>
        </w:rPr>
      </w:pPr>
    </w:p>
    <w:p w:rsidRDefault="00AE6EB4" w:rsidR="00DF2444">
      <w:pPr>
        <w:pStyle w:val="Tijeloteksta"/>
        <w:numPr>
          <w:ilvl w:val="0"/>
          <w:numId w:val="2"/>
        </w:numPr>
        <w:spacing w:lineRule="auto" w:line="240" w:after="0"/>
        <w:ind w:firstLine="0" w:left="0"/>
        <w:rPr>
          <w:rFonts w:hint="eastAsia"/>
        </w:rPr>
      </w:pPr>
      <w:r>
        <w:rPr>
          <w:rFonts w:cs="Times New Roman" w:hAnsi="Times New Roman" w:ascii="Times New Roman"/>
          <w:lang w:val="hr-HR"/>
        </w:rPr>
        <w:t>Angažirala sam knjigovodstveni servis Luciante d.o.o.</w:t>
      </w:r>
    </w:p>
    <w:p w:rsidRDefault="00DF2444" w:rsidR="00DF2444">
      <w:pPr>
        <w:pStyle w:val="Tijeloteksta"/>
        <w:spacing w:lineRule="auto" w:line="240" w:after="0"/>
        <w:rPr>
          <w:rFonts w:cs="Times New Roman" w:hAnsi="Times New Roman" w:ascii="Times New Roman"/>
          <w:lang w:val="hr-HR"/>
        </w:rPr>
      </w:pPr>
    </w:p>
    <w:p w:rsidRDefault="00AE6EB4" w:rsidR="00DF2444">
      <w:pPr>
        <w:pStyle w:val="Tijeloteksta"/>
        <w:numPr>
          <w:ilvl w:val="0"/>
          <w:numId w:val="2"/>
        </w:numPr>
        <w:spacing w:lineRule="auto" w:line="240" w:after="0"/>
        <w:ind w:firstLine="0" w:left="0"/>
        <w:rPr>
          <w:rFonts w:hint="eastAsia"/>
        </w:rPr>
      </w:pPr>
      <w:r>
        <w:rPr>
          <w:rFonts w:cs="Times New Roman" w:hAnsi="Times New Roman" w:ascii="Times New Roman"/>
          <w:lang w:val="hr-HR"/>
        </w:rPr>
        <w:t>Izrađen je popis vjerovnika stečajnog dužnika.</w:t>
      </w:r>
    </w:p>
    <w:p w:rsidRDefault="00DF2444" w:rsidR="00DF2444">
      <w:pPr>
        <w:pStyle w:val="Tijeloteksta"/>
        <w:spacing w:lineRule="auto" w:line="240" w:after="0"/>
        <w:rPr>
          <w:rFonts w:cs="Times New Roman" w:hAnsi="Times New Roman" w:ascii="Times New Roman"/>
          <w:lang w:val="hr-HR"/>
        </w:rPr>
      </w:pPr>
    </w:p>
    <w:p w:rsidRDefault="00AE6EB4" w:rsidR="00DF2444">
      <w:pPr>
        <w:pStyle w:val="Tijeloteksta"/>
        <w:numPr>
          <w:ilvl w:val="0"/>
          <w:numId w:val="2"/>
        </w:numPr>
        <w:spacing w:lineRule="auto" w:line="240" w:after="0"/>
        <w:ind w:firstLine="0" w:left="0"/>
        <w:rPr>
          <w:rFonts w:hint="eastAsia"/>
        </w:rPr>
      </w:pPr>
      <w:r>
        <w:rPr>
          <w:rFonts w:cs="Times New Roman" w:hAnsi="Times New Roman" w:ascii="Times New Roman"/>
          <w:lang w:val="hr-HR"/>
        </w:rPr>
        <w:t>Izrađen je pregled obveza stečajnog dužnika.</w:t>
      </w:r>
    </w:p>
    <w:p w:rsidRDefault="00DF2444" w:rsidR="00DF2444">
      <w:pPr>
        <w:pStyle w:val="Tijeloteksta"/>
        <w:spacing w:lineRule="auto" w:line="240" w:after="0"/>
        <w:rPr>
          <w:rFonts w:cs="Times New Roman" w:hAnsi="Times New Roman" w:ascii="Times New Roman"/>
          <w:lang w:val="hr-HR"/>
        </w:rPr>
      </w:pPr>
    </w:p>
    <w:p w:rsidRDefault="00AE6EB4" w:rsidR="00DF2444">
      <w:pPr>
        <w:pStyle w:val="Tijeloteksta"/>
        <w:numPr>
          <w:ilvl w:val="0"/>
          <w:numId w:val="2"/>
        </w:numPr>
        <w:spacing w:lineRule="auto" w:line="240" w:after="0"/>
        <w:ind w:firstLine="0" w:left="0"/>
        <w:rPr>
          <w:rFonts w:hint="eastAsia"/>
        </w:rPr>
      </w:pPr>
      <w:r>
        <w:rPr>
          <w:rFonts w:cs="Times New Roman" w:hAnsi="Times New Roman" w:ascii="Times New Roman"/>
          <w:lang w:val="hr-HR"/>
        </w:rPr>
        <w:t>Sastavljeno je izvješće o gospodarskom stanju stečajnog dužnika.</w:t>
      </w:r>
    </w:p>
    <w:p w:rsidRDefault="00DF2444" w:rsidR="00DF2444">
      <w:pPr>
        <w:pStyle w:val="Tijeloteksta"/>
        <w:spacing w:lineRule="auto" w:line="240" w:after="0"/>
        <w:rPr>
          <w:rFonts w:cs="Times New Roman" w:hAnsi="Times New Roman" w:ascii="Times New Roman"/>
          <w:lang w:val="hr-HR"/>
        </w:rPr>
      </w:pPr>
    </w:p>
    <w:p w:rsidRDefault="00AE6EB4" w:rsidR="00DF2444">
      <w:pPr>
        <w:pStyle w:val="Tijeloteksta"/>
        <w:numPr>
          <w:ilvl w:val="0"/>
          <w:numId w:val="2"/>
        </w:numPr>
        <w:spacing w:lineRule="auto" w:line="240" w:after="0"/>
        <w:ind w:firstLine="0" w:left="0"/>
        <w:rPr>
          <w:rFonts w:hint="eastAsia"/>
        </w:rPr>
      </w:pPr>
      <w:r>
        <w:rPr>
          <w:rFonts w:cs="Times New Roman" w:hAnsi="Times New Roman" w:ascii="Times New Roman"/>
          <w:lang w:val="hr-HR"/>
        </w:rPr>
        <w:t xml:space="preserve">Zaprimanje prijava tražbina stečajnih vjerovnika i provjera vjerodostojnosti tražbina za njihovo ispitivanje na ispitnom ročištu na osnovu zaprimljene dokumentacije. </w:t>
      </w:r>
    </w:p>
    <w:p w:rsidRDefault="00DF2444" w:rsidR="00DF2444">
      <w:pPr>
        <w:pStyle w:val="Tijeloteksta"/>
        <w:spacing w:lineRule="auto" w:line="240" w:after="0"/>
        <w:rPr>
          <w:rFonts w:cs="Times New Roman" w:hAnsi="Times New Roman" w:ascii="Times New Roman"/>
          <w:lang w:val="hr-HR"/>
        </w:rPr>
      </w:pPr>
    </w:p>
    <w:p w:rsidRDefault="00AE6EB4" w:rsidR="00DF2444">
      <w:pPr>
        <w:pStyle w:val="Tijeloteksta"/>
        <w:numPr>
          <w:ilvl w:val="0"/>
          <w:numId w:val="2"/>
        </w:numPr>
        <w:spacing w:lineRule="auto" w:line="240" w:after="0"/>
        <w:ind w:firstLine="0" w:left="0"/>
        <w:rPr>
          <w:rFonts w:hint="eastAsia"/>
        </w:rPr>
      </w:pPr>
      <w:r>
        <w:rPr>
          <w:rFonts w:cs="Times New Roman" w:hAnsi="Times New Roman" w:ascii="Times New Roman"/>
          <w:lang w:val="hr-HR"/>
        </w:rPr>
        <w:t>Priprema tablica za ispitno ročište.</w:t>
      </w:r>
    </w:p>
    <w:p w:rsidRDefault="00DF2444" w:rsidR="00DF2444">
      <w:pPr>
        <w:pStyle w:val="Tijeloteksta"/>
        <w:spacing w:lineRule="auto" w:line="240" w:after="0"/>
        <w:rPr>
          <w:rFonts w:cs="Times New Roman" w:hAnsi="Times New Roman" w:ascii="Times New Roman"/>
          <w:lang w:val="hr-HR"/>
        </w:rPr>
      </w:pPr>
    </w:p>
    <w:p w:rsidRDefault="00DF2444" w:rsidR="00DF2444">
      <w:pPr>
        <w:pStyle w:val="Tijeloteksta"/>
        <w:spacing w:lineRule="auto" w:line="240" w:after="0"/>
        <w:rPr>
          <w:rFonts w:cs="Times New Roman" w:hAnsi="Times New Roman" w:ascii="Times New Roman"/>
          <w:lang w:val="hr-HR"/>
        </w:rPr>
      </w:pPr>
    </w:p>
    <w:p w:rsidRDefault="00AE6EB4" w:rsidR="00DF2444">
      <w:pPr>
        <w:shd w:fill="FFFFFF" w:color="auto" w:val="clear"/>
        <w:ind w:left="360"/>
        <w:jc w:val="both"/>
        <w:rPr>
          <w:rFonts w:hint="eastAsia"/>
        </w:rPr>
      </w:pPr>
      <w:r>
        <w:rPr>
          <w:rFonts w:cs="Times New Roman" w:hAnsi="Times New Roman" w:ascii="Times New Roman"/>
          <w:b/>
          <w:bCs/>
          <w:color w:val="000000"/>
          <w:spacing w:val="1"/>
          <w:lang w:val="hr-HR"/>
        </w:rPr>
        <w:t>5. POSLOVANJE DUŽNIKA</w:t>
      </w:r>
    </w:p>
    <w:p w:rsidRDefault="00DF2444" w:rsidR="00DF2444">
      <w:pPr>
        <w:shd w:fill="FFFFFF" w:color="auto" w:val="clear"/>
        <w:jc w:val="both"/>
        <w:rPr>
          <w:rFonts w:cs="Times New Roman" w:hAnsi="Times New Roman" w:ascii="Times New Roman"/>
          <w:lang w:val="hr-HR"/>
        </w:rPr>
      </w:pPr>
    </w:p>
    <w:p w:rsidRDefault="00AE6EB4" w:rsidR="00DF2444">
      <w:pPr>
        <w:rPr>
          <w:rFonts w:hint="eastAsia"/>
        </w:rPr>
      </w:pPr>
      <w:r>
        <w:rPr>
          <w:rFonts w:cs="Times New Roman" w:hAnsi="Times New Roman" w:ascii="Times New Roman"/>
          <w:bCs/>
          <w:color w:val="000000"/>
          <w:spacing w:val="1"/>
          <w:lang w:val="hr-HR"/>
        </w:rPr>
        <w:t xml:space="preserve">Društvo KALIGRAFIJA d.o.o. je osnovano 2010.g. te je </w:t>
      </w:r>
      <w:r>
        <w:rPr>
          <w:rFonts w:cs="Times New Roman" w:hAnsi="Times New Roman" w:ascii="Times New Roman"/>
        </w:rPr>
        <w:t xml:space="preserve">obavljao poslove kreditiranja, posredovanja pri sklapanju financijskih poslova te poslovanje s nekretninama. </w:t>
      </w:r>
    </w:p>
    <w:p w:rsidRDefault="00DF2444" w:rsidR="00DF2444">
      <w:pPr>
        <w:rPr>
          <w:rFonts w:cs="Times New Roman" w:hAnsi="Times New Roman" w:ascii="Times New Roman"/>
        </w:rPr>
      </w:pPr>
    </w:p>
    <w:p w:rsidRDefault="00AE6EB4" w:rsidR="00DF2444">
      <w:pPr>
        <w:rPr>
          <w:rFonts w:hint="eastAsia"/>
        </w:rPr>
      </w:pPr>
      <w:r>
        <w:rPr>
          <w:rFonts w:cs="Times New Roman" w:hAnsi="Times New Roman" w:ascii="Times New Roman"/>
        </w:rPr>
        <w:t>Zbog sumnjivih i spornih ugovora o kreditiranju te prijenosa nekretnina dobivenih na sumnjive načine u tim financijskim poslovima, USKOK je pokrenuo opsežnu istragu protiv stečajnog dužnika i drugih društava te više fizičkih osoba pa je stečajni dužnik prestao s navedenim poslovnim aktivnostima.</w:t>
      </w:r>
    </w:p>
    <w:p w:rsidRDefault="00DF2444" w:rsidR="00DF2444">
      <w:pPr>
        <w:rPr>
          <w:rFonts w:cs="Times New Roman" w:hAnsi="Times New Roman" w:ascii="Times New Roman"/>
        </w:rPr>
      </w:pPr>
    </w:p>
    <w:p w:rsidRDefault="00AE6EB4" w:rsidR="00DF2444">
      <w:pPr>
        <w:rPr>
          <w:rFonts w:hint="eastAsia"/>
        </w:rPr>
      </w:pPr>
      <w:r>
        <w:rPr>
          <w:rFonts w:cs="Times New Roman" w:hAnsi="Times New Roman" w:ascii="Times New Roman"/>
        </w:rPr>
        <w:t>Zbog USKOK-ovih optužnica na velikom dijelu nekretnina u vlasništvu dužnika su upisane privremene mjera zabrane otuđenja i opterećenja tih nekretnina.</w:t>
      </w:r>
    </w:p>
    <w:p w:rsidRDefault="00DF2444" w:rsidR="00DF2444">
      <w:pPr>
        <w:rPr>
          <w:rFonts w:cs="Times New Roman" w:eastAsia="Calibri" w:hAnsi="Times New Roman" w:ascii="Times New Roman"/>
          <w:lang w:bidi="ar-SA" w:eastAsia="en-US" w:val="hr-HR"/>
        </w:rPr>
      </w:pPr>
    </w:p>
    <w:p w:rsidRDefault="00AE6EB4" w:rsidR="00DF2444">
      <w:pPr>
        <w:rPr>
          <w:rFonts w:hint="eastAsia"/>
        </w:rPr>
      </w:pPr>
      <w:r>
        <w:rPr>
          <w:rFonts w:cs="Times New Roman" w:eastAsia="Calibri" w:hAnsi="Times New Roman" w:ascii="Times New Roman"/>
          <w:lang w:bidi="ar-SA" w:eastAsia="en-US" w:val="hr-HR"/>
        </w:rPr>
        <w:t xml:space="preserve">Napominjem kako nisam uspjela doći do poslovne dokumentacije stečajnog dužnika, te da sve </w:t>
      </w:r>
      <w:r>
        <w:rPr>
          <w:rFonts w:cs="Times New Roman" w:eastAsia="Calibri" w:hAnsi="Times New Roman" w:ascii="Times New Roman"/>
          <w:lang w:bidi="ar-SA" w:eastAsia="en-US" w:val="hr-HR"/>
        </w:rPr>
        <w:lastRenderedPageBreak/>
        <w:t>podatke koje u nastavku iznosim, baziram na javno dostupnim podacima.</w:t>
      </w:r>
    </w:p>
    <w:p w:rsidRDefault="00DF2444" w:rsidR="00DF2444">
      <w:pPr>
        <w:shd w:fill="FFFFFF" w:color="auto" w:val="clear"/>
        <w:jc w:val="both"/>
        <w:rPr>
          <w:rFonts w:cs="Times New Roman" w:eastAsia="Calibri" w:hAnsi="Times New Roman" w:ascii="Times New Roman"/>
          <w:lang w:bidi="ar-SA" w:eastAsia="en-US" w:val="hr-HR"/>
        </w:rPr>
      </w:pPr>
    </w:p>
    <w:p w:rsidRDefault="00AE6EB4" w:rsidR="00DF2444">
      <w:pPr>
        <w:shd w:fill="FFFFFF" w:color="auto" w:val="clear"/>
        <w:jc w:val="both"/>
        <w:rPr>
          <w:rFonts w:hint="eastAsia"/>
        </w:rPr>
      </w:pPr>
      <w:r>
        <w:rPr>
          <w:rFonts w:cs="Times New Roman" w:hAnsi="Times New Roman" w:ascii="Times New Roman"/>
          <w:color w:val="000000"/>
          <w:spacing w:val="7"/>
          <w:lang w:val="hr-HR"/>
        </w:rPr>
        <w:t>Prema dostupnoj dokumentaciji iznosim</w:t>
      </w:r>
      <w:r>
        <w:rPr>
          <w:rFonts w:cs="Times New Roman" w:hAnsi="Times New Roman" w:ascii="Times New Roman"/>
          <w:color w:val="000000"/>
          <w:spacing w:val="6"/>
          <w:lang w:val="hr-HR"/>
        </w:rPr>
        <w:t xml:space="preserve"> poslovanje dužnika prema bilanci koja je zadnja predana, a odnosi se na 2013.g.</w:t>
      </w:r>
    </w:p>
    <w:p w:rsidRDefault="00DF2444" w:rsidR="00DF2444">
      <w:pPr>
        <w:shd w:fill="FFFFFF" w:color="auto" w:val="clear"/>
        <w:jc w:val="both"/>
        <w:rPr>
          <w:rFonts w:cs="Times New Roman" w:hAnsi="Times New Roman" w:ascii="Times New Roman"/>
          <w:lang w:val="hr-HR"/>
        </w:rPr>
      </w:pPr>
    </w:p>
    <w:p w:rsidRDefault="00DF2444" w:rsidR="00DF2444">
      <w:pPr>
        <w:shd w:fill="FFFFFF" w:color="auto" w:val="clear"/>
        <w:jc w:val="both"/>
        <w:rPr>
          <w:rFonts w:cs="Times New Roman" w:hAnsi="Times New Roman" w:ascii="Times New Roman"/>
          <w:lang w:val="hr-HR"/>
        </w:rPr>
      </w:pPr>
    </w:p>
    <w:tbl>
      <w:tblPr>
        <w:tblW w:type="auto" w:w="0"/>
        <w:tblInd w:type="dxa" w:w="108"/>
        <w:tblLayout w:type="fixed"/>
        <w:tblLook w:val="0000" w:noVBand="0" w:noHBand="0" w:lastColumn="0" w:firstColumn="0" w:lastRow="0" w:firstRow="0"/>
      </w:tblPr>
      <w:tblGrid>
        <w:gridCol w:w="807"/>
        <w:gridCol w:w="4389"/>
        <w:gridCol w:w="3921"/>
        <w:gridCol w:w="127"/>
        <w:gridCol w:w="236"/>
        <w:gridCol w:w="15"/>
      </w:tblGrid>
      <w:tr w:rsidR="00DF2444">
        <w:trPr>
          <w:gridAfter w:val="1"/>
          <w:wAfter w:type="dxa" w:w="15"/>
          <w:trHeight w:val="270"/>
        </w:trPr>
        <w:tc>
          <w:tcPr>
            <w:tcW w:type="dxa" w:w="5196"/>
            <w:gridSpan w:val="2"/>
            <w:shd w:fill="auto" w:color="auto" w:val="clear"/>
            <w:vAlign w:val="bottom"/>
          </w:tcPr>
          <w:p w:rsidRDefault="00AE6EB4" w:rsidR="00DF2444">
            <w:pPr>
              <w:rPr>
                <w:rFonts w:hint="eastAsia"/>
              </w:rPr>
            </w:pPr>
            <w:r>
              <w:rPr>
                <w:rFonts w:cs="Times New Roman" w:hAnsi="Times New Roman" w:ascii="Times New Roman"/>
                <w:b/>
                <w:bCs/>
                <w:lang w:val="hr-HR"/>
              </w:rPr>
              <w:t>Tablica 1.</w:t>
            </w:r>
          </w:p>
        </w:tc>
        <w:tc>
          <w:tcPr>
            <w:tcW w:type="dxa" w:w="4048"/>
            <w:gridSpan w:val="2"/>
            <w:shd w:fill="auto" w:color="auto" w:val="clear"/>
            <w:vAlign w:val="bottom"/>
          </w:tcPr>
          <w:p w:rsidRDefault="00DF2444" w:rsidR="00DF2444">
            <w:pPr>
              <w:snapToGrid w:val="false"/>
              <w:jc w:val="right"/>
              <w:rPr>
                <w:rFonts w:cs="Times New Roman" w:hAnsi="Times New Roman" w:ascii="Times New Roman"/>
                <w:lang w:val="hr-HR"/>
              </w:rPr>
            </w:pPr>
          </w:p>
        </w:tc>
        <w:tc>
          <w:tcPr>
            <w:tcW w:type="dxa" w:w="236"/>
            <w:shd w:fill="auto" w:color="auto" w:val="clear"/>
            <w:vAlign w:val="bottom"/>
          </w:tcPr>
          <w:p w:rsidRDefault="00DF2444" w:rsidR="00DF2444">
            <w:pPr>
              <w:snapToGrid w:val="false"/>
              <w:rPr>
                <w:rFonts w:cs="Times New Roman" w:hAnsi="Times New Roman" w:ascii="Times New Roman"/>
                <w:lang w:val="hr-HR"/>
              </w:rPr>
            </w:pPr>
          </w:p>
        </w:tc>
      </w:tr>
      <w:tr w:rsidR="00DF2444">
        <w:tblPrEx>
          <w:tblCellMar>
            <w:left w:type="dxa" w:w="0"/>
            <w:right w:type="dxa" w:w="0"/>
          </w:tblCellMar>
        </w:tblPrEx>
        <w:trPr>
          <w:trHeight w:val="270"/>
        </w:trPr>
        <w:tc>
          <w:tcPr>
            <w:tcW w:type="dxa" w:w="807"/>
            <w:tcBorders>
              <w:top w:space="0" w:sz="6" w:color="000000" w:val="double"/>
              <w:left w:space="0" w:sz="6" w:color="000000" w:val="double"/>
              <w:bottom w:space="0" w:sz="4" w:color="000000" w:val="single"/>
            </w:tcBorders>
            <w:shd w:fill="auto" w:color="auto" w:val="clear"/>
            <w:vAlign w:val="bottom"/>
          </w:tcPr>
          <w:p w:rsidRDefault="00AE6EB4" w:rsidR="00DF2444">
            <w:pPr>
              <w:jc w:val="center"/>
              <w:rPr>
                <w:rFonts w:hint="eastAsia"/>
              </w:rPr>
            </w:pPr>
            <w:r>
              <w:rPr>
                <w:rFonts w:cs="Times New Roman" w:hAnsi="Times New Roman" w:ascii="Times New Roman"/>
                <w:b/>
                <w:bCs/>
                <w:lang w:val="hr-HR"/>
              </w:rPr>
              <w:t>R.b.</w:t>
            </w:r>
          </w:p>
        </w:tc>
        <w:tc>
          <w:tcPr>
            <w:tcW w:type="dxa" w:w="4389"/>
            <w:tcBorders>
              <w:top w:space="0" w:sz="6" w:color="000000" w:val="double"/>
              <w:left w:space="0" w:sz="4" w:color="000000" w:val="single"/>
              <w:bottom w:space="0" w:sz="4" w:color="000000" w:val="single"/>
            </w:tcBorders>
            <w:shd w:fill="auto" w:color="auto" w:val="clear"/>
            <w:vAlign w:val="bottom"/>
          </w:tcPr>
          <w:p w:rsidRDefault="00AE6EB4" w:rsidR="00DF2444">
            <w:pPr>
              <w:jc w:val="center"/>
              <w:rPr>
                <w:rFonts w:hint="eastAsia"/>
              </w:rPr>
            </w:pPr>
            <w:r>
              <w:rPr>
                <w:rFonts w:cs="Times New Roman" w:eastAsia="Times New Roman" w:hAnsi="Times New Roman" w:ascii="Times New Roman"/>
                <w:b/>
                <w:bCs/>
                <w:lang w:val="hr-HR"/>
              </w:rPr>
              <w:t xml:space="preserve"> </w:t>
            </w:r>
            <w:r>
              <w:rPr>
                <w:rFonts w:cs="Times New Roman" w:hAnsi="Times New Roman" w:ascii="Times New Roman"/>
                <w:b/>
                <w:bCs/>
                <w:lang w:val="hr-HR"/>
              </w:rPr>
              <w:t>O  P  I  S</w:t>
            </w:r>
          </w:p>
        </w:tc>
        <w:tc>
          <w:tcPr>
            <w:tcW w:type="dxa" w:w="3921"/>
            <w:tcBorders>
              <w:top w:space="0" w:sz="6" w:color="000000" w:val="double"/>
              <w:left w:space="0" w:sz="4" w:color="000000" w:val="single"/>
              <w:bottom w:space="0" w:sz="4" w:color="000000" w:val="single"/>
            </w:tcBorders>
            <w:shd w:fill="auto" w:color="auto" w:val="clear"/>
            <w:vAlign w:val="bottom"/>
          </w:tcPr>
          <w:p w:rsidRDefault="00AE6EB4" w:rsidR="00DF2444">
            <w:pPr>
              <w:jc w:val="center"/>
              <w:rPr>
                <w:rFonts w:hint="eastAsia"/>
              </w:rPr>
            </w:pPr>
            <w:r>
              <w:rPr>
                <w:rFonts w:cs="Times New Roman" w:hAnsi="Times New Roman" w:ascii="Times New Roman"/>
                <w:b/>
                <w:bCs/>
                <w:lang w:val="hr-HR"/>
              </w:rPr>
              <w:t>31.12.2013.</w:t>
            </w:r>
          </w:p>
        </w:tc>
        <w:tc>
          <w:tcPr>
            <w:tcW w:type="dxa" w:w="378"/>
            <w:gridSpan w:val="3"/>
            <w:tcBorders>
              <w:left w:space="0" w:sz="6" w:color="000000" w:val="double"/>
            </w:tcBorders>
            <w:shd w:fill="auto" w:color="auto" w:val="clear"/>
          </w:tcPr>
          <w:p w:rsidRDefault="00DF2444" w:rsidR="00DF2444">
            <w:pPr>
              <w:snapToGrid w:val="false"/>
              <w:rPr>
                <w:rFonts w:cs="Times New Roman" w:hAnsi="Times New Roman" w:ascii="Times New Roman"/>
                <w:lang w:val="hr-HR"/>
              </w:rPr>
            </w:pPr>
          </w:p>
        </w:tc>
      </w:tr>
      <w:tr w:rsidR="00DF2444">
        <w:tblPrEx>
          <w:tblCellMar>
            <w:left w:type="dxa" w:w="0"/>
            <w:right w:type="dxa" w:w="0"/>
          </w:tblCellMar>
        </w:tblPrEx>
        <w:trPr>
          <w:trHeight w:val="353"/>
        </w:trPr>
        <w:tc>
          <w:tcPr>
            <w:tcW w:type="dxa" w:w="807"/>
            <w:tcBorders>
              <w:left w:space="0" w:sz="6" w:color="000000" w:val="double"/>
              <w:bottom w:space="0" w:sz="4" w:color="000000" w:val="single"/>
            </w:tcBorders>
            <w:shd w:fill="auto" w:color="auto" w:val="clear"/>
            <w:vAlign w:val="bottom"/>
          </w:tcPr>
          <w:p w:rsidRDefault="00AE6EB4" w:rsidR="00DF2444">
            <w:pPr>
              <w:jc w:val="center"/>
              <w:rPr>
                <w:rFonts w:hint="eastAsia"/>
              </w:rPr>
            </w:pPr>
            <w:r>
              <w:rPr>
                <w:rFonts w:cs="Times New Roman" w:hAnsi="Times New Roman" w:ascii="Times New Roman"/>
                <w:b/>
                <w:bCs/>
                <w:lang w:val="hr-HR"/>
              </w:rPr>
              <w:t>0</w:t>
            </w:r>
          </w:p>
        </w:tc>
        <w:tc>
          <w:tcPr>
            <w:tcW w:type="dxa" w:w="4389"/>
            <w:tcBorders>
              <w:left w:space="0" w:sz="4" w:color="000000" w:val="single"/>
              <w:bottom w:space="0" w:sz="4" w:color="000000" w:val="single"/>
            </w:tcBorders>
            <w:shd w:fill="auto" w:color="auto" w:val="clear"/>
            <w:vAlign w:val="bottom"/>
          </w:tcPr>
          <w:p w:rsidRDefault="00AE6EB4" w:rsidR="00DF2444">
            <w:pPr>
              <w:jc w:val="center"/>
              <w:rPr>
                <w:rFonts w:hint="eastAsia"/>
              </w:rPr>
            </w:pPr>
            <w:r>
              <w:rPr>
                <w:rFonts w:cs="Times New Roman" w:hAnsi="Times New Roman" w:ascii="Times New Roman"/>
                <w:b/>
                <w:bCs/>
                <w:lang w:val="hr-HR"/>
              </w:rPr>
              <w:t>0</w:t>
            </w:r>
          </w:p>
        </w:tc>
        <w:tc>
          <w:tcPr>
            <w:tcW w:type="dxa" w:w="3921"/>
            <w:tcBorders>
              <w:left w:space="0" w:sz="4" w:color="000000" w:val="single"/>
              <w:bottom w:space="0" w:sz="4" w:color="000000" w:val="single"/>
            </w:tcBorders>
            <w:shd w:fill="auto" w:color="auto" w:val="clear"/>
            <w:vAlign w:val="bottom"/>
          </w:tcPr>
          <w:p w:rsidRDefault="00AE6EB4" w:rsidR="00DF2444">
            <w:pPr>
              <w:tabs>
                <w:tab w:pos="3327" w:val="left"/>
              </w:tabs>
              <w:jc w:val="center"/>
              <w:rPr>
                <w:rFonts w:hint="eastAsia"/>
              </w:rPr>
            </w:pPr>
            <w:r>
              <w:rPr>
                <w:rFonts w:cs="Times New Roman" w:hAnsi="Times New Roman" w:ascii="Times New Roman"/>
                <w:b/>
                <w:bCs/>
                <w:lang w:val="hr-HR"/>
              </w:rPr>
              <w:t>3</w:t>
            </w:r>
          </w:p>
        </w:tc>
        <w:tc>
          <w:tcPr>
            <w:tcW w:type="dxa" w:w="378"/>
            <w:gridSpan w:val="3"/>
            <w:tcBorders>
              <w:left w:space="0" w:sz="6" w:color="000000" w:val="double"/>
            </w:tcBorders>
            <w:shd w:fill="auto" w:color="auto" w:val="clear"/>
          </w:tcPr>
          <w:p w:rsidRDefault="00DF2444" w:rsidR="00DF2444">
            <w:pPr>
              <w:snapToGrid w:val="false"/>
              <w:rPr>
                <w:rFonts w:cs="Times New Roman" w:hAnsi="Times New Roman" w:ascii="Times New Roman"/>
                <w:lang w:val="hr-HR"/>
              </w:rPr>
            </w:pPr>
          </w:p>
        </w:tc>
      </w:tr>
      <w:tr w:rsidR="00DF2444">
        <w:tblPrEx>
          <w:tblCellMar>
            <w:left w:type="dxa" w:w="0"/>
            <w:right w:type="dxa" w:w="0"/>
          </w:tblCellMar>
        </w:tblPrEx>
        <w:trPr>
          <w:trHeight w:val="255"/>
        </w:trPr>
        <w:tc>
          <w:tcPr>
            <w:tcW w:type="dxa" w:w="807"/>
            <w:tcBorders>
              <w:left w:space="0" w:sz="6" w:color="000000" w:val="double"/>
              <w:bottom w:space="0" w:sz="4" w:color="000000" w:val="single"/>
            </w:tcBorders>
            <w:shd w:fill="auto" w:color="auto" w:val="clear"/>
            <w:vAlign w:val="bottom"/>
          </w:tcPr>
          <w:p w:rsidRDefault="00AE6EB4" w:rsidR="00DF2444">
            <w:pPr>
              <w:jc w:val="center"/>
              <w:rPr>
                <w:rFonts w:hint="eastAsia"/>
              </w:rPr>
            </w:pPr>
            <w:r>
              <w:rPr>
                <w:rFonts w:cs="Times New Roman" w:hAnsi="Times New Roman" w:ascii="Times New Roman"/>
                <w:lang w:val="hr-HR"/>
              </w:rPr>
              <w:t>1.</w:t>
            </w:r>
          </w:p>
        </w:tc>
        <w:tc>
          <w:tcPr>
            <w:tcW w:type="dxa" w:w="4389"/>
            <w:tcBorders>
              <w:left w:space="0" w:sz="4" w:color="000000" w:val="single"/>
              <w:bottom w:space="0" w:sz="4" w:color="000000" w:val="single"/>
            </w:tcBorders>
            <w:shd w:fill="auto" w:color="auto" w:val="clear"/>
            <w:vAlign w:val="bottom"/>
          </w:tcPr>
          <w:p w:rsidRDefault="00AE6EB4" w:rsidR="00DF2444">
            <w:pPr>
              <w:rPr>
                <w:rFonts w:hint="eastAsia"/>
              </w:rPr>
            </w:pPr>
            <w:r>
              <w:rPr>
                <w:rFonts w:cs="Times New Roman" w:hAnsi="Times New Roman" w:ascii="Times New Roman"/>
                <w:lang w:val="hr-HR"/>
              </w:rPr>
              <w:t>Poslovni prihodi</w:t>
            </w:r>
          </w:p>
        </w:tc>
        <w:tc>
          <w:tcPr>
            <w:tcW w:type="dxa" w:w="3921"/>
            <w:tcBorders>
              <w:left w:space="0" w:sz="4" w:color="000000" w:val="single"/>
              <w:bottom w:space="0" w:sz="4" w:color="000000" w:val="single"/>
            </w:tcBorders>
            <w:shd w:fill="auto" w:color="auto" w:val="clear"/>
            <w:vAlign w:val="bottom"/>
          </w:tcPr>
          <w:p w:rsidRDefault="00AE6EB4" w:rsidR="00DF2444">
            <w:pPr>
              <w:jc w:val="right"/>
              <w:rPr>
                <w:rFonts w:hint="eastAsia"/>
              </w:rPr>
            </w:pPr>
            <w:r>
              <w:rPr>
                <w:rFonts w:cs="Times New Roman" w:hAnsi="Times New Roman" w:ascii="Times New Roman"/>
                <w:lang w:val="hr-HR"/>
              </w:rPr>
              <w:t>530.600</w:t>
            </w:r>
          </w:p>
        </w:tc>
        <w:tc>
          <w:tcPr>
            <w:tcW w:type="dxa" w:w="378"/>
            <w:gridSpan w:val="3"/>
            <w:tcBorders>
              <w:left w:space="0" w:sz="6" w:color="000000" w:val="double"/>
            </w:tcBorders>
            <w:shd w:fill="auto" w:color="auto" w:val="clear"/>
          </w:tcPr>
          <w:p w:rsidRDefault="00DF2444" w:rsidR="00DF2444">
            <w:pPr>
              <w:snapToGrid w:val="false"/>
              <w:rPr>
                <w:rFonts w:cs="Times New Roman" w:hAnsi="Times New Roman" w:ascii="Times New Roman"/>
                <w:lang w:val="hr-HR"/>
              </w:rPr>
            </w:pPr>
          </w:p>
        </w:tc>
      </w:tr>
      <w:tr w:rsidR="00DF2444">
        <w:tblPrEx>
          <w:tblCellMar>
            <w:left w:type="dxa" w:w="0"/>
            <w:right w:type="dxa" w:w="0"/>
          </w:tblCellMar>
        </w:tblPrEx>
        <w:trPr>
          <w:trHeight w:val="255"/>
        </w:trPr>
        <w:tc>
          <w:tcPr>
            <w:tcW w:type="dxa" w:w="807"/>
            <w:tcBorders>
              <w:left w:space="0" w:sz="6" w:color="000000" w:val="double"/>
              <w:bottom w:space="0" w:sz="4" w:color="000000" w:val="single"/>
            </w:tcBorders>
            <w:shd w:fill="auto" w:color="auto" w:val="clear"/>
            <w:vAlign w:val="bottom"/>
          </w:tcPr>
          <w:p w:rsidRDefault="00AE6EB4" w:rsidR="00DF2444">
            <w:pPr>
              <w:jc w:val="center"/>
              <w:rPr>
                <w:rFonts w:hint="eastAsia"/>
              </w:rPr>
            </w:pPr>
            <w:r>
              <w:rPr>
                <w:rFonts w:cs="Times New Roman" w:hAnsi="Times New Roman" w:ascii="Times New Roman"/>
                <w:lang w:val="hr-HR"/>
              </w:rPr>
              <w:t>2.</w:t>
            </w:r>
          </w:p>
        </w:tc>
        <w:tc>
          <w:tcPr>
            <w:tcW w:type="dxa" w:w="4389"/>
            <w:tcBorders>
              <w:left w:space="0" w:sz="4" w:color="000000" w:val="single"/>
              <w:bottom w:space="0" w:sz="4" w:color="000000" w:val="single"/>
            </w:tcBorders>
            <w:shd w:fill="auto" w:color="auto" w:val="clear"/>
            <w:vAlign w:val="bottom"/>
          </w:tcPr>
          <w:p w:rsidRDefault="00AE6EB4" w:rsidR="00DF2444">
            <w:pPr>
              <w:rPr>
                <w:rFonts w:hint="eastAsia"/>
              </w:rPr>
            </w:pPr>
            <w:r>
              <w:rPr>
                <w:rFonts w:cs="Times New Roman" w:hAnsi="Times New Roman" w:ascii="Times New Roman"/>
                <w:lang w:val="hr-HR"/>
              </w:rPr>
              <w:t>Poslovni rashodi</w:t>
            </w:r>
          </w:p>
        </w:tc>
        <w:tc>
          <w:tcPr>
            <w:tcW w:type="dxa" w:w="3921"/>
            <w:tcBorders>
              <w:left w:space="0" w:sz="4" w:color="000000" w:val="single"/>
              <w:bottom w:space="0" w:sz="4" w:color="000000" w:val="single"/>
            </w:tcBorders>
            <w:shd w:fill="auto" w:color="auto" w:val="clear"/>
            <w:vAlign w:val="bottom"/>
          </w:tcPr>
          <w:p w:rsidRDefault="00AE6EB4" w:rsidR="00DF2444">
            <w:pPr>
              <w:jc w:val="right"/>
              <w:rPr>
                <w:rFonts w:hint="eastAsia"/>
              </w:rPr>
            </w:pPr>
            <w:r>
              <w:rPr>
                <w:rFonts w:cs="Times New Roman" w:hAnsi="Times New Roman" w:ascii="Times New Roman"/>
                <w:lang w:val="hr-HR"/>
              </w:rPr>
              <w:t>535.900</w:t>
            </w:r>
          </w:p>
        </w:tc>
        <w:tc>
          <w:tcPr>
            <w:tcW w:type="dxa" w:w="378"/>
            <w:gridSpan w:val="3"/>
            <w:tcBorders>
              <w:left w:space="0" w:sz="6" w:color="000000" w:val="double"/>
            </w:tcBorders>
            <w:shd w:fill="auto" w:color="auto" w:val="clear"/>
          </w:tcPr>
          <w:p w:rsidRDefault="00DF2444" w:rsidR="00DF2444">
            <w:pPr>
              <w:snapToGrid w:val="false"/>
              <w:rPr>
                <w:rFonts w:cs="Times New Roman" w:hAnsi="Times New Roman" w:ascii="Times New Roman"/>
                <w:lang w:val="hr-HR"/>
              </w:rPr>
            </w:pPr>
          </w:p>
        </w:tc>
      </w:tr>
      <w:tr w:rsidR="00DF2444">
        <w:tblPrEx>
          <w:tblCellMar>
            <w:left w:type="dxa" w:w="0"/>
            <w:right w:type="dxa" w:w="0"/>
          </w:tblCellMar>
        </w:tblPrEx>
        <w:trPr>
          <w:trHeight w:val="255"/>
        </w:trPr>
        <w:tc>
          <w:tcPr>
            <w:tcW w:type="dxa" w:w="807"/>
            <w:tcBorders>
              <w:left w:space="0" w:sz="6" w:color="000000" w:val="double"/>
              <w:bottom w:space="0" w:sz="4" w:color="000000" w:val="single"/>
            </w:tcBorders>
            <w:shd w:fill="auto" w:color="auto" w:val="clear"/>
            <w:vAlign w:val="bottom"/>
          </w:tcPr>
          <w:p w:rsidRDefault="00AE6EB4" w:rsidR="00DF2444">
            <w:pPr>
              <w:jc w:val="center"/>
              <w:rPr>
                <w:rFonts w:hint="eastAsia"/>
              </w:rPr>
            </w:pPr>
            <w:r>
              <w:rPr>
                <w:rFonts w:cs="Times New Roman" w:hAnsi="Times New Roman" w:ascii="Times New Roman"/>
                <w:lang w:val="hr-HR"/>
              </w:rPr>
              <w:t>3.</w:t>
            </w:r>
          </w:p>
        </w:tc>
        <w:tc>
          <w:tcPr>
            <w:tcW w:type="dxa" w:w="4389"/>
            <w:tcBorders>
              <w:left w:space="0" w:sz="4" w:color="000000" w:val="single"/>
              <w:bottom w:space="0" w:sz="4" w:color="000000" w:val="single"/>
            </w:tcBorders>
            <w:shd w:fill="auto" w:color="auto" w:val="clear"/>
            <w:vAlign w:val="bottom"/>
          </w:tcPr>
          <w:p w:rsidRDefault="00AE6EB4" w:rsidR="00DF2444">
            <w:pPr>
              <w:rPr>
                <w:rFonts w:hint="eastAsia"/>
              </w:rPr>
            </w:pPr>
            <w:r>
              <w:rPr>
                <w:rFonts w:cs="Times New Roman" w:hAnsi="Times New Roman" w:ascii="Times New Roman"/>
                <w:lang w:val="hr-HR"/>
              </w:rPr>
              <w:t>Financijski prihodi</w:t>
            </w:r>
          </w:p>
        </w:tc>
        <w:tc>
          <w:tcPr>
            <w:tcW w:type="dxa" w:w="3921"/>
            <w:tcBorders>
              <w:left w:space="0" w:sz="4" w:color="000000" w:val="single"/>
              <w:bottom w:space="0" w:sz="4" w:color="000000" w:val="single"/>
            </w:tcBorders>
            <w:shd w:fill="auto" w:color="auto" w:val="clear"/>
            <w:vAlign w:val="bottom"/>
          </w:tcPr>
          <w:p w:rsidRDefault="00AE6EB4" w:rsidR="00DF2444">
            <w:pPr>
              <w:jc w:val="right"/>
              <w:rPr>
                <w:rFonts w:hint="eastAsia"/>
              </w:rPr>
            </w:pPr>
            <w:r>
              <w:rPr>
                <w:rFonts w:cs="Times New Roman" w:hAnsi="Times New Roman" w:ascii="Times New Roman"/>
                <w:lang w:val="hr-HR"/>
              </w:rPr>
              <w:t>0</w:t>
            </w:r>
          </w:p>
        </w:tc>
        <w:tc>
          <w:tcPr>
            <w:tcW w:type="dxa" w:w="378"/>
            <w:gridSpan w:val="3"/>
            <w:tcBorders>
              <w:left w:space="0" w:sz="6" w:color="000000" w:val="double"/>
            </w:tcBorders>
            <w:shd w:fill="auto" w:color="auto" w:val="clear"/>
          </w:tcPr>
          <w:p w:rsidRDefault="00DF2444" w:rsidR="00DF2444">
            <w:pPr>
              <w:snapToGrid w:val="false"/>
              <w:rPr>
                <w:rFonts w:cs="Times New Roman" w:hAnsi="Times New Roman" w:ascii="Times New Roman"/>
                <w:lang w:val="hr-HR"/>
              </w:rPr>
            </w:pPr>
          </w:p>
        </w:tc>
      </w:tr>
      <w:tr w:rsidR="00DF2444">
        <w:tblPrEx>
          <w:tblCellMar>
            <w:left w:type="dxa" w:w="0"/>
            <w:right w:type="dxa" w:w="0"/>
          </w:tblCellMar>
        </w:tblPrEx>
        <w:trPr>
          <w:trHeight w:val="255"/>
        </w:trPr>
        <w:tc>
          <w:tcPr>
            <w:tcW w:type="dxa" w:w="807"/>
            <w:tcBorders>
              <w:left w:space="0" w:sz="6" w:color="000000" w:val="double"/>
              <w:bottom w:space="0" w:sz="4" w:color="000000" w:val="single"/>
            </w:tcBorders>
            <w:shd w:fill="auto" w:color="auto" w:val="clear"/>
            <w:vAlign w:val="bottom"/>
          </w:tcPr>
          <w:p w:rsidRDefault="00AE6EB4" w:rsidR="00DF2444">
            <w:pPr>
              <w:jc w:val="center"/>
              <w:rPr>
                <w:rFonts w:hint="eastAsia"/>
              </w:rPr>
            </w:pPr>
            <w:r>
              <w:rPr>
                <w:rFonts w:cs="Times New Roman" w:hAnsi="Times New Roman" w:ascii="Times New Roman"/>
                <w:lang w:val="hr-HR"/>
              </w:rPr>
              <w:t>4.</w:t>
            </w:r>
          </w:p>
        </w:tc>
        <w:tc>
          <w:tcPr>
            <w:tcW w:type="dxa" w:w="4389"/>
            <w:tcBorders>
              <w:left w:space="0" w:sz="4" w:color="000000" w:val="single"/>
              <w:bottom w:space="0" w:sz="4" w:color="000000" w:val="single"/>
            </w:tcBorders>
            <w:shd w:fill="auto" w:color="auto" w:val="clear"/>
            <w:vAlign w:val="bottom"/>
          </w:tcPr>
          <w:p w:rsidRDefault="00AE6EB4" w:rsidR="00DF2444">
            <w:pPr>
              <w:rPr>
                <w:rFonts w:hint="eastAsia"/>
              </w:rPr>
            </w:pPr>
            <w:r>
              <w:rPr>
                <w:rFonts w:cs="Times New Roman" w:hAnsi="Times New Roman" w:ascii="Times New Roman"/>
                <w:lang w:val="hr-HR"/>
              </w:rPr>
              <w:t>Financijski rashodi</w:t>
            </w:r>
          </w:p>
        </w:tc>
        <w:tc>
          <w:tcPr>
            <w:tcW w:type="dxa" w:w="3921"/>
            <w:tcBorders>
              <w:left w:space="0" w:sz="4" w:color="000000" w:val="single"/>
              <w:bottom w:space="0" w:sz="4" w:color="000000" w:val="single"/>
            </w:tcBorders>
            <w:shd w:fill="auto" w:color="auto" w:val="clear"/>
            <w:vAlign w:val="bottom"/>
          </w:tcPr>
          <w:p w:rsidRDefault="00AE6EB4" w:rsidR="00DF2444">
            <w:pPr>
              <w:jc w:val="right"/>
              <w:rPr>
                <w:rFonts w:hint="eastAsia"/>
              </w:rPr>
            </w:pPr>
            <w:r>
              <w:rPr>
                <w:rFonts w:cs="Times New Roman" w:hAnsi="Times New Roman" w:ascii="Times New Roman"/>
                <w:lang w:val="hr-HR"/>
              </w:rPr>
              <w:t>330.000</w:t>
            </w:r>
          </w:p>
        </w:tc>
        <w:tc>
          <w:tcPr>
            <w:tcW w:type="dxa" w:w="378"/>
            <w:gridSpan w:val="3"/>
            <w:tcBorders>
              <w:left w:space="0" w:sz="6" w:color="000000" w:val="double"/>
            </w:tcBorders>
            <w:shd w:fill="auto" w:color="auto" w:val="clear"/>
          </w:tcPr>
          <w:p w:rsidRDefault="00DF2444" w:rsidR="00DF2444">
            <w:pPr>
              <w:snapToGrid w:val="false"/>
              <w:rPr>
                <w:rFonts w:cs="Times New Roman" w:hAnsi="Times New Roman" w:ascii="Times New Roman"/>
                <w:lang w:val="hr-HR"/>
              </w:rPr>
            </w:pPr>
          </w:p>
        </w:tc>
      </w:tr>
      <w:tr w:rsidR="00DF2444">
        <w:tblPrEx>
          <w:tblCellMar>
            <w:left w:type="dxa" w:w="0"/>
            <w:right w:type="dxa" w:w="0"/>
          </w:tblCellMar>
        </w:tblPrEx>
        <w:trPr>
          <w:trHeight w:val="255"/>
        </w:trPr>
        <w:tc>
          <w:tcPr>
            <w:tcW w:type="dxa" w:w="807"/>
            <w:tcBorders>
              <w:left w:space="0" w:sz="6" w:color="000000" w:val="double"/>
              <w:bottom w:space="0" w:sz="4" w:color="000000" w:val="single"/>
            </w:tcBorders>
            <w:shd w:fill="auto" w:color="auto" w:val="clear"/>
            <w:vAlign w:val="bottom"/>
          </w:tcPr>
          <w:p w:rsidRDefault="00AE6EB4" w:rsidR="00DF2444">
            <w:pPr>
              <w:jc w:val="center"/>
              <w:rPr>
                <w:rFonts w:hint="eastAsia"/>
              </w:rPr>
            </w:pPr>
            <w:r>
              <w:rPr>
                <w:rFonts w:cs="Times New Roman" w:hAnsi="Times New Roman" w:ascii="Times New Roman"/>
                <w:lang w:val="hr-HR"/>
              </w:rPr>
              <w:t>5.</w:t>
            </w:r>
          </w:p>
        </w:tc>
        <w:tc>
          <w:tcPr>
            <w:tcW w:type="dxa" w:w="4389"/>
            <w:tcBorders>
              <w:left w:space="0" w:sz="4" w:color="000000" w:val="single"/>
              <w:bottom w:space="0" w:sz="4" w:color="000000" w:val="single"/>
            </w:tcBorders>
            <w:shd w:fill="auto" w:color="auto" w:val="clear"/>
            <w:vAlign w:val="bottom"/>
          </w:tcPr>
          <w:p w:rsidRDefault="00AE6EB4" w:rsidR="00DF2444">
            <w:pPr>
              <w:rPr>
                <w:rFonts w:hint="eastAsia"/>
              </w:rPr>
            </w:pPr>
            <w:r>
              <w:rPr>
                <w:rFonts w:cs="Times New Roman" w:hAnsi="Times New Roman" w:ascii="Times New Roman"/>
                <w:lang w:val="hr-HR"/>
              </w:rPr>
              <w:t>Izvanredni prihodi</w:t>
            </w:r>
          </w:p>
        </w:tc>
        <w:tc>
          <w:tcPr>
            <w:tcW w:type="dxa" w:w="3921"/>
            <w:tcBorders>
              <w:left w:space="0" w:sz="4" w:color="000000" w:val="single"/>
              <w:bottom w:space="0" w:sz="4" w:color="000000" w:val="single"/>
            </w:tcBorders>
            <w:shd w:fill="auto" w:color="auto" w:val="clear"/>
            <w:vAlign w:val="bottom"/>
          </w:tcPr>
          <w:p w:rsidRDefault="00AE6EB4" w:rsidR="00DF2444">
            <w:pPr>
              <w:jc w:val="right"/>
              <w:rPr>
                <w:rFonts w:hint="eastAsia"/>
              </w:rPr>
            </w:pPr>
            <w:r>
              <w:rPr>
                <w:rFonts w:cs="Times New Roman" w:hAnsi="Times New Roman" w:ascii="Times New Roman"/>
                <w:lang w:val="hr-HR"/>
              </w:rPr>
              <w:t>0</w:t>
            </w:r>
          </w:p>
        </w:tc>
        <w:tc>
          <w:tcPr>
            <w:tcW w:type="dxa" w:w="378"/>
            <w:gridSpan w:val="3"/>
            <w:tcBorders>
              <w:left w:space="0" w:sz="6" w:color="000000" w:val="double"/>
            </w:tcBorders>
            <w:shd w:fill="auto" w:color="auto" w:val="clear"/>
          </w:tcPr>
          <w:p w:rsidRDefault="00DF2444" w:rsidR="00DF2444">
            <w:pPr>
              <w:snapToGrid w:val="false"/>
              <w:rPr>
                <w:rFonts w:cs="Times New Roman" w:hAnsi="Times New Roman" w:ascii="Times New Roman"/>
                <w:lang w:val="hr-HR"/>
              </w:rPr>
            </w:pPr>
          </w:p>
        </w:tc>
      </w:tr>
      <w:tr w:rsidR="00DF2444">
        <w:tblPrEx>
          <w:tblCellMar>
            <w:left w:type="dxa" w:w="0"/>
            <w:right w:type="dxa" w:w="0"/>
          </w:tblCellMar>
        </w:tblPrEx>
        <w:trPr>
          <w:trHeight w:val="255"/>
        </w:trPr>
        <w:tc>
          <w:tcPr>
            <w:tcW w:type="dxa" w:w="807"/>
            <w:tcBorders>
              <w:left w:space="0" w:sz="6" w:color="000000" w:val="double"/>
              <w:bottom w:space="0" w:sz="4" w:color="000000" w:val="single"/>
            </w:tcBorders>
            <w:shd w:fill="auto" w:color="auto" w:val="clear"/>
            <w:vAlign w:val="bottom"/>
          </w:tcPr>
          <w:p w:rsidRDefault="00AE6EB4" w:rsidR="00DF2444">
            <w:pPr>
              <w:jc w:val="center"/>
              <w:rPr>
                <w:rFonts w:hint="eastAsia"/>
              </w:rPr>
            </w:pPr>
            <w:r>
              <w:rPr>
                <w:rFonts w:cs="Times New Roman" w:hAnsi="Times New Roman" w:ascii="Times New Roman"/>
                <w:lang w:val="hr-HR"/>
              </w:rPr>
              <w:t>6.</w:t>
            </w:r>
          </w:p>
        </w:tc>
        <w:tc>
          <w:tcPr>
            <w:tcW w:type="dxa" w:w="4389"/>
            <w:tcBorders>
              <w:left w:space="0" w:sz="4" w:color="000000" w:val="single"/>
              <w:bottom w:space="0" w:sz="4" w:color="000000" w:val="single"/>
            </w:tcBorders>
            <w:shd w:fill="auto" w:color="auto" w:val="clear"/>
            <w:vAlign w:val="bottom"/>
          </w:tcPr>
          <w:p w:rsidRDefault="00AE6EB4" w:rsidR="00DF2444">
            <w:pPr>
              <w:rPr>
                <w:rFonts w:hint="eastAsia"/>
              </w:rPr>
            </w:pPr>
            <w:r>
              <w:rPr>
                <w:rFonts w:cs="Times New Roman" w:hAnsi="Times New Roman" w:ascii="Times New Roman"/>
                <w:lang w:val="hr-HR"/>
              </w:rPr>
              <w:t>Izvanredni rashodi</w:t>
            </w:r>
          </w:p>
        </w:tc>
        <w:tc>
          <w:tcPr>
            <w:tcW w:type="dxa" w:w="3921"/>
            <w:tcBorders>
              <w:left w:space="0" w:sz="4" w:color="000000" w:val="single"/>
              <w:bottom w:space="0" w:sz="4" w:color="000000" w:val="single"/>
            </w:tcBorders>
            <w:shd w:fill="auto" w:color="auto" w:val="clear"/>
            <w:vAlign w:val="bottom"/>
          </w:tcPr>
          <w:p w:rsidRDefault="00AE6EB4" w:rsidR="00DF2444">
            <w:pPr>
              <w:jc w:val="right"/>
              <w:rPr>
                <w:rFonts w:hint="eastAsia"/>
              </w:rPr>
            </w:pPr>
            <w:r>
              <w:rPr>
                <w:rFonts w:cs="Times New Roman" w:hAnsi="Times New Roman" w:ascii="Times New Roman"/>
                <w:lang w:val="hr-HR"/>
              </w:rPr>
              <w:t>0</w:t>
            </w:r>
          </w:p>
        </w:tc>
        <w:tc>
          <w:tcPr>
            <w:tcW w:type="dxa" w:w="378"/>
            <w:gridSpan w:val="3"/>
            <w:tcBorders>
              <w:left w:space="0" w:sz="6" w:color="000000" w:val="double"/>
            </w:tcBorders>
            <w:shd w:fill="auto" w:color="auto" w:val="clear"/>
          </w:tcPr>
          <w:p w:rsidRDefault="00DF2444" w:rsidR="00DF2444">
            <w:pPr>
              <w:snapToGrid w:val="false"/>
              <w:rPr>
                <w:rFonts w:cs="Times New Roman" w:hAnsi="Times New Roman" w:ascii="Times New Roman"/>
                <w:lang w:val="hr-HR"/>
              </w:rPr>
            </w:pPr>
          </w:p>
        </w:tc>
      </w:tr>
      <w:tr w:rsidR="00DF2444">
        <w:tblPrEx>
          <w:tblCellMar>
            <w:left w:type="dxa" w:w="0"/>
            <w:right w:type="dxa" w:w="0"/>
          </w:tblCellMar>
        </w:tblPrEx>
        <w:trPr>
          <w:trHeight w:val="255"/>
        </w:trPr>
        <w:tc>
          <w:tcPr>
            <w:tcW w:type="dxa" w:w="807"/>
            <w:tcBorders>
              <w:left w:space="0" w:sz="6" w:color="000000" w:val="double"/>
            </w:tcBorders>
            <w:shd w:fill="auto" w:color="auto" w:val="clear"/>
            <w:vAlign w:val="bottom"/>
          </w:tcPr>
          <w:p w:rsidRDefault="00AE6EB4" w:rsidR="00DF2444">
            <w:pPr>
              <w:jc w:val="center"/>
              <w:rPr>
                <w:rFonts w:hint="eastAsia"/>
              </w:rPr>
            </w:pPr>
            <w:r>
              <w:rPr>
                <w:rFonts w:cs="Times New Roman" w:hAnsi="Times New Roman" w:ascii="Times New Roman"/>
                <w:b/>
                <w:bCs/>
                <w:lang w:val="hr-HR"/>
              </w:rPr>
              <w:t>7.</w:t>
            </w:r>
          </w:p>
        </w:tc>
        <w:tc>
          <w:tcPr>
            <w:tcW w:type="dxa" w:w="4389"/>
            <w:tcBorders>
              <w:left w:space="0" w:sz="4" w:color="000000" w:val="single"/>
            </w:tcBorders>
            <w:shd w:fill="auto" w:color="auto" w:val="clear"/>
            <w:vAlign w:val="bottom"/>
          </w:tcPr>
          <w:p w:rsidRDefault="00AE6EB4" w:rsidR="00DF2444">
            <w:pPr>
              <w:rPr>
                <w:rFonts w:hint="eastAsia"/>
              </w:rPr>
            </w:pPr>
            <w:r>
              <w:rPr>
                <w:rFonts w:cs="Times New Roman" w:hAnsi="Times New Roman" w:ascii="Times New Roman"/>
                <w:b/>
                <w:bCs/>
                <w:lang w:val="hr-HR"/>
              </w:rPr>
              <w:t>UKUPNI PRIHODI (1+3+5)</w:t>
            </w:r>
          </w:p>
        </w:tc>
        <w:tc>
          <w:tcPr>
            <w:tcW w:type="dxa" w:w="3921"/>
            <w:tcBorders>
              <w:left w:space="0" w:sz="4" w:color="000000" w:val="single"/>
            </w:tcBorders>
            <w:shd w:fill="auto" w:color="auto" w:val="clear"/>
            <w:vAlign w:val="bottom"/>
          </w:tcPr>
          <w:p w:rsidRDefault="00AE6EB4" w:rsidR="00DF2444">
            <w:pPr>
              <w:jc w:val="right"/>
              <w:rPr>
                <w:rFonts w:hint="eastAsia"/>
              </w:rPr>
            </w:pPr>
            <w:r>
              <w:rPr>
                <w:rFonts w:cs="Times New Roman" w:hAnsi="Times New Roman" w:ascii="Times New Roman"/>
                <w:b/>
                <w:bCs/>
                <w:lang w:val="hr-HR"/>
              </w:rPr>
              <w:t>530.600</w:t>
            </w:r>
          </w:p>
        </w:tc>
        <w:tc>
          <w:tcPr>
            <w:tcW w:type="dxa" w:w="378"/>
            <w:gridSpan w:val="3"/>
            <w:tcBorders>
              <w:left w:space="0" w:sz="6" w:color="000000" w:val="double"/>
            </w:tcBorders>
            <w:shd w:fill="auto" w:color="auto" w:val="clear"/>
          </w:tcPr>
          <w:p w:rsidRDefault="00DF2444" w:rsidR="00DF2444">
            <w:pPr>
              <w:snapToGrid w:val="false"/>
              <w:rPr>
                <w:rFonts w:cs="Times New Roman" w:hAnsi="Times New Roman" w:ascii="Times New Roman"/>
                <w:lang w:val="hr-HR"/>
              </w:rPr>
            </w:pPr>
          </w:p>
        </w:tc>
      </w:tr>
      <w:tr w:rsidR="00DF2444">
        <w:tblPrEx>
          <w:tblCellMar>
            <w:left w:type="dxa" w:w="0"/>
            <w:right w:type="dxa" w:w="0"/>
          </w:tblCellMar>
        </w:tblPrEx>
        <w:trPr>
          <w:trHeight w:val="255"/>
        </w:trPr>
        <w:tc>
          <w:tcPr>
            <w:tcW w:type="dxa" w:w="807"/>
            <w:tcBorders>
              <w:top w:space="0" w:sz="4" w:color="000000" w:val="single"/>
              <w:left w:space="0" w:sz="6" w:color="000000" w:val="double"/>
              <w:bottom w:space="0" w:sz="4" w:color="000000" w:val="single"/>
            </w:tcBorders>
            <w:shd w:fill="auto" w:color="auto" w:val="clear"/>
            <w:vAlign w:val="bottom"/>
          </w:tcPr>
          <w:p w:rsidRDefault="00AE6EB4" w:rsidR="00DF2444">
            <w:pPr>
              <w:jc w:val="center"/>
              <w:rPr>
                <w:rFonts w:hint="eastAsia"/>
              </w:rPr>
            </w:pPr>
            <w:r>
              <w:rPr>
                <w:rFonts w:cs="Times New Roman" w:hAnsi="Times New Roman" w:ascii="Times New Roman"/>
                <w:b/>
                <w:bCs/>
                <w:lang w:val="hr-HR"/>
              </w:rPr>
              <w:t>8.</w:t>
            </w:r>
          </w:p>
        </w:tc>
        <w:tc>
          <w:tcPr>
            <w:tcW w:type="dxa" w:w="4389"/>
            <w:tcBorders>
              <w:top w:space="0" w:sz="4" w:color="000000" w:val="single"/>
              <w:left w:space="0" w:sz="4" w:color="000000" w:val="single"/>
              <w:bottom w:space="0" w:sz="4" w:color="000000" w:val="single"/>
            </w:tcBorders>
            <w:shd w:fill="auto" w:color="auto" w:val="clear"/>
            <w:vAlign w:val="bottom"/>
          </w:tcPr>
          <w:p w:rsidRDefault="00AE6EB4" w:rsidR="00DF2444">
            <w:pPr>
              <w:rPr>
                <w:rFonts w:hint="eastAsia"/>
              </w:rPr>
            </w:pPr>
            <w:r>
              <w:rPr>
                <w:rFonts w:cs="Times New Roman" w:hAnsi="Times New Roman" w:ascii="Times New Roman"/>
                <w:b/>
                <w:bCs/>
                <w:lang w:val="hr-HR"/>
              </w:rPr>
              <w:t>UKUPNI RASHODI (2+4+6)</w:t>
            </w:r>
          </w:p>
        </w:tc>
        <w:tc>
          <w:tcPr>
            <w:tcW w:type="dxa" w:w="3921"/>
            <w:tcBorders>
              <w:top w:space="0" w:sz="4" w:color="000000" w:val="single"/>
              <w:left w:space="0" w:sz="4" w:color="000000" w:val="single"/>
              <w:bottom w:space="0" w:sz="4" w:color="000000" w:val="single"/>
            </w:tcBorders>
            <w:shd w:fill="auto" w:color="auto" w:val="clear"/>
            <w:vAlign w:val="bottom"/>
          </w:tcPr>
          <w:p w:rsidRDefault="00AE6EB4" w:rsidR="00DF2444">
            <w:pPr>
              <w:jc w:val="right"/>
              <w:rPr>
                <w:rFonts w:hint="eastAsia"/>
              </w:rPr>
            </w:pPr>
            <w:r>
              <w:rPr>
                <w:rFonts w:cs="Times New Roman" w:hAnsi="Times New Roman" w:ascii="Times New Roman"/>
                <w:b/>
                <w:bCs/>
                <w:lang w:val="hr-HR"/>
              </w:rPr>
              <w:t>865.900</w:t>
            </w:r>
          </w:p>
        </w:tc>
        <w:tc>
          <w:tcPr>
            <w:tcW w:type="dxa" w:w="378"/>
            <w:gridSpan w:val="3"/>
            <w:tcBorders>
              <w:left w:space="0" w:sz="6" w:color="000000" w:val="double"/>
            </w:tcBorders>
            <w:shd w:fill="auto" w:color="auto" w:val="clear"/>
          </w:tcPr>
          <w:p w:rsidRDefault="00DF2444" w:rsidR="00DF2444">
            <w:pPr>
              <w:snapToGrid w:val="false"/>
              <w:rPr>
                <w:rFonts w:cs="Times New Roman" w:hAnsi="Times New Roman" w:ascii="Times New Roman"/>
                <w:lang w:val="hr-HR"/>
              </w:rPr>
            </w:pPr>
          </w:p>
        </w:tc>
      </w:tr>
      <w:tr w:rsidR="00DF2444">
        <w:tblPrEx>
          <w:tblCellMar>
            <w:left w:type="dxa" w:w="0"/>
            <w:right w:type="dxa" w:w="0"/>
          </w:tblCellMar>
        </w:tblPrEx>
        <w:trPr>
          <w:trHeight w:val="255"/>
        </w:trPr>
        <w:tc>
          <w:tcPr>
            <w:tcW w:type="dxa" w:w="807"/>
            <w:tcBorders>
              <w:left w:space="0" w:sz="6" w:color="000000" w:val="double"/>
            </w:tcBorders>
            <w:shd w:fill="auto" w:color="auto" w:val="clear"/>
            <w:vAlign w:val="bottom"/>
          </w:tcPr>
          <w:p w:rsidRDefault="00AE6EB4" w:rsidR="00DF2444">
            <w:pPr>
              <w:jc w:val="center"/>
              <w:rPr>
                <w:rFonts w:hint="eastAsia"/>
              </w:rPr>
            </w:pPr>
            <w:r>
              <w:rPr>
                <w:rFonts w:cs="Times New Roman" w:hAnsi="Times New Roman" w:ascii="Times New Roman"/>
                <w:lang w:val="hr-HR"/>
              </w:rPr>
              <w:t> </w:t>
            </w:r>
          </w:p>
        </w:tc>
        <w:tc>
          <w:tcPr>
            <w:tcW w:type="dxa" w:w="4389"/>
            <w:tcBorders>
              <w:left w:space="0" w:sz="4" w:color="000000" w:val="single"/>
              <w:bottom w:space="0" w:sz="4" w:color="000000" w:val="single"/>
            </w:tcBorders>
            <w:shd w:fill="auto" w:color="auto" w:val="clear"/>
            <w:vAlign w:val="bottom"/>
          </w:tcPr>
          <w:p w:rsidRDefault="00AE6EB4" w:rsidR="00DF2444">
            <w:pPr>
              <w:rPr>
                <w:rFonts w:hint="eastAsia"/>
              </w:rPr>
            </w:pPr>
            <w:r>
              <w:rPr>
                <w:rFonts w:cs="Times New Roman" w:hAnsi="Times New Roman" w:ascii="Times New Roman"/>
                <w:lang w:val="hr-HR"/>
              </w:rPr>
              <w:t>9.1.Dobitak prije oporezivanja (7-8)</w:t>
            </w:r>
          </w:p>
        </w:tc>
        <w:tc>
          <w:tcPr>
            <w:tcW w:type="dxa" w:w="3921"/>
            <w:tcBorders>
              <w:left w:space="0" w:sz="4" w:color="000000" w:val="single"/>
              <w:bottom w:space="0" w:sz="4" w:color="000000" w:val="single"/>
            </w:tcBorders>
            <w:shd w:fill="auto" w:color="auto" w:val="clear"/>
            <w:vAlign w:val="bottom"/>
          </w:tcPr>
          <w:p w:rsidRDefault="00AE6EB4" w:rsidR="00DF2444">
            <w:pPr>
              <w:rPr>
                <w:rFonts w:hint="eastAsia"/>
              </w:rPr>
            </w:pPr>
            <w:r>
              <w:rPr>
                <w:rFonts w:cs="Times New Roman" w:eastAsia="Times New Roman" w:hAnsi="Times New Roman" w:ascii="Times New Roman"/>
                <w:lang w:val="hr-HR"/>
              </w:rPr>
              <w:t xml:space="preserve">                             </w:t>
            </w:r>
          </w:p>
          <w:p w:rsidRDefault="00AE6EB4" w:rsidR="00DF2444">
            <w:pPr>
              <w:jc w:val="right"/>
              <w:rPr>
                <w:rFonts w:hint="eastAsia"/>
              </w:rPr>
            </w:pPr>
            <w:r>
              <w:rPr>
                <w:rFonts w:cs="Times New Roman" w:eastAsia="Times New Roman" w:hAnsi="Times New Roman" w:ascii="Times New Roman"/>
                <w:lang w:val="hr-HR"/>
              </w:rPr>
              <w:t xml:space="preserve">              </w:t>
            </w:r>
            <w:r>
              <w:rPr>
                <w:rFonts w:cs="Times New Roman" w:eastAsia="Bookman Old Style" w:hAnsi="Times New Roman" w:ascii="Times New Roman"/>
                <w:lang w:val="hr-HR"/>
              </w:rPr>
              <w:t>0</w:t>
            </w:r>
          </w:p>
        </w:tc>
        <w:tc>
          <w:tcPr>
            <w:tcW w:type="dxa" w:w="378"/>
            <w:gridSpan w:val="3"/>
            <w:tcBorders>
              <w:left w:space="0" w:sz="6" w:color="000000" w:val="double"/>
            </w:tcBorders>
            <w:shd w:fill="auto" w:color="auto" w:val="clear"/>
          </w:tcPr>
          <w:p w:rsidRDefault="00DF2444" w:rsidR="00DF2444">
            <w:pPr>
              <w:snapToGrid w:val="false"/>
              <w:rPr>
                <w:rFonts w:cs="Times New Roman" w:hAnsi="Times New Roman" w:ascii="Times New Roman"/>
                <w:lang w:val="hr-HR"/>
              </w:rPr>
            </w:pPr>
          </w:p>
        </w:tc>
      </w:tr>
      <w:tr w:rsidR="00DF2444">
        <w:tblPrEx>
          <w:tblCellMar>
            <w:left w:type="dxa" w:w="0"/>
            <w:right w:type="dxa" w:w="0"/>
          </w:tblCellMar>
        </w:tblPrEx>
        <w:trPr>
          <w:trHeight w:val="255"/>
        </w:trPr>
        <w:tc>
          <w:tcPr>
            <w:tcW w:type="dxa" w:w="807"/>
            <w:tcBorders>
              <w:left w:space="0" w:sz="6" w:color="000000" w:val="double"/>
              <w:bottom w:space="0" w:sz="4" w:color="000000" w:val="single"/>
            </w:tcBorders>
            <w:shd w:fill="auto" w:color="auto" w:val="clear"/>
            <w:vAlign w:val="bottom"/>
          </w:tcPr>
          <w:p w:rsidRDefault="00AE6EB4" w:rsidR="00DF2444">
            <w:pPr>
              <w:jc w:val="center"/>
              <w:rPr>
                <w:rFonts w:hint="eastAsia"/>
              </w:rPr>
            </w:pPr>
            <w:r>
              <w:rPr>
                <w:rFonts w:cs="Times New Roman" w:hAnsi="Times New Roman" w:ascii="Times New Roman"/>
                <w:lang w:val="hr-HR"/>
              </w:rPr>
              <w:t>9.</w:t>
            </w:r>
          </w:p>
        </w:tc>
        <w:tc>
          <w:tcPr>
            <w:tcW w:type="dxa" w:w="4389"/>
            <w:tcBorders>
              <w:left w:space="0" w:sz="4" w:color="000000" w:val="single"/>
              <w:bottom w:space="0" w:sz="4" w:color="000000" w:val="single"/>
            </w:tcBorders>
            <w:shd w:fill="auto" w:color="auto" w:val="clear"/>
            <w:vAlign w:val="bottom"/>
          </w:tcPr>
          <w:p w:rsidRDefault="00AE6EB4" w:rsidR="00DF2444">
            <w:pPr>
              <w:rPr>
                <w:rFonts w:hint="eastAsia"/>
              </w:rPr>
            </w:pPr>
            <w:r>
              <w:rPr>
                <w:rFonts w:cs="Times New Roman" w:hAnsi="Times New Roman" w:ascii="Times New Roman"/>
                <w:lang w:val="hr-HR"/>
              </w:rPr>
              <w:t>9.2.Gubitak prije oporezivanja (8-7)</w:t>
            </w:r>
          </w:p>
        </w:tc>
        <w:tc>
          <w:tcPr>
            <w:tcW w:type="dxa" w:w="3921"/>
            <w:tcBorders>
              <w:left w:space="0" w:sz="4" w:color="000000" w:val="single"/>
              <w:bottom w:space="0" w:sz="4" w:color="000000" w:val="single"/>
            </w:tcBorders>
            <w:shd w:fill="auto" w:color="auto" w:val="clear"/>
            <w:vAlign w:val="bottom"/>
          </w:tcPr>
          <w:p w:rsidRDefault="00AE6EB4" w:rsidR="00DF2444">
            <w:pPr>
              <w:jc w:val="right"/>
              <w:rPr>
                <w:rFonts w:hint="eastAsia"/>
              </w:rPr>
            </w:pPr>
            <w:r>
              <w:rPr>
                <w:rFonts w:cs="Times New Roman" w:hAnsi="Times New Roman" w:ascii="Times New Roman"/>
                <w:lang w:val="hr-HR"/>
              </w:rPr>
              <w:t>335.300</w:t>
            </w:r>
          </w:p>
        </w:tc>
        <w:tc>
          <w:tcPr>
            <w:tcW w:type="dxa" w:w="378"/>
            <w:gridSpan w:val="3"/>
            <w:tcBorders>
              <w:left w:space="0" w:sz="6" w:color="000000" w:val="double"/>
            </w:tcBorders>
            <w:shd w:fill="auto" w:color="auto" w:val="clear"/>
          </w:tcPr>
          <w:p w:rsidRDefault="00DF2444" w:rsidR="00DF2444">
            <w:pPr>
              <w:snapToGrid w:val="false"/>
              <w:rPr>
                <w:rFonts w:cs="Times New Roman" w:hAnsi="Times New Roman" w:ascii="Times New Roman"/>
                <w:lang w:val="hr-HR"/>
              </w:rPr>
            </w:pPr>
          </w:p>
        </w:tc>
      </w:tr>
      <w:tr w:rsidR="00DF2444">
        <w:tblPrEx>
          <w:tblCellMar>
            <w:left w:type="dxa" w:w="0"/>
            <w:right w:type="dxa" w:w="0"/>
          </w:tblCellMar>
        </w:tblPrEx>
        <w:trPr>
          <w:trHeight w:val="255"/>
        </w:trPr>
        <w:tc>
          <w:tcPr>
            <w:tcW w:type="dxa" w:w="807"/>
            <w:tcBorders>
              <w:left w:space="0" w:sz="6" w:color="000000" w:val="double"/>
              <w:bottom w:space="0" w:sz="4" w:color="000000" w:val="single"/>
            </w:tcBorders>
            <w:shd w:fill="auto" w:color="auto" w:val="clear"/>
            <w:vAlign w:val="bottom"/>
          </w:tcPr>
          <w:p w:rsidRDefault="00AE6EB4" w:rsidR="00DF2444">
            <w:pPr>
              <w:jc w:val="center"/>
              <w:rPr>
                <w:rFonts w:hint="eastAsia"/>
              </w:rPr>
            </w:pPr>
            <w:r>
              <w:rPr>
                <w:rFonts w:cs="Times New Roman" w:hAnsi="Times New Roman" w:ascii="Times New Roman"/>
                <w:lang w:val="hr-HR"/>
              </w:rPr>
              <w:t>10.</w:t>
            </w:r>
          </w:p>
        </w:tc>
        <w:tc>
          <w:tcPr>
            <w:tcW w:type="dxa" w:w="4389"/>
            <w:tcBorders>
              <w:left w:space="0" w:sz="4" w:color="000000" w:val="single"/>
              <w:bottom w:space="0" w:sz="4" w:color="000000" w:val="single"/>
            </w:tcBorders>
            <w:shd w:fill="auto" w:color="auto" w:val="clear"/>
            <w:vAlign w:val="bottom"/>
          </w:tcPr>
          <w:p w:rsidRDefault="00AE6EB4" w:rsidR="00DF2444">
            <w:pPr>
              <w:rPr>
                <w:rFonts w:hint="eastAsia"/>
              </w:rPr>
            </w:pPr>
            <w:r>
              <w:rPr>
                <w:rFonts w:cs="Times New Roman" w:hAnsi="Times New Roman" w:ascii="Times New Roman"/>
                <w:lang w:val="hr-HR"/>
              </w:rPr>
              <w:t>Porez na dobitak ili gubitak</w:t>
            </w:r>
          </w:p>
        </w:tc>
        <w:tc>
          <w:tcPr>
            <w:tcW w:type="dxa" w:w="3921"/>
            <w:tcBorders>
              <w:left w:space="0" w:sz="4" w:color="000000" w:val="single"/>
              <w:bottom w:space="0" w:sz="4" w:color="000000" w:val="single"/>
            </w:tcBorders>
            <w:shd w:fill="auto" w:color="auto" w:val="clear"/>
            <w:vAlign w:val="bottom"/>
          </w:tcPr>
          <w:p w:rsidRDefault="00AE6EB4" w:rsidR="00DF2444">
            <w:pPr>
              <w:jc w:val="right"/>
              <w:rPr>
                <w:rFonts w:hint="eastAsia"/>
              </w:rPr>
            </w:pPr>
            <w:r>
              <w:rPr>
                <w:rFonts w:cs="Times New Roman" w:hAnsi="Times New Roman" w:ascii="Times New Roman"/>
                <w:lang w:val="hr-HR"/>
              </w:rPr>
              <w:t>0</w:t>
            </w:r>
          </w:p>
        </w:tc>
        <w:tc>
          <w:tcPr>
            <w:tcW w:type="dxa" w:w="378"/>
            <w:gridSpan w:val="3"/>
            <w:tcBorders>
              <w:left w:space="0" w:sz="6" w:color="000000" w:val="double"/>
            </w:tcBorders>
            <w:shd w:fill="auto" w:color="auto" w:val="clear"/>
          </w:tcPr>
          <w:p w:rsidRDefault="00DF2444" w:rsidR="00DF2444">
            <w:pPr>
              <w:snapToGrid w:val="false"/>
              <w:rPr>
                <w:rFonts w:cs="Times New Roman" w:hAnsi="Times New Roman" w:ascii="Times New Roman"/>
                <w:lang w:val="hr-HR"/>
              </w:rPr>
            </w:pPr>
          </w:p>
        </w:tc>
      </w:tr>
      <w:tr w:rsidR="00DF2444">
        <w:tblPrEx>
          <w:tblCellMar>
            <w:left w:type="dxa" w:w="0"/>
            <w:right w:type="dxa" w:w="0"/>
          </w:tblCellMar>
        </w:tblPrEx>
        <w:trPr>
          <w:trHeight w:val="255"/>
        </w:trPr>
        <w:tc>
          <w:tcPr>
            <w:tcW w:type="dxa" w:w="807"/>
            <w:tcBorders>
              <w:left w:space="0" w:sz="6" w:color="000000" w:val="double"/>
            </w:tcBorders>
            <w:shd w:fill="auto" w:color="auto" w:val="clear"/>
            <w:vAlign w:val="bottom"/>
          </w:tcPr>
          <w:p w:rsidRDefault="00AE6EB4" w:rsidR="00DF2444">
            <w:pPr>
              <w:jc w:val="center"/>
              <w:rPr>
                <w:rFonts w:hint="eastAsia"/>
              </w:rPr>
            </w:pPr>
            <w:r>
              <w:rPr>
                <w:rFonts w:cs="Times New Roman" w:hAnsi="Times New Roman" w:ascii="Times New Roman"/>
                <w:b/>
                <w:bCs/>
                <w:lang w:val="hr-HR"/>
              </w:rPr>
              <w:t> </w:t>
            </w:r>
          </w:p>
        </w:tc>
        <w:tc>
          <w:tcPr>
            <w:tcW w:type="dxa" w:w="4389"/>
            <w:tcBorders>
              <w:left w:space="0" w:sz="4" w:color="000000" w:val="single"/>
            </w:tcBorders>
            <w:shd w:fill="auto" w:color="auto" w:val="clear"/>
            <w:vAlign w:val="bottom"/>
          </w:tcPr>
          <w:p w:rsidRDefault="00AE6EB4" w:rsidR="00DF2444">
            <w:pPr>
              <w:rPr>
                <w:rFonts w:hint="eastAsia"/>
              </w:rPr>
            </w:pPr>
            <w:r>
              <w:rPr>
                <w:rFonts w:cs="Times New Roman" w:hAnsi="Times New Roman" w:ascii="Times New Roman"/>
                <w:b/>
                <w:bCs/>
                <w:lang w:val="hr-HR"/>
              </w:rPr>
              <w:t>DOBITAK FINANCIJSKE</w:t>
            </w:r>
          </w:p>
        </w:tc>
        <w:tc>
          <w:tcPr>
            <w:tcW w:type="dxa" w:w="3921"/>
            <w:tcBorders>
              <w:left w:space="0" w:sz="4" w:color="000000" w:val="single"/>
            </w:tcBorders>
            <w:shd w:fill="auto" w:color="auto" w:val="clear"/>
            <w:vAlign w:val="bottom"/>
          </w:tcPr>
          <w:p w:rsidRDefault="00AE6EB4" w:rsidR="00DF2444">
            <w:pPr>
              <w:jc w:val="right"/>
              <w:rPr>
                <w:rFonts w:hint="eastAsia"/>
              </w:rPr>
            </w:pPr>
            <w:r>
              <w:rPr>
                <w:rFonts w:cs="Times New Roman" w:eastAsia="Times New Roman" w:hAnsi="Times New Roman" w:ascii="Times New Roman"/>
                <w:lang w:val="hr-HR"/>
              </w:rPr>
              <w:t xml:space="preserve">            </w:t>
            </w:r>
            <w:r>
              <w:rPr>
                <w:rFonts w:cs="Times New Roman" w:eastAsia="Bookman Old Style" w:hAnsi="Times New Roman" w:ascii="Times New Roman"/>
                <w:lang w:val="hr-HR"/>
              </w:rPr>
              <w:t>0</w:t>
            </w:r>
          </w:p>
        </w:tc>
        <w:tc>
          <w:tcPr>
            <w:tcW w:type="dxa" w:w="378"/>
            <w:gridSpan w:val="3"/>
            <w:tcBorders>
              <w:left w:space="0" w:sz="6" w:color="000000" w:val="double"/>
            </w:tcBorders>
            <w:shd w:fill="auto" w:color="auto" w:val="clear"/>
          </w:tcPr>
          <w:p w:rsidRDefault="00DF2444" w:rsidR="00DF2444">
            <w:pPr>
              <w:snapToGrid w:val="false"/>
              <w:rPr>
                <w:rFonts w:cs="Times New Roman" w:hAnsi="Times New Roman" w:ascii="Times New Roman"/>
                <w:lang w:val="hr-HR"/>
              </w:rPr>
            </w:pPr>
          </w:p>
        </w:tc>
      </w:tr>
      <w:tr w:rsidR="00DF2444">
        <w:tblPrEx>
          <w:tblCellMar>
            <w:left w:type="dxa" w:w="0"/>
            <w:right w:type="dxa" w:w="0"/>
          </w:tblCellMar>
        </w:tblPrEx>
        <w:trPr>
          <w:trHeight w:val="255"/>
        </w:trPr>
        <w:tc>
          <w:tcPr>
            <w:tcW w:type="dxa" w:w="807"/>
            <w:tcBorders>
              <w:left w:space="0" w:sz="6" w:color="000000" w:val="double"/>
            </w:tcBorders>
            <w:shd w:fill="auto" w:color="auto" w:val="clear"/>
            <w:vAlign w:val="bottom"/>
          </w:tcPr>
          <w:p w:rsidRDefault="00AE6EB4" w:rsidR="00DF2444">
            <w:pPr>
              <w:jc w:val="center"/>
              <w:rPr>
                <w:rFonts w:hint="eastAsia"/>
              </w:rPr>
            </w:pPr>
            <w:r>
              <w:rPr>
                <w:rFonts w:cs="Times New Roman" w:hAnsi="Times New Roman" w:ascii="Times New Roman"/>
                <w:b/>
                <w:bCs/>
                <w:lang w:val="hr-HR"/>
              </w:rPr>
              <w:t>11.</w:t>
            </w:r>
          </w:p>
        </w:tc>
        <w:tc>
          <w:tcPr>
            <w:tcW w:type="dxa" w:w="4389"/>
            <w:tcBorders>
              <w:left w:space="0" w:sz="4" w:color="000000" w:val="single"/>
              <w:bottom w:space="0" w:sz="4" w:color="000000" w:val="single"/>
            </w:tcBorders>
            <w:shd w:fill="auto" w:color="auto" w:val="clear"/>
            <w:vAlign w:val="bottom"/>
          </w:tcPr>
          <w:p w:rsidRDefault="00AE6EB4" w:rsidR="00DF2444">
            <w:pPr>
              <w:rPr>
                <w:rFonts w:hint="eastAsia"/>
              </w:rPr>
            </w:pPr>
            <w:r>
              <w:rPr>
                <w:rFonts w:cs="Times New Roman" w:hAnsi="Times New Roman" w:ascii="Times New Roman"/>
                <w:b/>
                <w:bCs/>
                <w:lang w:val="hr-HR"/>
              </w:rPr>
              <w:t>GODINE (9.1.-10)</w:t>
            </w:r>
          </w:p>
        </w:tc>
        <w:tc>
          <w:tcPr>
            <w:tcW w:type="dxa" w:w="3921"/>
            <w:tcBorders>
              <w:left w:space="0" w:sz="4" w:color="000000" w:val="single"/>
              <w:bottom w:space="0" w:sz="4" w:color="000000" w:val="single"/>
            </w:tcBorders>
            <w:shd w:fill="auto" w:color="auto" w:val="clear"/>
            <w:vAlign w:val="bottom"/>
          </w:tcPr>
          <w:p w:rsidRDefault="00DF2444" w:rsidR="00DF2444">
            <w:pPr>
              <w:snapToGrid w:val="false"/>
              <w:jc w:val="right"/>
              <w:rPr>
                <w:rFonts w:cs="Times New Roman" w:hAnsi="Times New Roman" w:ascii="Times New Roman"/>
                <w:b/>
                <w:bCs/>
                <w:lang w:val="hr-HR"/>
              </w:rPr>
            </w:pPr>
          </w:p>
        </w:tc>
        <w:tc>
          <w:tcPr>
            <w:tcW w:type="dxa" w:w="378"/>
            <w:gridSpan w:val="3"/>
            <w:tcBorders>
              <w:left w:space="0" w:sz="6" w:color="000000" w:val="double"/>
            </w:tcBorders>
            <w:shd w:fill="auto" w:color="auto" w:val="clear"/>
          </w:tcPr>
          <w:p w:rsidRDefault="00DF2444" w:rsidR="00DF2444">
            <w:pPr>
              <w:snapToGrid w:val="false"/>
              <w:rPr>
                <w:rFonts w:cs="Times New Roman" w:hAnsi="Times New Roman" w:ascii="Times New Roman"/>
                <w:b/>
                <w:bCs/>
                <w:lang w:val="hr-HR"/>
              </w:rPr>
            </w:pPr>
          </w:p>
        </w:tc>
      </w:tr>
      <w:tr w:rsidR="00DF2444">
        <w:tblPrEx>
          <w:tblCellMar>
            <w:left w:type="dxa" w:w="0"/>
            <w:right w:type="dxa" w:w="0"/>
          </w:tblCellMar>
        </w:tblPrEx>
        <w:trPr>
          <w:trHeight w:val="255"/>
        </w:trPr>
        <w:tc>
          <w:tcPr>
            <w:tcW w:type="dxa" w:w="807"/>
            <w:tcBorders>
              <w:left w:space="0" w:sz="6" w:color="000000" w:val="double"/>
            </w:tcBorders>
            <w:shd w:fill="auto" w:color="auto" w:val="clear"/>
            <w:vAlign w:val="bottom"/>
          </w:tcPr>
          <w:p w:rsidRDefault="00AE6EB4" w:rsidR="00DF2444">
            <w:pPr>
              <w:jc w:val="center"/>
              <w:rPr>
                <w:rFonts w:hint="eastAsia"/>
              </w:rPr>
            </w:pPr>
            <w:r>
              <w:rPr>
                <w:rFonts w:cs="Times New Roman" w:hAnsi="Times New Roman" w:ascii="Times New Roman"/>
                <w:b/>
                <w:bCs/>
                <w:lang w:val="hr-HR"/>
              </w:rPr>
              <w:t> </w:t>
            </w:r>
          </w:p>
        </w:tc>
        <w:tc>
          <w:tcPr>
            <w:tcW w:type="dxa" w:w="4389"/>
            <w:tcBorders>
              <w:left w:space="0" w:sz="4" w:color="000000" w:val="single"/>
            </w:tcBorders>
            <w:shd w:fill="auto" w:color="auto" w:val="clear"/>
            <w:vAlign w:val="bottom"/>
          </w:tcPr>
          <w:p w:rsidRDefault="00AE6EB4" w:rsidR="00DF2444">
            <w:pPr>
              <w:rPr>
                <w:rFonts w:hint="eastAsia"/>
              </w:rPr>
            </w:pPr>
            <w:r>
              <w:rPr>
                <w:rFonts w:cs="Times New Roman" w:hAnsi="Times New Roman" w:ascii="Times New Roman"/>
                <w:b/>
                <w:bCs/>
                <w:lang w:val="hr-HR"/>
              </w:rPr>
              <w:t xml:space="preserve">GUBITAK FINANCIJSKE </w:t>
            </w:r>
          </w:p>
        </w:tc>
        <w:tc>
          <w:tcPr>
            <w:tcW w:type="dxa" w:w="3921"/>
            <w:tcBorders>
              <w:left w:space="0" w:sz="4" w:color="000000" w:val="single"/>
            </w:tcBorders>
            <w:shd w:fill="auto" w:color="auto" w:val="clear"/>
            <w:vAlign w:val="bottom"/>
          </w:tcPr>
          <w:p w:rsidRDefault="00DF2444" w:rsidR="00DF2444">
            <w:pPr>
              <w:snapToGrid w:val="false"/>
              <w:rPr>
                <w:rFonts w:cs="Times New Roman" w:hAnsi="Times New Roman" w:ascii="Times New Roman"/>
                <w:b/>
                <w:bCs/>
                <w:lang w:val="hr-HR"/>
              </w:rPr>
            </w:pPr>
          </w:p>
        </w:tc>
        <w:tc>
          <w:tcPr>
            <w:tcW w:type="dxa" w:w="378"/>
            <w:gridSpan w:val="3"/>
            <w:tcBorders>
              <w:left w:space="0" w:sz="6" w:color="000000" w:val="double"/>
            </w:tcBorders>
            <w:shd w:fill="auto" w:color="auto" w:val="clear"/>
          </w:tcPr>
          <w:p w:rsidRDefault="00DF2444" w:rsidR="00DF2444">
            <w:pPr>
              <w:snapToGrid w:val="false"/>
              <w:rPr>
                <w:rFonts w:cs="Times New Roman" w:hAnsi="Times New Roman" w:ascii="Times New Roman"/>
                <w:b/>
                <w:bCs/>
                <w:lang w:val="hr-HR"/>
              </w:rPr>
            </w:pPr>
          </w:p>
        </w:tc>
      </w:tr>
      <w:tr w:rsidR="00DF2444">
        <w:tblPrEx>
          <w:tblCellMar>
            <w:left w:type="dxa" w:w="0"/>
            <w:right w:type="dxa" w:w="0"/>
          </w:tblCellMar>
        </w:tblPrEx>
        <w:trPr>
          <w:trHeight w:val="270"/>
        </w:trPr>
        <w:tc>
          <w:tcPr>
            <w:tcW w:type="dxa" w:w="807"/>
            <w:tcBorders>
              <w:left w:space="0" w:sz="6" w:color="000000" w:val="double"/>
            </w:tcBorders>
            <w:shd w:fill="auto" w:color="auto" w:val="clear"/>
            <w:vAlign w:val="bottom"/>
          </w:tcPr>
          <w:p w:rsidRDefault="00AE6EB4" w:rsidR="00DF2444">
            <w:pPr>
              <w:jc w:val="center"/>
              <w:rPr>
                <w:rFonts w:hint="eastAsia"/>
              </w:rPr>
            </w:pPr>
            <w:r>
              <w:rPr>
                <w:rFonts w:cs="Times New Roman" w:hAnsi="Times New Roman" w:ascii="Times New Roman"/>
                <w:b/>
                <w:bCs/>
                <w:lang w:val="hr-HR"/>
              </w:rPr>
              <w:t> </w:t>
            </w:r>
          </w:p>
        </w:tc>
        <w:tc>
          <w:tcPr>
            <w:tcW w:type="dxa" w:w="4389"/>
            <w:tcBorders>
              <w:left w:space="0" w:sz="4" w:color="000000" w:val="single"/>
            </w:tcBorders>
            <w:shd w:fill="auto" w:color="auto" w:val="clear"/>
            <w:vAlign w:val="bottom"/>
          </w:tcPr>
          <w:p w:rsidRDefault="00AE6EB4" w:rsidR="00DF2444">
            <w:pPr>
              <w:rPr>
                <w:rFonts w:hint="eastAsia"/>
              </w:rPr>
            </w:pPr>
            <w:r>
              <w:rPr>
                <w:rFonts w:cs="Times New Roman" w:hAnsi="Times New Roman" w:ascii="Times New Roman"/>
                <w:b/>
                <w:bCs/>
                <w:lang w:val="hr-HR"/>
              </w:rPr>
              <w:t>GODINE (9.2.+10. ili 10-9.1.)</w:t>
            </w:r>
          </w:p>
        </w:tc>
        <w:tc>
          <w:tcPr>
            <w:tcW w:type="dxa" w:w="3921"/>
            <w:tcBorders>
              <w:left w:space="0" w:sz="4" w:color="000000" w:val="single"/>
            </w:tcBorders>
            <w:shd w:fill="auto" w:color="auto" w:val="clear"/>
            <w:vAlign w:val="bottom"/>
          </w:tcPr>
          <w:p w:rsidRDefault="00AE6EB4" w:rsidR="00DF2444">
            <w:pPr>
              <w:jc w:val="right"/>
              <w:rPr>
                <w:rFonts w:hint="eastAsia"/>
              </w:rPr>
            </w:pPr>
            <w:r>
              <w:rPr>
                <w:rFonts w:cs="Times New Roman" w:eastAsia="Times New Roman" w:hAnsi="Times New Roman" w:ascii="Times New Roman"/>
                <w:lang w:val="hr-HR"/>
              </w:rPr>
              <w:t xml:space="preserve">                         </w:t>
            </w:r>
            <w:r>
              <w:rPr>
                <w:rFonts w:cs="Times New Roman" w:eastAsia="Bookman Old Style" w:hAnsi="Times New Roman" w:ascii="Times New Roman"/>
                <w:lang w:val="hr-HR"/>
              </w:rPr>
              <w:t>335.300</w:t>
            </w:r>
          </w:p>
        </w:tc>
        <w:tc>
          <w:tcPr>
            <w:tcW w:type="dxa" w:w="378"/>
            <w:gridSpan w:val="3"/>
            <w:tcBorders>
              <w:left w:space="0" w:sz="6" w:color="000000" w:val="double"/>
            </w:tcBorders>
            <w:shd w:fill="auto" w:color="auto" w:val="clear"/>
          </w:tcPr>
          <w:p w:rsidRDefault="00DF2444" w:rsidR="00DF2444">
            <w:pPr>
              <w:snapToGrid w:val="false"/>
              <w:rPr>
                <w:rFonts w:cs="Times New Roman" w:hAnsi="Times New Roman" w:ascii="Times New Roman"/>
                <w:lang w:val="hr-HR"/>
              </w:rPr>
            </w:pPr>
          </w:p>
        </w:tc>
      </w:tr>
      <w:tr w:rsidR="00DF2444">
        <w:tblPrEx>
          <w:tblCellMar>
            <w:left w:type="dxa" w:w="0"/>
            <w:right w:type="dxa" w:w="0"/>
          </w:tblCellMar>
        </w:tblPrEx>
        <w:trPr>
          <w:trHeight w:val="270"/>
        </w:trPr>
        <w:tc>
          <w:tcPr>
            <w:tcW w:type="dxa" w:w="807"/>
            <w:tcBorders>
              <w:left w:space="0" w:sz="6" w:color="000000" w:val="double"/>
              <w:bottom w:space="0" w:sz="6" w:color="000000" w:val="double"/>
            </w:tcBorders>
            <w:shd w:fill="auto" w:color="auto" w:val="clear"/>
            <w:vAlign w:val="bottom"/>
          </w:tcPr>
          <w:p w:rsidRDefault="00DF2444" w:rsidR="00DF2444">
            <w:pPr>
              <w:snapToGrid w:val="false"/>
              <w:rPr>
                <w:rFonts w:cs="Times New Roman" w:hAnsi="Times New Roman" w:ascii="Times New Roman"/>
                <w:b/>
                <w:bCs/>
                <w:lang w:val="hr-HR"/>
              </w:rPr>
            </w:pPr>
          </w:p>
        </w:tc>
        <w:tc>
          <w:tcPr>
            <w:tcW w:type="dxa" w:w="4389"/>
            <w:tcBorders>
              <w:left w:space="0" w:sz="4" w:color="000000" w:val="single"/>
              <w:bottom w:space="0" w:sz="6" w:color="000000" w:val="double"/>
            </w:tcBorders>
            <w:shd w:fill="auto" w:color="auto" w:val="clear"/>
            <w:vAlign w:val="bottom"/>
          </w:tcPr>
          <w:p w:rsidRDefault="00DF2444" w:rsidR="00DF2444">
            <w:pPr>
              <w:snapToGrid w:val="false"/>
              <w:rPr>
                <w:rFonts w:cs="Times New Roman" w:hAnsi="Times New Roman" w:ascii="Times New Roman"/>
                <w:b/>
                <w:bCs/>
                <w:lang w:val="hr-HR"/>
              </w:rPr>
            </w:pPr>
          </w:p>
        </w:tc>
        <w:tc>
          <w:tcPr>
            <w:tcW w:type="dxa" w:w="3921"/>
            <w:tcBorders>
              <w:left w:space="0" w:sz="4" w:color="000000" w:val="single"/>
              <w:bottom w:space="0" w:sz="6" w:color="000000" w:val="double"/>
            </w:tcBorders>
            <w:shd w:fill="auto" w:color="auto" w:val="clear"/>
            <w:vAlign w:val="bottom"/>
          </w:tcPr>
          <w:p w:rsidRDefault="00DF2444" w:rsidR="00DF2444">
            <w:pPr>
              <w:snapToGrid w:val="false"/>
              <w:jc w:val="right"/>
              <w:rPr>
                <w:rFonts w:cs="Times New Roman" w:hAnsi="Times New Roman" w:ascii="Times New Roman"/>
                <w:b/>
                <w:bCs/>
                <w:lang w:val="hr-HR"/>
              </w:rPr>
            </w:pPr>
          </w:p>
        </w:tc>
        <w:tc>
          <w:tcPr>
            <w:tcW w:type="dxa" w:w="378"/>
            <w:gridSpan w:val="3"/>
            <w:tcBorders>
              <w:left w:space="0" w:sz="6" w:color="000000" w:val="double"/>
            </w:tcBorders>
            <w:shd w:fill="auto" w:color="auto" w:val="clear"/>
          </w:tcPr>
          <w:p w:rsidRDefault="00DF2444" w:rsidR="00DF2444">
            <w:pPr>
              <w:snapToGrid w:val="false"/>
              <w:rPr>
                <w:rFonts w:cs="Times New Roman" w:hAnsi="Times New Roman" w:ascii="Times New Roman"/>
                <w:b/>
                <w:bCs/>
                <w:lang w:val="hr-HR"/>
              </w:rPr>
            </w:pPr>
          </w:p>
        </w:tc>
      </w:tr>
    </w:tbl>
    <w:p w:rsidRDefault="00DF2444" w:rsidR="00DF2444">
      <w:pPr>
        <w:rPr>
          <w:rFonts w:cs="Times New Roman" w:hAnsi="Times New Roman" w:ascii="Times New Roman"/>
          <w:lang w:val="hr-HR"/>
        </w:rPr>
      </w:pPr>
    </w:p>
    <w:p w:rsidRDefault="00DF2444" w:rsidR="00DF2444">
      <w:pPr>
        <w:rPr>
          <w:rFonts w:cs="Times New Roman" w:hAnsi="Times New Roman" w:ascii="Times New Roman"/>
          <w:lang w:val="hr-HR"/>
        </w:rPr>
      </w:pPr>
    </w:p>
    <w:p w:rsidRDefault="00DF2444" w:rsidR="00DF2444">
      <w:pPr>
        <w:rPr>
          <w:rFonts w:cs="Times New Roman" w:hAnsi="Times New Roman" w:ascii="Times New Roman"/>
          <w:lang w:val="hr-HR"/>
        </w:rPr>
      </w:pPr>
    </w:p>
    <w:p w:rsidRDefault="00AE6EB4" w:rsidR="00DF2444">
      <w:pPr>
        <w:shd w:fill="FFFFFF" w:color="auto" w:val="clear"/>
        <w:spacing w:lineRule="exact" w:line="295"/>
        <w:ind w:hanging="14" w:right="382" w:left="14"/>
        <w:jc w:val="both"/>
        <w:rPr>
          <w:rFonts w:hint="eastAsia"/>
        </w:rPr>
      </w:pPr>
      <w:r>
        <w:rPr>
          <w:rFonts w:cs="Times New Roman" w:hAnsi="Times New Roman" w:ascii="Times New Roman"/>
          <w:b/>
          <w:color w:val="000000"/>
          <w:spacing w:val="6"/>
          <w:lang w:val="hr-HR"/>
        </w:rPr>
        <w:t xml:space="preserve">U 2013. </w:t>
      </w:r>
      <w:r>
        <w:rPr>
          <w:rFonts w:cs="Times New Roman" w:hAnsi="Times New Roman" w:ascii="Times New Roman"/>
          <w:color w:val="000000"/>
          <w:spacing w:val="6"/>
          <w:lang w:val="hr-HR"/>
        </w:rPr>
        <w:t xml:space="preserve">godini  ostvaruje ukupni prihod u iznosu </w:t>
      </w:r>
      <w:r>
        <w:rPr>
          <w:rFonts w:cs="Times New Roman" w:hAnsi="Times New Roman" w:ascii="Times New Roman"/>
          <w:color w:val="000000"/>
          <w:spacing w:val="10"/>
          <w:lang w:val="hr-HR"/>
        </w:rPr>
        <w:t>od 530.600 kuna, ukupni rashod u iznosu od 865.900 kuna, gubitak financijske godine nakon oporezivanja u iznosu od  335.300</w:t>
      </w:r>
      <w:r>
        <w:rPr>
          <w:rFonts w:cs="Times New Roman" w:hAnsi="Times New Roman" w:ascii="Times New Roman"/>
          <w:color w:val="000000"/>
          <w:spacing w:val="8"/>
          <w:lang w:val="hr-HR"/>
        </w:rPr>
        <w:t xml:space="preserve"> kuna.</w:t>
      </w:r>
    </w:p>
    <w:p w:rsidRDefault="00DF2444" w:rsidR="00DF2444">
      <w:pPr>
        <w:shd w:fill="FFFFFF" w:color="auto" w:val="clear"/>
        <w:spacing w:lineRule="exact" w:line="295"/>
        <w:ind w:hanging="14" w:right="382" w:left="14"/>
        <w:jc w:val="both"/>
        <w:rPr>
          <w:rFonts w:cs="Times New Roman" w:hAnsi="Times New Roman" w:ascii="Times New Roman"/>
          <w:color w:val="000000"/>
          <w:spacing w:val="-2"/>
          <w:lang w:val="hr-HR"/>
        </w:rPr>
      </w:pPr>
    </w:p>
    <w:p w:rsidRDefault="00AE6EB4" w:rsidR="00DF2444">
      <w:pPr>
        <w:shd w:fill="FFFFFF" w:color="auto" w:val="clear"/>
        <w:spacing w:lineRule="exact" w:line="295"/>
        <w:ind w:hanging="14" w:right="382" w:left="14"/>
        <w:jc w:val="both"/>
        <w:rPr>
          <w:rFonts w:hint="eastAsia"/>
        </w:rPr>
      </w:pPr>
      <w:r>
        <w:rPr>
          <w:rFonts w:cs="Times New Roman" w:hAnsi="Times New Roman" w:ascii="Times New Roman"/>
          <w:color w:val="000000"/>
          <w:spacing w:val="-2"/>
          <w:lang w:val="hr-HR"/>
        </w:rPr>
        <w:t>Ističem kako je stečajni dužnik obustavio svoje poslovanje u 2013.g., te da od tada isti nije uredno vodi svoje poslovne knjige.</w:t>
      </w:r>
    </w:p>
    <w:p w:rsidRDefault="00AE6EB4" w:rsidR="00DF2444">
      <w:pPr>
        <w:shd w:fill="FFFFFF" w:color="auto" w:val="clear"/>
        <w:autoSpaceDE w:val="false"/>
        <w:spacing w:lineRule="exact" w:line="295" w:before="281"/>
        <w:ind w:right="382"/>
        <w:jc w:val="both"/>
        <w:rPr>
          <w:rFonts w:hint="eastAsia"/>
        </w:rPr>
      </w:pPr>
      <w:r>
        <w:rPr>
          <w:rFonts w:cs="Times New Roman" w:hAnsi="Times New Roman" w:ascii="Times New Roman"/>
          <w:b/>
          <w:bCs/>
          <w:color w:val="000000"/>
          <w:spacing w:val="-2"/>
          <w:lang w:val="hr-HR"/>
        </w:rPr>
        <w:t>6. IMOVINA DUŽNIKA</w:t>
      </w:r>
    </w:p>
    <w:p w:rsidRDefault="00AE6EB4" w:rsidR="00DF2444">
      <w:pPr>
        <w:shd w:fill="FFFFFF" w:color="auto" w:val="clear"/>
        <w:spacing w:lineRule="exact" w:line="288" w:before="302"/>
        <w:ind w:right="367" w:left="43"/>
        <w:jc w:val="both"/>
        <w:rPr>
          <w:rFonts w:hint="eastAsia"/>
        </w:rPr>
      </w:pPr>
      <w:r>
        <w:rPr>
          <w:rFonts w:cs="Times New Roman" w:hAnsi="Times New Roman" w:ascii="Times New Roman"/>
          <w:color w:val="000000"/>
          <w:spacing w:val="10"/>
          <w:lang w:val="hr-HR"/>
        </w:rPr>
        <w:t>Stečajni dužnik u poslovnim knjigama vodi imovinu na dan 31.12.2013.g. u ukupnom iznosu od 10.208.850 kuna i to kako slijedi:</w:t>
      </w:r>
    </w:p>
    <w:p w:rsidRDefault="00AE6EB4" w:rsidR="00DF2444">
      <w:pPr>
        <w:shd w:fill="FFFFFF" w:color="auto" w:val="clear"/>
        <w:spacing w:lineRule="exact" w:line="288" w:before="302"/>
        <w:ind w:right="367" w:left="43"/>
        <w:jc w:val="both"/>
        <w:rPr>
          <w:rFonts w:hint="eastAsia"/>
        </w:rPr>
      </w:pPr>
      <w:r>
        <w:rPr>
          <w:rFonts w:cs="Times New Roman" w:hAnsi="Times New Roman" w:ascii="Times New Roman"/>
          <w:b/>
          <w:bCs/>
          <w:color w:val="000000"/>
          <w:spacing w:val="10"/>
          <w:lang w:val="hr-HR"/>
        </w:rPr>
        <w:t xml:space="preserve">DUGOTRAJNA IMOVINA                                    </w:t>
      </w:r>
      <w:r>
        <w:rPr>
          <w:rFonts w:cs="Times New Roman" w:hAnsi="Times New Roman" w:ascii="Times New Roman"/>
          <w:b/>
          <w:bCs/>
          <w:color w:val="000000"/>
          <w:spacing w:val="10"/>
        </w:rPr>
        <w:t xml:space="preserve">9.645.638 </w:t>
      </w:r>
      <w:r>
        <w:rPr>
          <w:rFonts w:cs="Times New Roman" w:hAnsi="Times New Roman" w:ascii="Times New Roman"/>
          <w:b/>
          <w:bCs/>
          <w:color w:val="000000"/>
          <w:spacing w:val="10"/>
          <w:lang w:val="hr-HR"/>
        </w:rPr>
        <w:t>kuna</w:t>
      </w:r>
    </w:p>
    <w:p w:rsidRDefault="00AE6EB4" w:rsidR="00DF2444">
      <w:pPr>
        <w:shd w:fill="FFFFFF" w:color="auto" w:val="clear"/>
        <w:spacing w:lineRule="exact" w:line="288" w:before="302"/>
        <w:ind w:right="367" w:left="1080"/>
        <w:jc w:val="both"/>
        <w:rPr>
          <w:rFonts w:hint="eastAsia"/>
        </w:rPr>
      </w:pPr>
      <w:r>
        <w:rPr>
          <w:rFonts w:cs="Times New Roman" w:hAnsi="Times New Roman" w:ascii="Times New Roman"/>
          <w:color w:val="000000"/>
          <w:spacing w:val="10"/>
          <w:lang w:val="hr-HR"/>
        </w:rPr>
        <w:lastRenderedPageBreak/>
        <w:t>1. Nematerijalna imovina</w:t>
      </w:r>
      <w:r>
        <w:rPr>
          <w:rFonts w:cs="Times New Roman" w:hAnsi="Times New Roman" w:ascii="Times New Roman"/>
          <w:color w:val="000000"/>
          <w:spacing w:val="10"/>
          <w:lang w:val="hr-HR"/>
        </w:rPr>
        <w:tab/>
      </w:r>
      <w:r>
        <w:rPr>
          <w:rFonts w:cs="Times New Roman" w:hAnsi="Times New Roman" w:ascii="Times New Roman"/>
          <w:color w:val="000000"/>
          <w:spacing w:val="10"/>
          <w:lang w:val="hr-HR"/>
        </w:rPr>
        <w:tab/>
        <w:t xml:space="preserve">                      0 kuna</w:t>
      </w:r>
    </w:p>
    <w:p w:rsidRDefault="00AE6EB4" w:rsidR="00DF2444">
      <w:pPr>
        <w:shd w:fill="FFFFFF" w:color="auto" w:val="clear"/>
        <w:spacing w:lineRule="exact" w:line="288" w:before="302"/>
        <w:ind w:right="367" w:left="1080"/>
        <w:jc w:val="both"/>
        <w:rPr>
          <w:rFonts w:hint="eastAsia"/>
        </w:rPr>
      </w:pPr>
      <w:r>
        <w:rPr>
          <w:rFonts w:cs="Times New Roman" w:hAnsi="Times New Roman" w:ascii="Times New Roman"/>
          <w:color w:val="000000"/>
          <w:spacing w:val="10"/>
          <w:lang w:val="hr-HR"/>
        </w:rPr>
        <w:t>2. Materijalna imovina</w:t>
      </w:r>
      <w:r>
        <w:rPr>
          <w:rFonts w:cs="Times New Roman" w:eastAsia="Bookman Old Style" w:hAnsi="Times New Roman" w:ascii="Times New Roman"/>
          <w:color w:val="000000"/>
          <w:spacing w:val="10"/>
          <w:lang w:val="hr-HR"/>
        </w:rPr>
        <w:t xml:space="preserve">                                    </w:t>
      </w:r>
    </w:p>
    <w:p w:rsidRDefault="00AE6EB4" w:rsidR="00DF2444">
      <w:pPr>
        <w:shd w:fill="FFFFFF" w:color="auto" w:val="clear"/>
        <w:spacing w:lineRule="exact" w:line="288" w:before="302"/>
        <w:ind w:right="367" w:left="1080"/>
        <w:jc w:val="both"/>
        <w:rPr>
          <w:rFonts w:hint="eastAsia"/>
        </w:rPr>
      </w:pPr>
      <w:r>
        <w:rPr>
          <w:rFonts w:cs="Times New Roman" w:eastAsia="Times New Roman" w:hAnsi="Times New Roman" w:ascii="Times New Roman"/>
          <w:color w:val="000000"/>
          <w:spacing w:val="10"/>
          <w:lang w:val="hr-HR"/>
        </w:rPr>
        <w:t xml:space="preserve">   </w:t>
      </w:r>
      <w:r>
        <w:rPr>
          <w:rFonts w:cs="Times New Roman" w:eastAsia="Bookman Old Style" w:hAnsi="Times New Roman" w:ascii="Times New Roman"/>
          <w:color w:val="000000"/>
          <w:spacing w:val="10"/>
          <w:lang w:val="hr-HR"/>
        </w:rPr>
        <w:t xml:space="preserve">Ulaganje u nekretnine                           </w:t>
      </w:r>
      <w:r>
        <w:rPr>
          <w:rFonts w:cs="Times New Roman" w:eastAsia="Bookman Old Style" w:hAnsi="Times New Roman" w:ascii="Times New Roman"/>
          <w:color w:val="000000"/>
          <w:spacing w:val="10"/>
        </w:rPr>
        <w:t xml:space="preserve">9.645.638 </w:t>
      </w:r>
      <w:r>
        <w:rPr>
          <w:rFonts w:cs="Times New Roman" w:eastAsia="Bookman Old Style" w:hAnsi="Times New Roman" w:ascii="Times New Roman"/>
          <w:color w:val="000000"/>
          <w:spacing w:val="10"/>
          <w:lang w:val="hr-HR"/>
        </w:rPr>
        <w:t>kuna</w:t>
      </w:r>
    </w:p>
    <w:p w:rsidRDefault="00DF2444" w:rsidR="00DF2444">
      <w:pPr>
        <w:shd w:fill="FFFFFF" w:color="auto" w:val="clear"/>
        <w:spacing w:lineRule="exact" w:line="288" w:before="302"/>
        <w:ind w:right="367" w:left="1080"/>
        <w:jc w:val="both"/>
        <w:rPr>
          <w:rFonts w:cs="Times New Roman" w:hAnsi="Times New Roman" w:ascii="Times New Roman"/>
          <w:lang w:val="hr-HR"/>
        </w:rPr>
      </w:pPr>
    </w:p>
    <w:p w:rsidRDefault="00AE6EB4" w:rsidR="00DF2444">
      <w:pPr>
        <w:shd w:fill="FFFFFF" w:color="auto" w:val="clear"/>
        <w:spacing w:lineRule="exact" w:line="288" w:before="302"/>
        <w:ind w:right="367"/>
        <w:jc w:val="both"/>
        <w:rPr>
          <w:rFonts w:hint="eastAsia"/>
        </w:rPr>
      </w:pPr>
      <w:r>
        <w:rPr>
          <w:rFonts w:cs="Times New Roman" w:hAnsi="Times New Roman" w:ascii="Times New Roman"/>
          <w:b/>
          <w:bCs/>
          <w:color w:val="000000"/>
          <w:spacing w:val="10"/>
          <w:lang w:val="hr-HR"/>
        </w:rPr>
        <w:t xml:space="preserve">KRATKOTRAJNA IMOVINA                         </w:t>
      </w:r>
      <w:r>
        <w:rPr>
          <w:rFonts w:cs="Times New Roman" w:hAnsi="Times New Roman" w:ascii="Times New Roman"/>
          <w:b/>
          <w:bCs/>
          <w:color w:val="000000"/>
          <w:spacing w:val="10"/>
        </w:rPr>
        <w:t>563.212</w:t>
      </w:r>
      <w:r>
        <w:rPr>
          <w:rFonts w:cs="Times New Roman" w:hAnsi="Times New Roman" w:ascii="Times New Roman"/>
          <w:b/>
          <w:bCs/>
          <w:color w:val="000000"/>
          <w:spacing w:val="10"/>
          <w:lang w:val="hr-HR"/>
        </w:rPr>
        <w:t xml:space="preserve"> kuna</w:t>
      </w:r>
    </w:p>
    <w:p w:rsidRDefault="00AE6EB4" w:rsidR="00DF2444">
      <w:pPr>
        <w:shd w:fill="FFFFFF" w:color="auto" w:val="clear"/>
        <w:tabs>
          <w:tab w:pos="3600" w:val="left"/>
        </w:tabs>
        <w:spacing w:lineRule="exact" w:line="288" w:before="302"/>
        <w:ind w:right="367"/>
        <w:jc w:val="both"/>
        <w:rPr>
          <w:rFonts w:hint="eastAsia"/>
        </w:rPr>
      </w:pPr>
      <w:r>
        <w:rPr>
          <w:rFonts w:cs="Times New Roman" w:eastAsia="Times New Roman" w:hAnsi="Times New Roman" w:ascii="Times New Roman"/>
          <w:color w:val="000000"/>
          <w:spacing w:val="10"/>
          <w:lang w:val="hr-HR"/>
        </w:rPr>
        <w:t xml:space="preserve">               </w:t>
      </w:r>
      <w:r>
        <w:rPr>
          <w:rFonts w:cs="Times New Roman" w:hAnsi="Times New Roman" w:ascii="Times New Roman"/>
          <w:color w:val="000000"/>
          <w:spacing w:val="10"/>
          <w:lang w:val="hr-HR"/>
        </w:rPr>
        <w:t xml:space="preserve">1. Potraživanja   </w:t>
      </w:r>
      <w:r>
        <w:rPr>
          <w:rFonts w:cs="Times New Roman" w:hAnsi="Times New Roman" w:ascii="Times New Roman"/>
          <w:color w:val="000000"/>
          <w:spacing w:val="10"/>
          <w:lang w:val="hr-HR"/>
        </w:rPr>
        <w:tab/>
        <w:t xml:space="preserve">                       </w:t>
      </w:r>
      <w:r>
        <w:rPr>
          <w:rFonts w:cs="Times New Roman" w:eastAsia="Bookman Old Style" w:hAnsi="Times New Roman" w:ascii="Times New Roman"/>
          <w:color w:val="000000"/>
          <w:spacing w:val="10"/>
          <w:lang w:val="hr-HR"/>
        </w:rPr>
        <w:t>550.400 kuna</w:t>
      </w:r>
    </w:p>
    <w:p w:rsidRDefault="00AE6EB4" w:rsidR="00DF2444">
      <w:pPr>
        <w:shd w:fill="FFFFFF" w:color="auto" w:val="clear"/>
        <w:tabs>
          <w:tab w:pos="3600" w:val="left"/>
        </w:tabs>
        <w:spacing w:lineRule="exact" w:line="288" w:before="302"/>
        <w:ind w:right="367"/>
        <w:jc w:val="both"/>
        <w:rPr>
          <w:rFonts w:hint="eastAsia"/>
        </w:rPr>
      </w:pPr>
      <w:r>
        <w:rPr>
          <w:rFonts w:cs="Times New Roman" w:eastAsia="Times New Roman" w:hAnsi="Times New Roman" w:ascii="Times New Roman"/>
          <w:color w:val="000000"/>
          <w:spacing w:val="10"/>
          <w:lang w:val="hr-HR"/>
        </w:rPr>
        <w:t xml:space="preserve">                 </w:t>
      </w:r>
      <w:r>
        <w:rPr>
          <w:rFonts w:cs="Times New Roman" w:hAnsi="Times New Roman" w:ascii="Times New Roman"/>
          <w:color w:val="000000"/>
          <w:spacing w:val="10"/>
          <w:lang w:val="hr-HR"/>
        </w:rPr>
        <w:t>Potraživanja od kupaca                        215.400 kuna</w:t>
      </w:r>
    </w:p>
    <w:p w:rsidRDefault="00AE6EB4" w:rsidR="00DF2444">
      <w:pPr>
        <w:shd w:fill="FFFFFF" w:color="auto" w:val="clear"/>
        <w:tabs>
          <w:tab w:pos="3600" w:val="left"/>
        </w:tabs>
        <w:spacing w:lineRule="exact" w:line="288" w:before="302"/>
        <w:ind w:right="367"/>
        <w:jc w:val="both"/>
        <w:rPr>
          <w:rFonts w:hint="eastAsia"/>
        </w:rPr>
      </w:pPr>
      <w:r>
        <w:rPr>
          <w:rFonts w:cs="Times New Roman" w:eastAsia="Times New Roman" w:hAnsi="Times New Roman" w:ascii="Times New Roman"/>
          <w:lang w:val="hr-HR"/>
        </w:rPr>
        <w:t xml:space="preserve">                    </w:t>
      </w:r>
      <w:r>
        <w:rPr>
          <w:rFonts w:cs="Times New Roman" w:hAnsi="Times New Roman" w:ascii="Times New Roman"/>
          <w:lang w:val="hr-HR"/>
        </w:rPr>
        <w:t>Ostala potraživanja                                     335.000 kuna</w:t>
      </w:r>
    </w:p>
    <w:p w:rsidRDefault="00AE6EB4" w:rsidR="00DF2444">
      <w:pPr>
        <w:shd w:fill="FFFFFF" w:color="auto" w:val="clear"/>
        <w:tabs>
          <w:tab w:pos="3600" w:val="left"/>
        </w:tabs>
        <w:spacing w:lineRule="exact" w:line="288" w:before="302"/>
        <w:ind w:right="367"/>
        <w:jc w:val="both"/>
        <w:rPr>
          <w:rFonts w:hint="eastAsia"/>
        </w:rPr>
      </w:pPr>
      <w:r>
        <w:rPr>
          <w:rFonts w:cs="Times New Roman" w:eastAsia="Times New Roman" w:hAnsi="Times New Roman" w:ascii="Times New Roman"/>
          <w:color w:val="000000"/>
          <w:spacing w:val="10"/>
          <w:lang w:val="hr-HR"/>
        </w:rPr>
        <w:t xml:space="preserve">              </w:t>
      </w:r>
      <w:r>
        <w:rPr>
          <w:rFonts w:cs="Times New Roman" w:eastAsia="Bookman Old Style" w:hAnsi="Times New Roman" w:ascii="Times New Roman"/>
          <w:color w:val="000000"/>
          <w:spacing w:val="10"/>
          <w:lang w:val="hr-HR"/>
        </w:rPr>
        <w:t xml:space="preserve">2. Kratkotrajna financijska imovina        12.812  kuna   </w:t>
      </w:r>
    </w:p>
    <w:p w:rsidRDefault="00AE6EB4" w:rsidR="00DF2444">
      <w:pPr>
        <w:shd w:fill="FFFFFF" w:color="auto" w:val="clear"/>
        <w:tabs>
          <w:tab w:pos="3600" w:val="left"/>
        </w:tabs>
        <w:spacing w:lineRule="exact" w:line="288" w:before="302"/>
        <w:ind w:right="367"/>
        <w:jc w:val="both"/>
        <w:rPr>
          <w:rFonts w:hint="eastAsia"/>
        </w:rPr>
      </w:pPr>
      <w:r>
        <w:rPr>
          <w:rFonts w:cs="Times New Roman" w:eastAsia="Times New Roman" w:hAnsi="Times New Roman" w:ascii="Times New Roman"/>
          <w:color w:val="000000"/>
          <w:spacing w:val="10"/>
          <w:lang w:val="hr-HR"/>
        </w:rPr>
        <w:t xml:space="preserve">                  </w:t>
      </w:r>
      <w:r>
        <w:rPr>
          <w:rFonts w:cs="Times New Roman" w:eastAsia="Bookman Old Style" w:hAnsi="Times New Roman" w:ascii="Times New Roman"/>
          <w:color w:val="000000"/>
          <w:spacing w:val="10"/>
          <w:lang w:val="hr-HR"/>
        </w:rPr>
        <w:t>Novac u banci i blagajni                     12.812 kuna</w:t>
      </w:r>
    </w:p>
    <w:p w:rsidRDefault="00DF2444" w:rsidR="00DF2444">
      <w:pPr>
        <w:shd w:fill="FFFFFF" w:color="auto" w:val="clear"/>
        <w:tabs>
          <w:tab w:pos="3600" w:val="left"/>
        </w:tabs>
        <w:spacing w:lineRule="exact" w:line="288" w:before="302"/>
        <w:ind w:right="367"/>
        <w:jc w:val="both"/>
        <w:rPr>
          <w:rFonts w:cs="Times New Roman" w:eastAsia="Bookman Old Style" w:hAnsi="Times New Roman" w:ascii="Times New Roman"/>
          <w:color w:val="000000"/>
          <w:spacing w:val="10"/>
          <w:lang w:val="hr-HR"/>
        </w:rPr>
      </w:pPr>
    </w:p>
    <w:p w:rsidRDefault="00AE6EB4" w:rsidR="00DF2444">
      <w:pPr>
        <w:numPr>
          <w:ilvl w:val="1"/>
          <w:numId w:val="1"/>
        </w:numPr>
        <w:autoSpaceDE w:val="false"/>
        <w:jc w:val="both"/>
        <w:rPr>
          <w:rFonts w:hint="eastAsia"/>
        </w:rPr>
      </w:pPr>
      <w:r>
        <w:rPr>
          <w:rFonts w:cs="Times New Roman" w:hAnsi="Times New Roman" w:ascii="Times New Roman"/>
          <w:b/>
          <w:color w:val="000000"/>
          <w:spacing w:val="6"/>
          <w:lang w:val="hr-HR"/>
        </w:rPr>
        <w:t>Nekretnine u vlasništvu stečajnog dužnika:</w:t>
      </w:r>
    </w:p>
    <w:p w:rsidRDefault="00DF2444" w:rsidR="00DF2444">
      <w:pPr>
        <w:shd w:fill="FFFFFF" w:color="auto" w:val="clear"/>
        <w:autoSpaceDE w:val="false"/>
        <w:spacing w:lineRule="exact" w:line="295"/>
        <w:jc w:val="both"/>
        <w:rPr>
          <w:rFonts w:cs="Times New Roman" w:hAnsi="Times New Roman" w:ascii="Times New Roman"/>
          <w:color w:val="000000"/>
          <w:spacing w:val="6"/>
          <w:lang w:val="hr-HR"/>
        </w:rPr>
      </w:pPr>
    </w:p>
    <w:p w:rsidRDefault="00AE6EB4" w:rsidR="00DF2444">
      <w:pPr>
        <w:shd w:fill="FFFFFF" w:color="auto" w:val="clear"/>
        <w:autoSpaceDE w:val="false"/>
        <w:spacing w:lineRule="exact" w:line="295"/>
        <w:ind w:left="360"/>
        <w:jc w:val="both"/>
        <w:rPr>
          <w:rFonts w:hint="eastAsia"/>
        </w:rPr>
      </w:pPr>
      <w:r>
        <w:rPr>
          <w:rFonts w:cs="Times New Roman" w:hAnsi="Times New Roman" w:ascii="Times New Roman"/>
          <w:color w:val="000000"/>
          <w:spacing w:val="6"/>
          <w:lang w:val="hr-HR"/>
        </w:rPr>
        <w:t xml:space="preserve">Dužnik je vlasnik nekretnina i to: </w:t>
      </w:r>
    </w:p>
    <w:p w:rsidRDefault="00DF2444" w:rsidR="00DF2444">
      <w:pPr>
        <w:shd w:fill="FFFFFF" w:color="auto" w:val="clear"/>
        <w:autoSpaceDE w:val="false"/>
        <w:spacing w:lineRule="exact" w:line="295"/>
        <w:ind w:left="360"/>
        <w:jc w:val="both"/>
        <w:rPr>
          <w:rFonts w:cs="Times New Roman" w:hAnsi="Times New Roman" w:ascii="Times New Roman"/>
          <w:color w:val="000000"/>
          <w:spacing w:val="6"/>
          <w:lang w:val="hr-HR"/>
        </w:rPr>
      </w:pPr>
    </w:p>
    <w:p w:rsidRDefault="00AE6EB4" w:rsidR="00DF2444">
      <w:pPr>
        <w:rPr>
          <w:rFonts w:hint="eastAsia"/>
        </w:rPr>
      </w:pPr>
      <w:bookmarkStart w:name="_Hlk4351386" w:id="2"/>
      <w:r>
        <w:rPr>
          <w:rFonts w:cs="Times New Roman" w:hAnsi="Times New Roman" w:ascii="Times New Roman"/>
          <w:b/>
          <w:u w:val="single"/>
        </w:rPr>
        <w:t>OPĆINSKI SUD U RIJECI, zk.odjel Rijeka</w:t>
      </w:r>
    </w:p>
    <w:p w:rsidRDefault="00DF2444" w:rsidR="00DF2444">
      <w:pPr>
        <w:rPr>
          <w:rFonts w:cs="Times New Roman" w:hAnsi="Times New Roman" w:ascii="Times New Roman"/>
          <w:b/>
          <w:u w:val="single"/>
        </w:rPr>
      </w:pPr>
    </w:p>
    <w:p w:rsidRDefault="00AE6EB4" w:rsidR="00DF2444">
      <w:pPr>
        <w:pStyle w:val="Odlomakpopisa1"/>
        <w:widowControl/>
        <w:numPr>
          <w:ilvl w:val="0"/>
          <w:numId w:val="10"/>
        </w:numPr>
        <w:suppressAutoHyphens w:val="false"/>
        <w:contextualSpacing/>
        <w:rPr>
          <w:rFonts w:hint="eastAsia"/>
        </w:rPr>
      </w:pPr>
      <w:r>
        <w:rPr>
          <w:rFonts w:cs="Times New Roman" w:hAnsi="Times New Roman" w:ascii="Times New Roman"/>
          <w:szCs w:val="24"/>
        </w:rPr>
        <w:t>z. k. ul. br. 12399 (E-12), k.o. Rijeka, koja se sastoji od 667/10000 dijela k.č.br. 155 kuća u ul. Kalvarija I povezano s vlasništvom dvosobnog stana br. 12 na trećem katu koji se sastoji od dvije sobe, kuhinje, kupaonice, drvarnice u ukupnoj površini od 41,44 m2;</w:t>
      </w:r>
    </w:p>
    <w:p w:rsidRDefault="00AE6EB4" w:rsidR="00DF2444">
      <w:pPr>
        <w:pStyle w:val="Odlomakpopisa1"/>
        <w:widowControl/>
        <w:numPr>
          <w:ilvl w:val="0"/>
          <w:numId w:val="10"/>
        </w:numPr>
        <w:suppressAutoHyphens w:val="false"/>
        <w:contextualSpacing/>
        <w:rPr>
          <w:rFonts w:hint="eastAsia"/>
        </w:rPr>
      </w:pPr>
      <w:r>
        <w:rPr>
          <w:rFonts w:cs="Times New Roman" w:hAnsi="Times New Roman" w:ascii="Times New Roman"/>
          <w:szCs w:val="24"/>
        </w:rPr>
        <w:t>z. k. ul. br. 355, k.o. Bakarac, k.č.br. 172, Bakarac površine 463 m2 (dvorište površine 361 m2 i kuća, Bakarac površine 102 m,2), k.č.br. 173, Bakarac, površine 303 m2 (pašnjak površine 279 m2, gospodarska zgrada, Bakarac, površine 24 m2) ukupne površine 766 m2;</w:t>
      </w:r>
    </w:p>
    <w:p w:rsidRDefault="00AE6EB4" w:rsidR="00DF2444">
      <w:pPr>
        <w:pStyle w:val="Odlomakpopisa1"/>
        <w:widowControl/>
        <w:numPr>
          <w:ilvl w:val="0"/>
          <w:numId w:val="10"/>
        </w:numPr>
        <w:suppressAutoHyphens w:val="false"/>
        <w:contextualSpacing/>
        <w:rPr>
          <w:rFonts w:hint="eastAsia"/>
        </w:rPr>
      </w:pPr>
      <w:r>
        <w:rPr>
          <w:rFonts w:cs="Times New Roman" w:hAnsi="Times New Roman" w:ascii="Times New Roman"/>
          <w:szCs w:val="24"/>
        </w:rPr>
        <w:t>z. k. ul. br. 1774 (E-1), k.o. Zamet, koja se sastoji od 479/1000 dijela k.č.br. 283/10 kuća i dvorište ukupne površine 350 m2, povezano s vlasništvom stana u prizemlju, koji se sastoji od hodnika, kuhinje s blagovaonicom, dnevnog boravka, dvije sobe, kupaone s wc-om, izbe, ukupne površine 77,23 m2, što u suvlasničkom omjeru na cijelu zgradu iznosi 479/1000 dijela</w:t>
      </w:r>
    </w:p>
    <w:p w:rsidRDefault="00DF2444" w:rsidR="00DF2444">
      <w:pPr>
        <w:rPr>
          <w:rFonts w:cs="Times New Roman" w:hAnsi="Times New Roman" w:ascii="Times New Roman"/>
        </w:rPr>
      </w:pPr>
    </w:p>
    <w:p w:rsidRDefault="00AE6EB4" w:rsidR="00DF2444">
      <w:pPr>
        <w:rPr>
          <w:rFonts w:hint="eastAsia"/>
        </w:rPr>
      </w:pPr>
      <w:r>
        <w:rPr>
          <w:rFonts w:cs="Times New Roman" w:hAnsi="Times New Roman" w:ascii="Times New Roman"/>
          <w:b/>
          <w:u w:val="single"/>
        </w:rPr>
        <w:t>OPĆINSKI SUD U RIJECI, Stalna služba Delnice, Zemljišnoknjižni odjel Delnice</w:t>
      </w:r>
    </w:p>
    <w:p w:rsidRDefault="00AE6EB4" w:rsidR="00DF2444">
      <w:pPr>
        <w:pStyle w:val="Odlomakpopisa1"/>
        <w:widowControl/>
        <w:numPr>
          <w:ilvl w:val="0"/>
          <w:numId w:val="13"/>
        </w:numPr>
        <w:suppressAutoHyphens w:val="false"/>
        <w:contextualSpacing/>
        <w:rPr>
          <w:rFonts w:hint="eastAsia"/>
        </w:rPr>
      </w:pPr>
      <w:r>
        <w:rPr>
          <w:rFonts w:cs="Times New Roman" w:hAnsi="Times New Roman" w:ascii="Times New Roman"/>
          <w:szCs w:val="24"/>
        </w:rPr>
        <w:t xml:space="preserve">z. k. ul. br. 1116 k.o. Divjake, k.č.br. 3540/2, kuća br. 29 u Skradu, Selskoj ul., površine 14 čhv, ukupno površine 14 čhv; </w:t>
      </w:r>
    </w:p>
    <w:p w:rsidRDefault="00AE6EB4" w:rsidR="00DF2444">
      <w:pPr>
        <w:pStyle w:val="Odlomakpopisa1"/>
        <w:widowControl/>
        <w:numPr>
          <w:ilvl w:val="0"/>
          <w:numId w:val="13"/>
        </w:numPr>
        <w:suppressAutoHyphens w:val="false"/>
        <w:contextualSpacing/>
        <w:rPr>
          <w:rFonts w:hint="eastAsia"/>
        </w:rPr>
      </w:pPr>
      <w:r>
        <w:rPr>
          <w:rFonts w:cs="Times New Roman" w:hAnsi="Times New Roman" w:ascii="Times New Roman"/>
          <w:szCs w:val="24"/>
        </w:rPr>
        <w:t>z. k. ul. br.1540 k.o. Delnice I, k.č.br. 10925/2,livada u sović lazu, površine 5970 m2</w:t>
      </w:r>
    </w:p>
    <w:p w:rsidRDefault="00DF2444" w:rsidR="00DF2444">
      <w:pPr>
        <w:rPr>
          <w:rFonts w:cs="Times New Roman" w:hAnsi="Times New Roman" w:ascii="Times New Roman"/>
        </w:rPr>
      </w:pPr>
    </w:p>
    <w:p w:rsidRDefault="00AE6EB4" w:rsidR="00DF2444">
      <w:pPr>
        <w:rPr>
          <w:rFonts w:hint="eastAsia"/>
        </w:rPr>
      </w:pPr>
      <w:r>
        <w:rPr>
          <w:rFonts w:cs="Times New Roman" w:hAnsi="Times New Roman" w:ascii="Times New Roman"/>
          <w:b/>
          <w:u w:val="single"/>
        </w:rPr>
        <w:t>OPĆINSKI SUD U RIJECI, Stalna služba Vrbovsko, Zemljišnoknjižni odjel Vrbovsko</w:t>
      </w:r>
    </w:p>
    <w:p w:rsidRDefault="00AE6EB4" w:rsidR="00DF2444">
      <w:pPr>
        <w:pStyle w:val="Odlomakpopisa1"/>
        <w:widowControl/>
        <w:numPr>
          <w:ilvl w:val="0"/>
          <w:numId w:val="12"/>
        </w:numPr>
        <w:suppressAutoHyphens w:val="false"/>
        <w:contextualSpacing/>
        <w:rPr>
          <w:rFonts w:hint="eastAsia"/>
        </w:rPr>
      </w:pPr>
      <w:r>
        <w:rPr>
          <w:rFonts w:cs="Times New Roman" w:hAnsi="Times New Roman" w:ascii="Times New Roman"/>
          <w:szCs w:val="24"/>
        </w:rPr>
        <w:t>z. k. ul. br. 2053, k.o. Vrbovsko, k.č.br. 3255, Livada Krčmar, površine 1110 čhv, k.č.br. 3256, Livada Krčmar površine 766 čhv, k.č.br. 3257, Oranica Krčmar, površine 668 čhv, ukupno površine 2544 čhv.</w:t>
      </w:r>
    </w:p>
    <w:p w:rsidRDefault="00DF2444" w:rsidR="00DF2444">
      <w:pPr>
        <w:rPr>
          <w:rFonts w:cs="Times New Roman" w:hAnsi="Times New Roman" w:ascii="Times New Roman"/>
        </w:rPr>
      </w:pPr>
    </w:p>
    <w:p w:rsidRDefault="00AE6EB4" w:rsidR="00DF2444">
      <w:pPr>
        <w:rPr>
          <w:rFonts w:hint="eastAsia"/>
        </w:rPr>
      </w:pPr>
      <w:r>
        <w:rPr>
          <w:rFonts w:cs="Times New Roman" w:hAnsi="Times New Roman" w:ascii="Times New Roman"/>
          <w:b/>
          <w:u w:val="single"/>
        </w:rPr>
        <w:t>OPĆINSKI SUD U KARLOVCU, Zemljišnoknjižni odjel Karlovac</w:t>
      </w:r>
    </w:p>
    <w:p w:rsidRDefault="00AE6EB4" w:rsidR="00DF2444">
      <w:pPr>
        <w:pStyle w:val="Odlomakpopisa1"/>
        <w:widowControl/>
        <w:numPr>
          <w:ilvl w:val="0"/>
          <w:numId w:val="12"/>
        </w:numPr>
        <w:suppressAutoHyphens w:val="false"/>
        <w:contextualSpacing/>
        <w:rPr>
          <w:rFonts w:hint="eastAsia"/>
        </w:rPr>
      </w:pPr>
      <w:r>
        <w:rPr>
          <w:rFonts w:cs="Times New Roman" w:hAnsi="Times New Roman" w:ascii="Times New Roman"/>
          <w:szCs w:val="24"/>
        </w:rPr>
        <w:t>z. k. ul. br. 8141 (E-5) k.o. Karlovac II, koja se sastoji od suvlasničkog dijela 1/22, k.č.br. 1846/28, Domobranska ul. površine 337 m2 (stambena zgrada Domobranska ul. površine 337 m2) ukupno površine 337 m2, povezano s vlasništvom trosobnog stana na 1. katu desno, šifra stana 55010095034  koji se sastoji od: 3 sobe, kuhinje, izbe, kupaonice, nužnika, predsoblja, lođe i 2 terase, ukupne površine 97,77 m2</w:t>
      </w:r>
    </w:p>
    <w:p w:rsidRDefault="00AE6EB4" w:rsidR="00DF2444">
      <w:pPr>
        <w:pStyle w:val="Odlomakpopisa1"/>
        <w:widowControl/>
        <w:numPr>
          <w:ilvl w:val="0"/>
          <w:numId w:val="12"/>
        </w:numPr>
        <w:suppressAutoHyphens w:val="false"/>
        <w:contextualSpacing/>
        <w:rPr>
          <w:rFonts w:hint="eastAsia"/>
        </w:rPr>
      </w:pPr>
      <w:r>
        <w:rPr>
          <w:rFonts w:cs="Times New Roman" w:hAnsi="Times New Roman" w:ascii="Times New Roman"/>
          <w:szCs w:val="24"/>
        </w:rPr>
        <w:t>z. k. ul. br. 3295 k.o. Karlovac II, k.č.br. 1616/2, Ul. Matije Gupca, površine 434 m2 (dvorište površine 341 m2, kuća, Ul. Matije Gupca površine 93 m2), ukupne površine 434 m2</w:t>
      </w:r>
    </w:p>
    <w:p w:rsidRDefault="00AE6EB4" w:rsidR="00DF2444">
      <w:pPr>
        <w:pStyle w:val="Odlomakpopisa1"/>
        <w:widowControl/>
        <w:numPr>
          <w:ilvl w:val="0"/>
          <w:numId w:val="12"/>
        </w:numPr>
        <w:suppressAutoHyphens w:val="false"/>
        <w:contextualSpacing/>
        <w:rPr>
          <w:rFonts w:hint="eastAsia"/>
        </w:rPr>
      </w:pPr>
      <w:r>
        <w:rPr>
          <w:rFonts w:cs="Times New Roman" w:hAnsi="Times New Roman" w:ascii="Times New Roman"/>
          <w:szCs w:val="24"/>
        </w:rPr>
        <w:t>z. k. ul. br. 696 k.o. Generalski Stol, k.č.br. 14, oranica Bukovica čerpelj površine 1057 čhv, ukupno površine 1057 čhv</w:t>
      </w:r>
    </w:p>
    <w:p w:rsidRDefault="00DF2444" w:rsidR="00DF2444">
      <w:pPr>
        <w:rPr>
          <w:rFonts w:cs="Times New Roman" w:hAnsi="Times New Roman" w:ascii="Times New Roman"/>
        </w:rPr>
      </w:pPr>
    </w:p>
    <w:p w:rsidRDefault="00AE6EB4" w:rsidR="00DF2444">
      <w:pPr>
        <w:rPr>
          <w:rFonts w:hint="eastAsia"/>
        </w:rPr>
      </w:pPr>
      <w:r>
        <w:rPr>
          <w:rFonts w:cs="Times New Roman" w:hAnsi="Times New Roman" w:ascii="Times New Roman"/>
          <w:b/>
          <w:u w:val="single"/>
        </w:rPr>
        <w:t>OPĆINSKI SUD U KARLOVCU, Stalna služba Ogulin, Zemljišnoknjižni odjel Ogulin</w:t>
      </w:r>
    </w:p>
    <w:p w:rsidRDefault="00AE6EB4" w:rsidR="00DF2444">
      <w:pPr>
        <w:pStyle w:val="Odlomakpopisa1"/>
        <w:widowControl/>
        <w:numPr>
          <w:ilvl w:val="0"/>
          <w:numId w:val="4"/>
        </w:numPr>
        <w:suppressAutoHyphens w:val="false"/>
        <w:contextualSpacing/>
        <w:rPr>
          <w:rFonts w:hint="eastAsia"/>
        </w:rPr>
      </w:pPr>
      <w:r>
        <w:rPr>
          <w:rFonts w:cs="Times New Roman" w:hAnsi="Times New Roman" w:ascii="Times New Roman"/>
          <w:szCs w:val="24"/>
        </w:rPr>
        <w:t>z. k. ul. br. 1801 k.o. Oštarije, k.č.br. 2278, kuća br. 114 i dvorište u kućištu, površine 76 čhv, k.č.br. 2281/4, oranica podkućnica u kućištu površine 429 čhv, ukupno površine 505 čhv</w:t>
      </w:r>
    </w:p>
    <w:p w:rsidRDefault="00DF2444" w:rsidR="00DF2444">
      <w:pPr>
        <w:rPr>
          <w:rFonts w:cs="Times New Roman" w:hAnsi="Times New Roman" w:ascii="Times New Roman"/>
          <w:b/>
          <w:u w:val="single"/>
        </w:rPr>
      </w:pPr>
    </w:p>
    <w:p w:rsidRDefault="00AE6EB4" w:rsidR="00DF2444">
      <w:pPr>
        <w:rPr>
          <w:rFonts w:hint="eastAsia"/>
        </w:rPr>
      </w:pPr>
      <w:r>
        <w:rPr>
          <w:rFonts w:cs="Times New Roman" w:hAnsi="Times New Roman" w:ascii="Times New Roman"/>
          <w:b/>
          <w:u w:val="single"/>
        </w:rPr>
        <w:t>OPĆINSKI SUD U SISKU, Zemljišnoknjižni odjel Sisak</w:t>
      </w:r>
    </w:p>
    <w:p w:rsidRDefault="00AE6EB4" w:rsidR="00DF2444">
      <w:pPr>
        <w:pStyle w:val="Odlomakpopisa1"/>
        <w:widowControl/>
        <w:numPr>
          <w:ilvl w:val="0"/>
          <w:numId w:val="4"/>
        </w:numPr>
        <w:suppressAutoHyphens w:val="false"/>
        <w:contextualSpacing/>
        <w:rPr>
          <w:rFonts w:hint="eastAsia"/>
        </w:rPr>
      </w:pPr>
      <w:r>
        <w:rPr>
          <w:rFonts w:cs="Times New Roman" w:hAnsi="Times New Roman" w:ascii="Times New Roman"/>
          <w:szCs w:val="24"/>
        </w:rPr>
        <w:t>z. k. ul. br. 369, k.o. Lekenik, k.č.br. 3122, Zagrebačka ulica, površine 3100 m2 (izgrađeno zemljište površine 65 m2, izgrađeno zemljište površine 79 m2, oranica površine 2148 m2, dvorište površine 686 m2,  izgrađeno zemljište površine 35 m2, izgrađeno zemljište površine 15 m2, izgrađeno zemljište površine 21 m2, izgrađeno zemljište površine 51 m2), ukupno površine 3100 m2</w:t>
      </w:r>
    </w:p>
    <w:p w:rsidRDefault="00AE6EB4" w:rsidR="00DF2444">
      <w:pPr>
        <w:pStyle w:val="Odlomakpopisa1"/>
        <w:widowControl/>
        <w:numPr>
          <w:ilvl w:val="0"/>
          <w:numId w:val="4"/>
        </w:numPr>
        <w:suppressAutoHyphens w:val="false"/>
        <w:contextualSpacing/>
        <w:rPr>
          <w:rFonts w:hint="eastAsia"/>
        </w:rPr>
      </w:pPr>
      <w:r>
        <w:rPr>
          <w:rFonts w:cs="Times New Roman" w:hAnsi="Times New Roman" w:ascii="Times New Roman"/>
          <w:szCs w:val="24"/>
        </w:rPr>
        <w:t>z. k. ul. br. 749, k.o. Desno Trebarjevo, k.č.br. 165/3, U Mjestu  površine 115 m2 (kuća br. 58 U Mjestu površine 36 m2, dvorište U Mjestu površine 79 m2), k.č.br. 167/8 U Mjestu  površine 97 m2 (gospodarske zgrade U Mjestu površine 18 m2, dvorište  U Mjestu površine 79 m2), k.č.br. 175/2 U Mjestu  površine 201 m2 (kuća i dvorište U Mjestu površine 201 m2) ukupno površine 413 m2</w:t>
      </w:r>
    </w:p>
    <w:p w:rsidRDefault="00AE6EB4" w:rsidR="00DF2444">
      <w:pPr>
        <w:pStyle w:val="Odlomakpopisa1"/>
        <w:widowControl/>
        <w:numPr>
          <w:ilvl w:val="0"/>
          <w:numId w:val="4"/>
        </w:numPr>
        <w:suppressAutoHyphens w:val="false"/>
        <w:contextualSpacing/>
        <w:rPr>
          <w:rFonts w:hint="eastAsia"/>
        </w:rPr>
      </w:pPr>
      <w:r>
        <w:rPr>
          <w:rFonts w:cs="Times New Roman" w:hAnsi="Times New Roman" w:ascii="Times New Roman"/>
          <w:szCs w:val="24"/>
        </w:rPr>
        <w:t>z. k. ul. br. 4832 (E-13), k.o. Novi Sisak, koja se sastoji od 1/20 dijela k.č.br. 1811/74 stambena zgrada od 463 m2, Andrije Hebranga 2,4 površine 463 m2 povezano s vlasništvom stana br. 13 - jednosobni stan  na I. katu lijevo, od sobe, kuhinje, balkona, pomoćnih prostorija, u površini od 42,75 m2 i ostava u prizemlju broj 2</w:t>
      </w:r>
    </w:p>
    <w:p w:rsidRDefault="00AE6EB4" w:rsidR="00DF2444">
      <w:pPr>
        <w:pStyle w:val="Odlomakpopisa1"/>
        <w:widowControl/>
        <w:numPr>
          <w:ilvl w:val="0"/>
          <w:numId w:val="4"/>
        </w:numPr>
        <w:suppressAutoHyphens w:val="false"/>
        <w:contextualSpacing/>
        <w:rPr>
          <w:rFonts w:hint="eastAsia"/>
        </w:rPr>
      </w:pPr>
      <w:r>
        <w:rPr>
          <w:rFonts w:cs="Times New Roman" w:hAnsi="Times New Roman" w:ascii="Times New Roman"/>
          <w:szCs w:val="24"/>
        </w:rPr>
        <w:t>z. k. ul. br. 4777 (E-14), k.o. Novi Sisak, koja se sastoji od 1/36 dijela k.č.br. 1409/25 stambena zgrada Tina Ujevića 24, 26 od 554 m2, povezano s vlasništvom stana br. 14 - trosobni stan na IV. katu u hodniku desno, od 3 sobe, kuhinje, lođe, pomoćnih prostorija, u površini od 71,49 m2 i ostava za zimnicu u podrumu broj 14, ½ suvlasničkog dijela</w:t>
      </w:r>
    </w:p>
    <w:p w:rsidRDefault="00AE6EB4" w:rsidR="00DF2444">
      <w:pPr>
        <w:pStyle w:val="Odlomakpopisa1"/>
        <w:widowControl/>
        <w:numPr>
          <w:ilvl w:val="0"/>
          <w:numId w:val="4"/>
        </w:numPr>
        <w:suppressAutoHyphens w:val="false"/>
        <w:contextualSpacing/>
        <w:rPr>
          <w:rFonts w:hint="eastAsia"/>
        </w:rPr>
      </w:pPr>
      <w:r>
        <w:rPr>
          <w:rFonts w:cs="Times New Roman" w:hAnsi="Times New Roman" w:ascii="Times New Roman"/>
          <w:szCs w:val="24"/>
        </w:rPr>
        <w:t>z. k. ul. br. 249, k.o. Lonja, k.č.br. 345, Grunt površine 431 m2 (kuća i dvorište Grunt 431 m2) ukupno površine 431 m2</w:t>
      </w:r>
    </w:p>
    <w:p w:rsidRDefault="00AE6EB4" w:rsidR="00DF2444">
      <w:pPr>
        <w:pStyle w:val="Odlomakpopisa1"/>
        <w:widowControl/>
        <w:numPr>
          <w:ilvl w:val="0"/>
          <w:numId w:val="4"/>
        </w:numPr>
        <w:suppressAutoHyphens w:val="false"/>
        <w:contextualSpacing/>
        <w:rPr>
          <w:rFonts w:hint="eastAsia"/>
        </w:rPr>
      </w:pPr>
      <w:r>
        <w:rPr>
          <w:rFonts w:cs="Times New Roman" w:hAnsi="Times New Roman" w:ascii="Times New Roman"/>
          <w:szCs w:val="24"/>
        </w:rPr>
        <w:lastRenderedPageBreak/>
        <w:t>z. k. ul. br. 135, k.o. Lonja, k.č.br. 343, Grunt površine 712 m2 (oranica Grunt 712 m2), k.č.br. 344 Grunt površine 388 m2 (kuća i dvorište Grunt površine 388 m2), ukupno površine 1100 m2</w:t>
      </w:r>
    </w:p>
    <w:p w:rsidRDefault="00AE6EB4" w:rsidR="00DF2444">
      <w:pPr>
        <w:pStyle w:val="Odlomakpopisa1"/>
        <w:widowControl/>
        <w:numPr>
          <w:ilvl w:val="0"/>
          <w:numId w:val="4"/>
        </w:numPr>
        <w:suppressAutoHyphens w:val="false"/>
        <w:contextualSpacing/>
        <w:rPr>
          <w:rFonts w:hint="eastAsia"/>
        </w:rPr>
      </w:pPr>
      <w:r>
        <w:rPr>
          <w:rFonts w:cs="Times New Roman" w:hAnsi="Times New Roman" w:ascii="Times New Roman"/>
          <w:szCs w:val="24"/>
        </w:rPr>
        <w:t>z. k. ul. br. 646, k.o. Lijeva Luka, k.č.br. 298, ostala zemljišta površine 3436 m2 (kuća i dva gospodarska objekta površine 188 m2, dvorište površine 500 m2, oranica površine 2748 m2),  ukupne površine 3436 m2</w:t>
      </w:r>
    </w:p>
    <w:p w:rsidRDefault="00AE6EB4" w:rsidR="00DF2444">
      <w:pPr>
        <w:pStyle w:val="Odlomakpopisa1"/>
        <w:widowControl/>
        <w:numPr>
          <w:ilvl w:val="0"/>
          <w:numId w:val="4"/>
        </w:numPr>
        <w:suppressAutoHyphens w:val="false"/>
        <w:contextualSpacing/>
        <w:rPr>
          <w:rFonts w:hint="eastAsia"/>
        </w:rPr>
      </w:pPr>
      <w:r>
        <w:rPr>
          <w:rFonts w:cs="Times New Roman" w:hAnsi="Times New Roman" w:ascii="Times New Roman"/>
          <w:szCs w:val="24"/>
        </w:rPr>
        <w:t>z. k. ul. br. 344, k.o. Galdovo, ½ suvlasničkog dijela k.č.br. 2119/2, Poljska ulica površine 677 m2 (kuća Poljska ulica površine 59 m2, dvorište Poljska ulica površine 618 m2), ukupno površine 677 m2</w:t>
      </w:r>
    </w:p>
    <w:p w:rsidRDefault="00DF2444" w:rsidR="00DF2444">
      <w:pPr>
        <w:rPr>
          <w:rFonts w:cs="Times New Roman" w:hAnsi="Times New Roman" w:ascii="Times New Roman"/>
        </w:rPr>
      </w:pPr>
    </w:p>
    <w:p w:rsidRDefault="00AE6EB4" w:rsidR="00DF2444">
      <w:pPr>
        <w:rPr>
          <w:rFonts w:hint="eastAsia"/>
        </w:rPr>
      </w:pPr>
      <w:r>
        <w:rPr>
          <w:rFonts w:cs="Times New Roman" w:hAnsi="Times New Roman" w:ascii="Times New Roman"/>
          <w:b/>
          <w:u w:val="single"/>
        </w:rPr>
        <w:t>OPĆINSKI SUD U BJELOVARU, Stalna služba u Garešnici, Zemljišnoknjižni odjel Garešnica</w:t>
      </w:r>
    </w:p>
    <w:p w:rsidRDefault="00AE6EB4" w:rsidR="00DF2444">
      <w:pPr>
        <w:pStyle w:val="Odlomakpopisa1"/>
        <w:widowControl/>
        <w:numPr>
          <w:ilvl w:val="0"/>
          <w:numId w:val="14"/>
        </w:numPr>
        <w:suppressAutoHyphens w:val="false"/>
        <w:contextualSpacing/>
        <w:rPr>
          <w:rFonts w:hint="eastAsia"/>
        </w:rPr>
      </w:pPr>
      <w:r>
        <w:rPr>
          <w:rFonts w:cs="Times New Roman" w:hAnsi="Times New Roman" w:ascii="Times New Roman"/>
          <w:szCs w:val="24"/>
        </w:rPr>
        <w:t>z. k. ul. br. 68, k.o. Kaniška Iva, k.č.br. 1028, oranica ograda, površine 1424 čhv, k.č.br. 1040/1, oranica ograda, površine 862 čhv, k.č.br. 1041, oranica ograda, površine 368 čhv, k.č.br. 1042/3, oranica ograda, površine 173 čhv, k.č.br. 1062, kuća broj 133 i dvor, površine 199 čhv, k.č.br. 1063/2, vrt, površine 216 čhv, k.č.br. 1830/1, put, površine 306 čhv, k.č.br. 1950/1,  kuća broj 68 i dvor, površine 127 čhv, ukupno površine 3675 čhv</w:t>
      </w:r>
    </w:p>
    <w:p w:rsidRDefault="00DF2444" w:rsidR="00DF2444">
      <w:pPr>
        <w:rPr>
          <w:rFonts w:cs="Times New Roman" w:hAnsi="Times New Roman" w:ascii="Times New Roman"/>
        </w:rPr>
      </w:pPr>
    </w:p>
    <w:p w:rsidRDefault="00AE6EB4" w:rsidR="00DF2444">
      <w:pPr>
        <w:rPr>
          <w:rFonts w:hint="eastAsia"/>
        </w:rPr>
      </w:pPr>
      <w:r>
        <w:rPr>
          <w:rFonts w:cs="Times New Roman" w:hAnsi="Times New Roman" w:ascii="Times New Roman"/>
          <w:b/>
          <w:u w:val="single"/>
        </w:rPr>
        <w:t>OPĆINSKI SUD U BJELOVARU, Stalna služba u Križevcima, Zemljišnoknjižni odjel Križevci</w:t>
      </w:r>
    </w:p>
    <w:p w:rsidRDefault="00AE6EB4" w:rsidR="00DF2444">
      <w:pPr>
        <w:pStyle w:val="Odlomakpopisa1"/>
        <w:widowControl/>
        <w:numPr>
          <w:ilvl w:val="0"/>
          <w:numId w:val="14"/>
        </w:numPr>
        <w:suppressAutoHyphens w:val="false"/>
        <w:contextualSpacing/>
        <w:rPr>
          <w:rFonts w:hint="eastAsia"/>
        </w:rPr>
      </w:pPr>
      <w:r>
        <w:rPr>
          <w:rFonts w:cs="Times New Roman" w:hAnsi="Times New Roman" w:ascii="Times New Roman"/>
          <w:szCs w:val="24"/>
        </w:rPr>
        <w:t>z. k. ul. br. 444, k.o. Osijek Vojakovački, k.č.br. 2678, klet Pod mladine, površine 117 čhv, k.č.br. 2679, vinograd Roguše, površine 366 čhv, k.č.br. 2726, vinograd Pod međe, površine 461 čhv, k.č.br. 3060, vinograd Oskoruše, površine 622 čhv, k.č.br. 3089, šuma Oskoruše, površine 232 čhv, k.č.br. 3103, vinograd Oskoruše, površine 134 čhv, k.č.br. 3205, površine 774 čhv (kuća 26 čhv, garaža 6 čhv, gospodarske zgrade površine 103 čhv, dvorište površine 639 čhv), k.č.br. 3233 šuma Brdo, površine 303 čhv, k.č.br. 3255 kuća br. 76 i dvor, površine 33 čhv, k.č.br. 3256 voćnjak površine 478 čhv, k.č.br. 3257/2 voćnjak Srdije, površine 194 čhv, k.č.br. 3341 šuma Dolina, površine 155 čhv, ukupno površine 3869 čhv</w:t>
      </w:r>
    </w:p>
    <w:p w:rsidRDefault="00DF2444" w:rsidR="00DF2444">
      <w:pPr>
        <w:rPr>
          <w:rFonts w:cs="Times New Roman" w:hAnsi="Times New Roman" w:ascii="Times New Roman"/>
        </w:rPr>
      </w:pPr>
    </w:p>
    <w:p w:rsidRDefault="00AE6EB4" w:rsidR="00DF2444">
      <w:pPr>
        <w:rPr>
          <w:rFonts w:hint="eastAsia"/>
        </w:rPr>
      </w:pPr>
      <w:r>
        <w:rPr>
          <w:rFonts w:cs="Times New Roman" w:hAnsi="Times New Roman" w:ascii="Times New Roman"/>
          <w:b/>
          <w:u w:val="single"/>
        </w:rPr>
        <w:t>OPĆINSKI SUD U BJELOVARU, Zemljišnoknjižni odjel Bjelovar</w:t>
      </w:r>
    </w:p>
    <w:p w:rsidRDefault="00AE6EB4" w:rsidR="00DF2444">
      <w:pPr>
        <w:pStyle w:val="Odlomakpopisa1"/>
        <w:widowControl/>
        <w:numPr>
          <w:ilvl w:val="0"/>
          <w:numId w:val="14"/>
        </w:numPr>
        <w:suppressAutoHyphens w:val="false"/>
        <w:contextualSpacing/>
        <w:rPr>
          <w:rFonts w:hint="eastAsia"/>
        </w:rPr>
      </w:pPr>
      <w:r>
        <w:rPr>
          <w:rFonts w:cs="Times New Roman" w:hAnsi="Times New Roman" w:ascii="Times New Roman"/>
          <w:szCs w:val="24"/>
        </w:rPr>
        <w:t>z. k. ul. br. 1632, k.o. Korenovo, k.č.br. 571, livada Velika livada površine 567 čhv, k.č.br. 571/1, oranica Velika livada 283 čhv, ukupno površine 850 čhv</w:t>
      </w:r>
    </w:p>
    <w:p w:rsidRDefault="00DF2444" w:rsidR="00DF2444">
      <w:pPr>
        <w:rPr>
          <w:rFonts w:cs="Times New Roman" w:hAnsi="Times New Roman" w:ascii="Times New Roman"/>
          <w:b/>
          <w:u w:val="single"/>
        </w:rPr>
      </w:pPr>
    </w:p>
    <w:p w:rsidRDefault="00AE6EB4" w:rsidR="00DF2444">
      <w:pPr>
        <w:rPr>
          <w:rFonts w:hint="eastAsia"/>
        </w:rPr>
      </w:pPr>
      <w:r>
        <w:rPr>
          <w:rFonts w:cs="Times New Roman" w:hAnsi="Times New Roman" w:ascii="Times New Roman"/>
          <w:b/>
          <w:u w:val="single"/>
        </w:rPr>
        <w:t>OPĆINSKI SUD U SESVETAMA, Zemljišnoknjižni odjel Sesvete</w:t>
      </w:r>
    </w:p>
    <w:p w:rsidRDefault="00AE6EB4" w:rsidR="00DF2444">
      <w:pPr>
        <w:pStyle w:val="Odlomakpopisa1"/>
        <w:widowControl/>
        <w:numPr>
          <w:ilvl w:val="0"/>
          <w:numId w:val="14"/>
        </w:numPr>
        <w:suppressAutoHyphens w:val="false"/>
        <w:contextualSpacing/>
        <w:rPr>
          <w:rFonts w:hint="eastAsia"/>
        </w:rPr>
      </w:pPr>
      <w:r>
        <w:rPr>
          <w:rFonts w:cs="Times New Roman" w:hAnsi="Times New Roman" w:ascii="Times New Roman"/>
          <w:szCs w:val="24"/>
        </w:rPr>
        <w:t>z. k. ul. br. 4186 k.o. Sesvete, k.č.br. 1014/68 kuća i dvorište u Brestju ukupne povr. 88 čhv, 315 m2, ukupno površine 88 čhv, 315 m2</w:t>
      </w:r>
    </w:p>
    <w:p w:rsidRDefault="00AE6EB4" w:rsidR="00DF2444">
      <w:pPr>
        <w:pStyle w:val="Odlomakpopisa1"/>
        <w:widowControl/>
        <w:numPr>
          <w:ilvl w:val="0"/>
          <w:numId w:val="14"/>
        </w:numPr>
        <w:suppressAutoHyphens w:val="false"/>
        <w:contextualSpacing/>
        <w:rPr>
          <w:rFonts w:hint="eastAsia"/>
        </w:rPr>
      </w:pPr>
      <w:r>
        <w:rPr>
          <w:rFonts w:cs="Times New Roman" w:hAnsi="Times New Roman" w:ascii="Times New Roman"/>
          <w:szCs w:val="24"/>
        </w:rPr>
        <w:t>z. k. ul. br. 7612 (E-14), k.o. Sesvetski Kraljevec, koja se sastoji od 219/10000 dijela k.č.br. 519 Blage Zadre površine 1371 m2 (stambena zgrada br. 9, 11, 13 Blage Zadre površine 882 m2, dvorište Blage Zadre površine 489 m2), ukupno površine 1371 m2, povezano s vlasništvom posebnog dijela - stan oznake SZ-9. PC2d površine 57 m2 i spremište oznake SZ-9.3 površine 3,30 m2;</w:t>
      </w:r>
    </w:p>
    <w:p w:rsidRDefault="00AE6EB4" w:rsidR="00DF2444">
      <w:pPr>
        <w:pStyle w:val="Odlomakpopisa1"/>
        <w:widowControl/>
        <w:numPr>
          <w:ilvl w:val="0"/>
          <w:numId w:val="14"/>
        </w:numPr>
        <w:suppressAutoHyphens w:val="false"/>
        <w:contextualSpacing/>
        <w:rPr>
          <w:rFonts w:hint="eastAsia"/>
        </w:rPr>
      </w:pPr>
      <w:r>
        <w:rPr>
          <w:rFonts w:cs="Times New Roman" w:hAnsi="Times New Roman" w:ascii="Times New Roman"/>
          <w:szCs w:val="24"/>
        </w:rPr>
        <w:t>z. k. ul. br. 2855 k.o. Vurnovec, k.č.br. 3407/3, površine 153 čhv, 551 m2 (kuća br. 18, Vurnovečka ulica površine 28 čhv ili 101 m2 i dvorište površine 125 čhv ili 450 m2, ukupne površine 153 čhv, 551 m2;</w:t>
      </w:r>
    </w:p>
    <w:p w:rsidRDefault="00AE6EB4" w:rsidR="00DF2444">
      <w:pPr>
        <w:pStyle w:val="Odlomakpopisa1"/>
        <w:widowControl/>
        <w:numPr>
          <w:ilvl w:val="0"/>
          <w:numId w:val="14"/>
        </w:numPr>
        <w:suppressAutoHyphens w:val="false"/>
        <w:contextualSpacing/>
        <w:rPr>
          <w:rFonts w:hint="eastAsia"/>
        </w:rPr>
      </w:pPr>
      <w:r>
        <w:rPr>
          <w:rFonts w:cs="Times New Roman" w:hAnsi="Times New Roman" w:ascii="Times New Roman"/>
          <w:szCs w:val="24"/>
        </w:rPr>
        <w:t xml:space="preserve">z. k. ul. br. 9536 (E-26) k.o. Sesvete koja se sastoji od suvlasničkog dijela s neodređenim omjerom, k.č.br. 1124/3, zgrada mješovite uporabe, Sesvete, Selčinska ulica 18, 16, površine </w:t>
      </w:r>
      <w:r>
        <w:rPr>
          <w:rFonts w:cs="Times New Roman" w:hAnsi="Times New Roman" w:ascii="Times New Roman"/>
          <w:szCs w:val="24"/>
        </w:rPr>
        <w:lastRenderedPageBreak/>
        <w:t>1428 m2, ukupno površine 1428 m2, povezano s vlasništvom posebnog dijela - dvosobni stan na III. katu, NKP 65,69 m2, na kućnom br. 16</w:t>
      </w:r>
    </w:p>
    <w:p w:rsidRDefault="00AE6EB4" w:rsidR="00DF2444">
      <w:pPr>
        <w:pStyle w:val="Odlomakpopisa1"/>
        <w:widowControl/>
        <w:numPr>
          <w:ilvl w:val="0"/>
          <w:numId w:val="14"/>
        </w:numPr>
        <w:suppressAutoHyphens w:val="false"/>
        <w:contextualSpacing/>
        <w:rPr>
          <w:rFonts w:hint="eastAsia"/>
        </w:rPr>
      </w:pPr>
      <w:r>
        <w:rPr>
          <w:rFonts w:cs="Times New Roman" w:hAnsi="Times New Roman" w:ascii="Times New Roman"/>
          <w:szCs w:val="24"/>
        </w:rPr>
        <w:t>poduložak br.933, knjiga PU: Sesvete, Zgrada u Sesvetama, ulica Selčinska 11 sagrađena na kat.čest. 1124/1, povezano s vlasništvom posebnog dijela: jednoiposobni stan površine 36,00 m2</w:t>
      </w:r>
    </w:p>
    <w:p w:rsidRDefault="00DF2444" w:rsidR="00DF2444">
      <w:pPr>
        <w:rPr>
          <w:rFonts w:cs="Times New Roman" w:hAnsi="Times New Roman" w:ascii="Times New Roman"/>
        </w:rPr>
      </w:pPr>
    </w:p>
    <w:p w:rsidRDefault="00AE6EB4" w:rsidR="00DF2444">
      <w:pPr>
        <w:rPr>
          <w:rFonts w:hint="eastAsia"/>
        </w:rPr>
      </w:pPr>
      <w:r>
        <w:rPr>
          <w:rFonts w:cs="Times New Roman" w:hAnsi="Times New Roman" w:ascii="Times New Roman"/>
          <w:b/>
          <w:u w:val="single"/>
        </w:rPr>
        <w:t>OPĆINSKI SUD U SESVETAMA, Stalna služba u Vrbovcu, Zemljišnoknjižni odjel Vrbovec</w:t>
      </w:r>
    </w:p>
    <w:p w:rsidRDefault="00AE6EB4" w:rsidR="00DF2444">
      <w:pPr>
        <w:pStyle w:val="Odlomakpopisa1"/>
        <w:widowControl/>
        <w:numPr>
          <w:ilvl w:val="0"/>
          <w:numId w:val="6"/>
        </w:numPr>
        <w:suppressAutoHyphens w:val="false"/>
        <w:contextualSpacing/>
        <w:rPr>
          <w:rFonts w:hint="eastAsia"/>
        </w:rPr>
      </w:pPr>
      <w:r>
        <w:rPr>
          <w:rFonts w:cs="Times New Roman" w:hAnsi="Times New Roman" w:ascii="Times New Roman"/>
          <w:szCs w:val="24"/>
        </w:rPr>
        <w:t>z. k. ul. br. 1125 k.o. Velika, k.č.br. 2049/2, dvor kod kuće u Žuncima, površine 109 čhv, ukupne površine 109 čhv</w:t>
      </w:r>
    </w:p>
    <w:p w:rsidRDefault="00AE6EB4" w:rsidR="00DF2444">
      <w:pPr>
        <w:pStyle w:val="Odlomakpopisa1"/>
        <w:widowControl/>
        <w:numPr>
          <w:ilvl w:val="0"/>
          <w:numId w:val="6"/>
        </w:numPr>
        <w:suppressAutoHyphens w:val="false"/>
        <w:contextualSpacing/>
        <w:rPr>
          <w:rFonts w:hint="eastAsia"/>
        </w:rPr>
      </w:pPr>
      <w:r>
        <w:rPr>
          <w:rFonts w:cs="Times New Roman" w:hAnsi="Times New Roman" w:ascii="Times New Roman"/>
          <w:szCs w:val="24"/>
        </w:rPr>
        <w:t>z. k. ul. br. 1388 k.o. Velika, k.č.br. 2049/3, kuća br. 2 i dvor u Žuncima, površine 258 čhv, ukupne površine 258 čhv</w:t>
      </w:r>
    </w:p>
    <w:p w:rsidRDefault="00DF2444" w:rsidR="00DF2444">
      <w:pPr>
        <w:rPr>
          <w:rFonts w:cs="Times New Roman" w:hAnsi="Times New Roman" w:ascii="Times New Roman"/>
        </w:rPr>
      </w:pPr>
    </w:p>
    <w:p w:rsidRDefault="00AE6EB4" w:rsidR="00DF2444">
      <w:pPr>
        <w:rPr>
          <w:rFonts w:hint="eastAsia"/>
        </w:rPr>
      </w:pPr>
      <w:r>
        <w:rPr>
          <w:rFonts w:cs="Times New Roman" w:hAnsi="Times New Roman" w:ascii="Times New Roman"/>
          <w:b/>
          <w:u w:val="single"/>
        </w:rPr>
        <w:t>OPĆINSKI SUD U VARAŽDINU, Stalna služba u Novom Marofu, Zemljišnoknjižni odjel Novi Marof</w:t>
      </w:r>
    </w:p>
    <w:p w:rsidRDefault="00AE6EB4" w:rsidR="00DF2444">
      <w:pPr>
        <w:pStyle w:val="Odlomakpopisa1"/>
        <w:widowControl/>
        <w:numPr>
          <w:ilvl w:val="0"/>
          <w:numId w:val="16"/>
        </w:numPr>
        <w:suppressAutoHyphens w:val="false"/>
        <w:contextualSpacing/>
        <w:rPr>
          <w:rFonts w:hint="eastAsia"/>
        </w:rPr>
      </w:pPr>
      <w:r>
        <w:rPr>
          <w:rFonts w:cs="Times New Roman" w:hAnsi="Times New Roman" w:ascii="Times New Roman"/>
          <w:szCs w:val="24"/>
        </w:rPr>
        <w:t>z. k. ul. br. 2539 (E-10) k.o. Novi Marof, koja se sastoji od suvlasničkog dijela s neodređenim omjerom, k.č.br. 1377/1, Novi Marof površine 4378 m2 (dvorište površine 500 m2, stambene zgrade površine 888 m2, oranica površine 2990 m2) ukupno površine 4378 m2, povezano s vlasništvom dvosobnog stana na drugom katu, zgrade koji se sastoji od: dvije sobe, kuhinje, kupaonice s wc-om, lođe, predsoblja i špajze, ukupne površine 55 m2</w:t>
      </w:r>
    </w:p>
    <w:p w:rsidRDefault="00AE6EB4" w:rsidR="00DF2444">
      <w:pPr>
        <w:pStyle w:val="Odlomakpopisa1"/>
        <w:widowControl/>
        <w:numPr>
          <w:ilvl w:val="0"/>
          <w:numId w:val="16"/>
        </w:numPr>
        <w:suppressAutoHyphens w:val="false"/>
        <w:contextualSpacing/>
        <w:rPr>
          <w:rFonts w:hint="eastAsia"/>
        </w:rPr>
      </w:pPr>
      <w:r>
        <w:rPr>
          <w:rFonts w:cs="Times New Roman" w:hAnsi="Times New Roman" w:ascii="Times New Roman"/>
          <w:szCs w:val="24"/>
        </w:rPr>
        <w:t>z. k. ul. br. 2443 k.o. Tuhovec, k.č.br. 286/1, oranica i voćnjak Seretin, površine 2918 m2, k.č.br. 384/27 kuća, dvorište i put Brezje, površine 784 m2, ukupno površine 3702 m2</w:t>
      </w:r>
    </w:p>
    <w:p w:rsidRDefault="00DF2444" w:rsidR="00DF2444">
      <w:pPr>
        <w:rPr>
          <w:rFonts w:cs="Times New Roman" w:hAnsi="Times New Roman" w:ascii="Times New Roman"/>
          <w:b/>
          <w:u w:val="single"/>
        </w:rPr>
      </w:pPr>
    </w:p>
    <w:p w:rsidRDefault="00AE6EB4" w:rsidR="00DF2444">
      <w:pPr>
        <w:rPr>
          <w:rFonts w:hint="eastAsia"/>
        </w:rPr>
      </w:pPr>
      <w:r>
        <w:rPr>
          <w:rFonts w:cs="Times New Roman" w:hAnsi="Times New Roman" w:ascii="Times New Roman"/>
          <w:b/>
          <w:u w:val="single"/>
        </w:rPr>
        <w:t>OPĆINSKI SUD U VARAŽDINU, Stalna služba u Ivancu, Zemljišnoknjižni odjel Ivanec</w:t>
      </w:r>
    </w:p>
    <w:p w:rsidRDefault="00AE6EB4" w:rsidR="00DF2444">
      <w:pPr>
        <w:pStyle w:val="Odlomakpopisa1"/>
        <w:widowControl/>
        <w:numPr>
          <w:ilvl w:val="0"/>
          <w:numId w:val="17"/>
        </w:numPr>
        <w:suppressAutoHyphens w:val="false"/>
        <w:contextualSpacing/>
        <w:rPr>
          <w:rFonts w:hint="eastAsia"/>
        </w:rPr>
      </w:pPr>
      <w:r>
        <w:rPr>
          <w:rFonts w:cs="Times New Roman" w:hAnsi="Times New Roman" w:ascii="Times New Roman"/>
          <w:szCs w:val="24"/>
        </w:rPr>
        <w:t>z. k. ul. br. 766 k.o. Gornja Voča, k.č.br. 1620, livada Rahovnik, površine 1429 m2, k.č.br. 7750, šuma Pečićje, površine 734 m2, k.č.br. 7772 šuma Bukovje, površine 325 m2, k.č.br. 7806, šuma Bukovje, površine 1732 m2, k.č.br. 7825, kuća br. 38, gosp. zgrada i dvor površine 588 m2, k.č.br. 7826 voćnjak Grunt, površine 848 m2, k.č.br. 7827 vinograd Grunt, površine 796 m2, k.č.br. 7846 oranica Oberh Šipka, površine 7381 m2, k.č.br. 7847 vinograd Oberh Šipka, površine 201 m2, k.č.br. 7862 šuma Šipkovo, površine 3736 m2, ukupno površine 17770 m2</w:t>
      </w:r>
    </w:p>
    <w:p w:rsidRDefault="00AE6EB4" w:rsidR="00DF2444">
      <w:pPr>
        <w:pStyle w:val="Odlomakpopisa1"/>
        <w:widowControl/>
        <w:numPr>
          <w:ilvl w:val="0"/>
          <w:numId w:val="17"/>
        </w:numPr>
        <w:suppressAutoHyphens w:val="false"/>
        <w:contextualSpacing/>
        <w:rPr>
          <w:rFonts w:hint="eastAsia"/>
        </w:rPr>
      </w:pPr>
      <w:r>
        <w:rPr>
          <w:rFonts w:cs="Times New Roman" w:hAnsi="Times New Roman" w:ascii="Times New Roman"/>
          <w:szCs w:val="24"/>
        </w:rPr>
        <w:t>z. k. ul. br. 2694 k.o. Jerovec, k.č.br. 2176/2, pašnjak Laz, površine 410 m2, k.č.br. 2176/4, kuća i dvorište Laz, površine 309 m2 (kuća 43 m2, dvorište Laz površine 266 m2) ukupno površine 719 m2</w:t>
      </w:r>
    </w:p>
    <w:p w:rsidRDefault="00DF2444" w:rsidR="00DF2444">
      <w:pPr>
        <w:rPr>
          <w:rFonts w:cs="Times New Roman" w:hAnsi="Times New Roman" w:ascii="Times New Roman"/>
          <w:b/>
          <w:u w:val="single"/>
        </w:rPr>
      </w:pPr>
    </w:p>
    <w:p w:rsidRDefault="00AE6EB4" w:rsidR="00DF2444">
      <w:pPr>
        <w:rPr>
          <w:rFonts w:hint="eastAsia"/>
        </w:rPr>
      </w:pPr>
      <w:r>
        <w:rPr>
          <w:rFonts w:cs="Times New Roman" w:hAnsi="Times New Roman" w:ascii="Times New Roman"/>
          <w:b/>
          <w:u w:val="single"/>
        </w:rPr>
        <w:t>OPĆINSKI SUD U VARAŽDINU, Zemljišnoknjižni odjel Ludbreg</w:t>
      </w:r>
    </w:p>
    <w:p w:rsidRDefault="00AE6EB4" w:rsidR="00DF2444">
      <w:pPr>
        <w:pStyle w:val="Odlomakpopisa1"/>
        <w:widowControl/>
        <w:numPr>
          <w:ilvl w:val="0"/>
          <w:numId w:val="8"/>
        </w:numPr>
        <w:suppressAutoHyphens w:val="false"/>
        <w:contextualSpacing/>
        <w:rPr>
          <w:rFonts w:hint="eastAsia"/>
        </w:rPr>
      </w:pPr>
      <w:r>
        <w:rPr>
          <w:rFonts w:cs="Times New Roman" w:hAnsi="Times New Roman" w:ascii="Times New Roman"/>
          <w:szCs w:val="24"/>
        </w:rPr>
        <w:t>z. k. ul. br. 1851 k.o. Hrastovsko, k.č.br. 173/2, vrt u Mjesnoj rudini, površine 284 čhv, k.č.br. 175/2, voćnjak u Mjesnoj rudini, površine 146 čhv, k.č.br. 176/2, u Hrastovskom, površine 439 m2 (pomoćni objekt 47 m2, voćnjak 392 m2), k.č.br. 177/2 u Hrastovskom, površine 486 m2 (kuća površine 68 m2, dvorište površine 418 m2) ukupno površine 430 čhv, 925 m2</w:t>
      </w:r>
    </w:p>
    <w:p w:rsidRDefault="00DF2444" w:rsidR="00DF2444">
      <w:pPr>
        <w:rPr>
          <w:rFonts w:cs="Times New Roman" w:hAnsi="Times New Roman" w:ascii="Times New Roman"/>
        </w:rPr>
      </w:pPr>
    </w:p>
    <w:p w:rsidRDefault="00AE6EB4" w:rsidR="00DF2444">
      <w:pPr>
        <w:rPr>
          <w:rFonts w:hint="eastAsia"/>
        </w:rPr>
      </w:pPr>
      <w:r>
        <w:rPr>
          <w:rFonts w:cs="Times New Roman" w:hAnsi="Times New Roman" w:ascii="Times New Roman"/>
          <w:b/>
          <w:u w:val="single"/>
        </w:rPr>
        <w:t>OPĆINSKI SUD U VARAŽDINU, Zemljišnoknjižni odjel Varaždin</w:t>
      </w:r>
    </w:p>
    <w:p w:rsidRDefault="00AE6EB4" w:rsidR="00DF2444">
      <w:pPr>
        <w:pStyle w:val="Odlomakpopisa1"/>
        <w:widowControl/>
        <w:numPr>
          <w:ilvl w:val="0"/>
          <w:numId w:val="8"/>
        </w:numPr>
        <w:suppressAutoHyphens w:val="false"/>
        <w:contextualSpacing/>
        <w:rPr>
          <w:rFonts w:hint="eastAsia"/>
        </w:rPr>
      </w:pPr>
      <w:r>
        <w:rPr>
          <w:rFonts w:cs="Times New Roman" w:hAnsi="Times New Roman" w:ascii="Times New Roman"/>
          <w:szCs w:val="24"/>
        </w:rPr>
        <w:t>z. k. ul. br. 615 k.o. Petrijanec, k.č.br. 67, kuća i dvorište u Butini, površine 198 m2, k.č.br. 68, dvorište u Butini, površine 162 m2, ukupno površine 360 m2</w:t>
      </w:r>
    </w:p>
    <w:p w:rsidRDefault="00DF2444" w:rsidR="00DF2444">
      <w:pPr>
        <w:rPr>
          <w:rFonts w:cs="Times New Roman" w:hAnsi="Times New Roman" w:ascii="Times New Roman"/>
        </w:rPr>
      </w:pPr>
    </w:p>
    <w:p w:rsidRDefault="00AE6EB4" w:rsidR="00DF2444">
      <w:pPr>
        <w:rPr>
          <w:rFonts w:hint="eastAsia"/>
        </w:rPr>
      </w:pPr>
      <w:r>
        <w:rPr>
          <w:rFonts w:cs="Times New Roman" w:hAnsi="Times New Roman" w:ascii="Times New Roman"/>
          <w:b/>
          <w:u w:val="single"/>
        </w:rPr>
        <w:lastRenderedPageBreak/>
        <w:t>OPĆINSKI SUD U ZLATARU, Stalna služba u Krapini, Zemljišnoknjižni odjel Krapina</w:t>
      </w:r>
    </w:p>
    <w:p w:rsidRDefault="00AE6EB4" w:rsidR="00DF2444">
      <w:pPr>
        <w:pStyle w:val="Odlomakpopisa1"/>
        <w:widowControl/>
        <w:numPr>
          <w:ilvl w:val="0"/>
          <w:numId w:val="8"/>
        </w:numPr>
        <w:suppressAutoHyphens w:val="false"/>
        <w:contextualSpacing/>
        <w:rPr>
          <w:rFonts w:hint="eastAsia"/>
        </w:rPr>
      </w:pPr>
      <w:r>
        <w:rPr>
          <w:rFonts w:cs="Times New Roman" w:hAnsi="Times New Roman" w:ascii="Times New Roman"/>
          <w:szCs w:val="24"/>
        </w:rPr>
        <w:t>z. k. ul. br. 7719, k.o. Krapina, ½ suvlasničkog dijela  k.č.br. 7512/1 vinograd, površine 158 čhv, ½ suvlasničkog dijela k.č.br. 8148/6 šuma, površine 502 čhv, ½ suvlasničkog dijela k.č.br. 8183/5 oranica, površine 454 čhv, ukupno površine 1114 čhv</w:t>
      </w:r>
    </w:p>
    <w:p w:rsidRDefault="00AE6EB4" w:rsidR="00DF2444">
      <w:pPr>
        <w:pStyle w:val="Odlomakpopisa1"/>
        <w:widowControl/>
        <w:numPr>
          <w:ilvl w:val="0"/>
          <w:numId w:val="8"/>
        </w:numPr>
        <w:suppressAutoHyphens w:val="false"/>
        <w:contextualSpacing/>
        <w:rPr>
          <w:rFonts w:hint="eastAsia"/>
        </w:rPr>
      </w:pPr>
      <w:r>
        <w:rPr>
          <w:rFonts w:cs="Times New Roman" w:hAnsi="Times New Roman" w:ascii="Times New Roman"/>
          <w:szCs w:val="24"/>
        </w:rPr>
        <w:t>z. k. ul. br. 7358, k.o. Krapina, ½   suvlasničkog dijela  k.č.br. 8168/3 vrt kod kuće u Pustikah, površine 63 čhv, ukupno površine 63 čhv</w:t>
      </w:r>
    </w:p>
    <w:p w:rsidRDefault="00AE6EB4" w:rsidR="00DF2444">
      <w:pPr>
        <w:pStyle w:val="Odlomakpopisa1"/>
        <w:widowControl/>
        <w:numPr>
          <w:ilvl w:val="0"/>
          <w:numId w:val="8"/>
        </w:numPr>
        <w:suppressAutoHyphens w:val="false"/>
        <w:contextualSpacing/>
        <w:rPr>
          <w:rFonts w:hint="eastAsia"/>
        </w:rPr>
      </w:pPr>
      <w:r>
        <w:rPr>
          <w:rFonts w:cs="Times New Roman" w:hAnsi="Times New Roman" w:ascii="Times New Roman"/>
          <w:szCs w:val="24"/>
        </w:rPr>
        <w:t>z. k. ul. br. 7261, k.o. Krapina,  k.č.br. 8157/1 kuća i dvorište površine 161 čhv, ukupno površine 161čhv</w:t>
      </w:r>
    </w:p>
    <w:p w:rsidRDefault="00AE6EB4" w:rsidR="00DF2444">
      <w:pPr>
        <w:pStyle w:val="Odlomakpopisa1"/>
        <w:widowControl/>
        <w:numPr>
          <w:ilvl w:val="0"/>
          <w:numId w:val="8"/>
        </w:numPr>
        <w:suppressAutoHyphens w:val="false"/>
        <w:contextualSpacing/>
        <w:rPr>
          <w:rFonts w:hint="eastAsia"/>
        </w:rPr>
      </w:pPr>
      <w:r>
        <w:rPr>
          <w:rFonts w:cs="Times New Roman" w:hAnsi="Times New Roman" w:ascii="Times New Roman"/>
          <w:szCs w:val="24"/>
        </w:rPr>
        <w:t>z. k. ul. br. 4144, k.o. Krapina, ½ suvlasničkog dijela  k.č.br. 8163/1 oranica kod kuće u Pustikah, površine 1116 čhv, ukupno površine 1116 čhv</w:t>
      </w:r>
    </w:p>
    <w:p w:rsidRDefault="00AE6EB4" w:rsidR="00DF2444">
      <w:pPr>
        <w:pStyle w:val="Odlomakpopisa1"/>
        <w:widowControl/>
        <w:numPr>
          <w:ilvl w:val="0"/>
          <w:numId w:val="8"/>
        </w:numPr>
        <w:suppressAutoHyphens w:val="false"/>
        <w:contextualSpacing/>
        <w:rPr>
          <w:rFonts w:hint="eastAsia"/>
        </w:rPr>
      </w:pPr>
      <w:r>
        <w:rPr>
          <w:rFonts w:cs="Times New Roman" w:hAnsi="Times New Roman" w:ascii="Times New Roman"/>
          <w:szCs w:val="24"/>
        </w:rPr>
        <w:t>z. k. ul. br. 2367, k.o. Krapina, ½ suvlasničkog dijela k.č.br. 7492/3 oranica jambolica u Jambolovcu, površine 132 čhv, ½ suvlasničkog dijela k.č.br. 8185/5 oranica, površine 238 čhv,  ukupno površine 370 čhv</w:t>
      </w:r>
    </w:p>
    <w:p w:rsidRDefault="00AE6EB4" w:rsidR="00DF2444">
      <w:pPr>
        <w:pStyle w:val="Odlomakpopisa1"/>
        <w:widowControl/>
        <w:numPr>
          <w:ilvl w:val="0"/>
          <w:numId w:val="8"/>
        </w:numPr>
        <w:suppressAutoHyphens w:val="false"/>
        <w:contextualSpacing/>
        <w:rPr>
          <w:rFonts w:hint="eastAsia"/>
        </w:rPr>
      </w:pPr>
      <w:r>
        <w:rPr>
          <w:rFonts w:cs="Times New Roman" w:hAnsi="Times New Roman" w:ascii="Times New Roman"/>
          <w:szCs w:val="24"/>
        </w:rPr>
        <w:t>z. k. ul. br. 622, k.o. Škarićevo, ½  suvlasničkog dijela k.č.br. 1463/4 šuma Planesnica u Vidovcu, površine 694 čhv, ½  suvlasničkog dijela k.č.br. 1479/4 šuma Koritnjak u Vidovcu površine 491 čhv, k.č.br. ½  suvlasničkog dijela 1481/2 livada u Vidovcu površine 483 čhv, ukupno površine 1668 čhv</w:t>
      </w:r>
    </w:p>
    <w:p w:rsidRDefault="00DF2444" w:rsidR="00DF2444">
      <w:pPr>
        <w:rPr>
          <w:rFonts w:cs="Times New Roman" w:hAnsi="Times New Roman" w:ascii="Times New Roman"/>
          <w:b/>
          <w:u w:val="single"/>
        </w:rPr>
      </w:pPr>
    </w:p>
    <w:p w:rsidRDefault="00AE6EB4" w:rsidR="00DF2444">
      <w:pPr>
        <w:rPr>
          <w:rFonts w:hint="eastAsia"/>
        </w:rPr>
      </w:pPr>
      <w:r>
        <w:rPr>
          <w:rFonts w:cs="Times New Roman" w:hAnsi="Times New Roman" w:ascii="Times New Roman"/>
          <w:b/>
          <w:u w:val="single"/>
        </w:rPr>
        <w:t>OPĆINSKI SUD U ZLATARU, Stalna služba u Zaboku, Zemljišnoknjižni odjel Zabok</w:t>
      </w:r>
    </w:p>
    <w:p w:rsidRDefault="00AE6EB4" w:rsidR="00DF2444">
      <w:pPr>
        <w:pStyle w:val="Odlomakpopisa1"/>
        <w:widowControl/>
        <w:numPr>
          <w:ilvl w:val="0"/>
          <w:numId w:val="11"/>
        </w:numPr>
        <w:suppressAutoHyphens w:val="false"/>
        <w:contextualSpacing/>
        <w:rPr>
          <w:rFonts w:hint="eastAsia"/>
        </w:rPr>
      </w:pPr>
      <w:r>
        <w:rPr>
          <w:rFonts w:cs="Times New Roman" w:hAnsi="Times New Roman" w:ascii="Times New Roman"/>
          <w:szCs w:val="24"/>
        </w:rPr>
        <w:t>z. k. ul. br. 3926, k.o. Bedekovčina, k.č.br. 309/4 kuća br. 91 i dvorište površine 142 čhv, 511 m2, ukupno površine 142 čhv, 511 m2</w:t>
      </w:r>
    </w:p>
    <w:p w:rsidRDefault="00AE6EB4" w:rsidR="00DF2444">
      <w:pPr>
        <w:pStyle w:val="Odlomakpopisa1"/>
        <w:widowControl/>
        <w:numPr>
          <w:ilvl w:val="0"/>
          <w:numId w:val="11"/>
        </w:numPr>
        <w:suppressAutoHyphens w:val="false"/>
        <w:contextualSpacing/>
        <w:rPr>
          <w:rFonts w:hint="eastAsia"/>
        </w:rPr>
      </w:pPr>
      <w:r>
        <w:rPr>
          <w:rFonts w:cs="Times New Roman" w:hAnsi="Times New Roman" w:ascii="Times New Roman"/>
          <w:szCs w:val="24"/>
        </w:rPr>
        <w:t>z. k. ul. br. 1424, k.o. Vrtnjakovec, k.č.br. 425/4 kuća i dvorište površine 206 čhv, 741 m2, ukupno površine 206 čhv, 741 m2</w:t>
      </w:r>
    </w:p>
    <w:p w:rsidRDefault="00DF2444" w:rsidR="00DF2444">
      <w:pPr>
        <w:rPr>
          <w:rFonts w:cs="Times New Roman" w:hAnsi="Times New Roman" w:ascii="Times New Roman"/>
        </w:rPr>
      </w:pPr>
    </w:p>
    <w:p w:rsidRDefault="00AE6EB4" w:rsidR="00DF2444">
      <w:pPr>
        <w:rPr>
          <w:rFonts w:hint="eastAsia"/>
        </w:rPr>
      </w:pPr>
      <w:r>
        <w:rPr>
          <w:rFonts w:cs="Times New Roman" w:hAnsi="Times New Roman" w:ascii="Times New Roman"/>
          <w:b/>
          <w:u w:val="single"/>
        </w:rPr>
        <w:t>OPĆINSKI SUD U KOPRIVNICI, Zemljišnoknjižni odjel Koprivnica</w:t>
      </w:r>
    </w:p>
    <w:p w:rsidRDefault="00AE6EB4" w:rsidR="00DF2444">
      <w:pPr>
        <w:pStyle w:val="Odlomakpopisa1"/>
        <w:widowControl/>
        <w:numPr>
          <w:ilvl w:val="0"/>
          <w:numId w:val="9"/>
        </w:numPr>
        <w:suppressAutoHyphens w:val="false"/>
        <w:contextualSpacing/>
        <w:rPr>
          <w:rFonts w:hint="eastAsia"/>
        </w:rPr>
      </w:pPr>
      <w:r>
        <w:rPr>
          <w:rFonts w:cs="Times New Roman" w:hAnsi="Times New Roman" w:ascii="Times New Roman"/>
          <w:szCs w:val="24"/>
        </w:rPr>
        <w:t>z. k. ul. br. 12262, k.o. Koprivnica, k.č.br. 7983/2 kuća, dvor površine 518 m2 (kuća u Širovicama površine 13 m2, dvor u Širovicama površine 505 m2), k.č. br. 7983/3 kuća, dvor površine 760 m2 (kuća u Ulici F. Rusana površine 95 m2, dvor u Ulici F. Rusana površine 665 m2), ukupno površine 1278 m2.</w:t>
      </w:r>
    </w:p>
    <w:p w:rsidRDefault="00DF2444" w:rsidR="00DF2444">
      <w:pPr>
        <w:rPr>
          <w:rFonts w:cs="Times New Roman" w:hAnsi="Times New Roman" w:ascii="Times New Roman"/>
        </w:rPr>
      </w:pPr>
    </w:p>
    <w:p w:rsidRDefault="00AE6EB4" w:rsidR="00DF2444">
      <w:pPr>
        <w:rPr>
          <w:rFonts w:hint="eastAsia"/>
        </w:rPr>
      </w:pPr>
      <w:r>
        <w:rPr>
          <w:rFonts w:cs="Times New Roman" w:hAnsi="Times New Roman" w:ascii="Times New Roman"/>
          <w:b/>
          <w:u w:val="single"/>
        </w:rPr>
        <w:t>OPĆINSKI GRAĐANSKI SUD U ZAGREBU, Zemljišnoknjižni odjel Zagreb</w:t>
      </w:r>
    </w:p>
    <w:p w:rsidRDefault="00AE6EB4" w:rsidR="00DF2444">
      <w:pPr>
        <w:pStyle w:val="Odlomakpopisa1"/>
        <w:widowControl/>
        <w:numPr>
          <w:ilvl w:val="0"/>
          <w:numId w:val="9"/>
        </w:numPr>
        <w:suppressAutoHyphens w:val="false"/>
        <w:contextualSpacing/>
        <w:rPr>
          <w:rFonts w:hint="eastAsia"/>
        </w:rPr>
      </w:pPr>
      <w:r>
        <w:rPr>
          <w:rFonts w:cs="Times New Roman" w:hAnsi="Times New Roman" w:ascii="Times New Roman"/>
          <w:szCs w:val="24"/>
        </w:rPr>
        <w:t>z. k. ul. br. 14197 (E-104) k.o. Grad Zagreb, koja se sastoji od 1103/10000 suvlasničkog dijela, k.č.br. 4557/1, stambeno-poslovna zgrada br. 3 i 5 i dvorište, Zagrebačka avenija, površine 1424 m2 ukupno površine 1424 m2, povezano s vlasništvom 1. trosobni stan 44, I kat, kućni broj 3, koji se sastoji od: ulaza, dnevnog boravka s blagovaonom, sobe 1, sobe 2, sobe 3, kuhinje, kupaone s WC-om, WC-a, smočnice 1 i smočnice 2, površine 73,20 čm, zajedno s balkonom 1 i balkonom 2 (u elaboratu označen tamno zelenom bojom)</w:t>
      </w:r>
    </w:p>
    <w:p w:rsidRDefault="00AE6EB4" w:rsidR="00DF2444">
      <w:pPr>
        <w:pStyle w:val="Odlomakpopisa1"/>
        <w:widowControl/>
        <w:numPr>
          <w:ilvl w:val="0"/>
          <w:numId w:val="9"/>
        </w:numPr>
        <w:suppressAutoHyphens w:val="false"/>
        <w:contextualSpacing/>
        <w:rPr>
          <w:rFonts w:hint="eastAsia"/>
        </w:rPr>
      </w:pPr>
      <w:r>
        <w:rPr>
          <w:rFonts w:cs="Times New Roman" w:hAnsi="Times New Roman" w:ascii="Times New Roman"/>
          <w:szCs w:val="24"/>
        </w:rPr>
        <w:t>z. k. ul. br. 7159 k.o. Grad Zagreb, ZK tijelo III obiteljska stambena zgrada na Srebrenjaku br. 22 sagrađena na 44/136,3 dijela k.č.br. 8118/2 2, 220/1000 suvlasničkog dijela</w:t>
      </w:r>
    </w:p>
    <w:p w:rsidRDefault="00AE6EB4" w:rsidR="00DF2444">
      <w:pPr>
        <w:pStyle w:val="Odlomakpopisa1"/>
        <w:widowControl/>
        <w:numPr>
          <w:ilvl w:val="0"/>
          <w:numId w:val="9"/>
        </w:numPr>
        <w:suppressAutoHyphens w:val="false"/>
        <w:contextualSpacing/>
        <w:rPr>
          <w:rFonts w:hint="eastAsia"/>
        </w:rPr>
      </w:pPr>
      <w:r>
        <w:rPr>
          <w:rFonts w:cs="Times New Roman" w:hAnsi="Times New Roman" w:ascii="Times New Roman"/>
          <w:szCs w:val="24"/>
        </w:rPr>
        <w:t xml:space="preserve">z. k. ul. br. 16319 (E-9) k.o. Grad Zagreb, koja se sastoji od suvlasničkog dijela s neodređenim omjerom k. č. br. 2329/14, stambena zgrada br. 18 i dvorište, kneza Borne, površine 452 m 2 (dvorište površine 82 m 2, stambena zgrada kneza Borne br. 18 površine 370 m 2), ukupno površine 452 m 2 , povezano s vlasništvom stana u podrumu, koji se sastoji </w:t>
      </w:r>
      <w:r>
        <w:rPr>
          <w:rFonts w:cs="Times New Roman" w:hAnsi="Times New Roman" w:ascii="Times New Roman"/>
          <w:szCs w:val="24"/>
        </w:rPr>
        <w:lastRenderedPageBreak/>
        <w:t>od jedne sobe i ostalih prostorija površine 52.38 m 2, neodvojivo povezan sa suvlasničkim dijelom cijele nekretnine koji je jednako velik kao i ostali suvlasnički dijelovi;</w:t>
      </w:r>
    </w:p>
    <w:p w:rsidRDefault="00AE6EB4" w:rsidR="00DF2444">
      <w:pPr>
        <w:pStyle w:val="Odlomakpopisa1"/>
        <w:widowControl/>
        <w:numPr>
          <w:ilvl w:val="0"/>
          <w:numId w:val="9"/>
        </w:numPr>
        <w:suppressAutoHyphens w:val="false"/>
        <w:contextualSpacing/>
        <w:rPr>
          <w:rFonts w:hint="eastAsia"/>
        </w:rPr>
      </w:pPr>
      <w:r>
        <w:rPr>
          <w:rFonts w:cs="Times New Roman" w:hAnsi="Times New Roman" w:ascii="Times New Roman"/>
          <w:szCs w:val="24"/>
        </w:rPr>
        <w:t>poduložak br. 37183/ zk. ul. br. 12676, knjiga PU: Grad Zagreb,  stambena zgrada Davor 3, Zagreb sagrađena na čest. br. 1085/8, po novoj izmjeri čest. br. 4452 k.o. Šestine povezano s vlasništvom posebnog dijela: stan u suterenu desno koji se sastoji od dvije sobe i ostalih prostorija u površini od 32,70 čm</w:t>
      </w:r>
    </w:p>
    <w:p w:rsidRDefault="00AE6EB4" w:rsidR="00DF2444">
      <w:pPr>
        <w:pStyle w:val="Odlomakpopisa1"/>
        <w:widowControl/>
        <w:numPr>
          <w:ilvl w:val="0"/>
          <w:numId w:val="9"/>
        </w:numPr>
        <w:suppressAutoHyphens w:val="false"/>
        <w:contextualSpacing/>
        <w:rPr>
          <w:rFonts w:hint="eastAsia"/>
        </w:rPr>
      </w:pPr>
      <w:r>
        <w:rPr>
          <w:rFonts w:cs="Times New Roman" w:hAnsi="Times New Roman" w:ascii="Times New Roman"/>
          <w:szCs w:val="24"/>
        </w:rPr>
        <w:t>poduložak br 6753, knjiga PU: Vrapče Staro, stambena zgrada Bernarda Vukasa 39, Zagreb sagrađena na čest. br. 1843/7 po novoj izmjeri čest. br. 5668/9 k.o. Rudeš, povezano s vlasništvom posebnog dijela: stan br. 170 na IV (četvrtom) katu koji se sastoji od četiri sobe, kuhinje, blagovaonice, izbe, kupaonice, hodnika, degažmana i balkona u površini od 84,33 čm, udio ½</w:t>
      </w:r>
    </w:p>
    <w:p w:rsidRDefault="00AE6EB4" w:rsidR="00DF2444">
      <w:pPr>
        <w:pStyle w:val="Odlomakpopisa1"/>
        <w:widowControl/>
        <w:numPr>
          <w:ilvl w:val="0"/>
          <w:numId w:val="9"/>
        </w:numPr>
        <w:suppressAutoHyphens w:val="false"/>
        <w:contextualSpacing/>
        <w:rPr>
          <w:rFonts w:hint="eastAsia"/>
        </w:rPr>
      </w:pPr>
      <w:r>
        <w:rPr>
          <w:rFonts w:cs="Times New Roman" w:hAnsi="Times New Roman" w:ascii="Times New Roman"/>
          <w:szCs w:val="24"/>
        </w:rPr>
        <w:t>poduložak br. 8401/zk. ul. br. 2500, knjiga PU: Vrapče Novo, stambena zgrada Siječanjska 1, Zagreb sagrađena na čest. br. 5849, povezano s vlasništvom posebnog dijela: stan br. 6 na I. (prvom) katu, ulaz 3, koji se sastoji od jedne sobe, kuhinje, izbe, kupaonice s wc-om i hodnika u površini od 37,06</w:t>
      </w:r>
    </w:p>
    <w:p w:rsidRDefault="00AE6EB4" w:rsidR="00DF2444">
      <w:pPr>
        <w:pStyle w:val="Odlomakpopisa1"/>
        <w:widowControl/>
        <w:numPr>
          <w:ilvl w:val="0"/>
          <w:numId w:val="9"/>
        </w:numPr>
        <w:suppressAutoHyphens w:val="false"/>
        <w:contextualSpacing/>
        <w:rPr>
          <w:rFonts w:hint="eastAsia"/>
        </w:rPr>
      </w:pPr>
      <w:r>
        <w:rPr>
          <w:rFonts w:cs="Times New Roman" w:hAnsi="Times New Roman" w:ascii="Times New Roman"/>
          <w:szCs w:val="24"/>
        </w:rPr>
        <w:t xml:space="preserve">z. k. ul. br. 223603 (E-10) k.o. Grad Zagreb, koja se sastoji od suvlasničkog dijela s neodređenim omjerom k. č. br. 5276/24, Ilica, dvorište, stambena zgrada br. 175, 175A I 175 B, ukupne površine 712 m2 , povezano s vlasništvom stana u podrumu, koji se sastoji od jedne sobe, izbe, kupaonice, wc-a i predsoblja u ukupnoj površini od 24,09 m2, na adresi Ilica 175, koji je neodvojivo povezan sa odgovarajućim suvlasničkim dijelom cijele nekretnine koji je jednako velik kao i ostali dijelovi </w:t>
      </w:r>
    </w:p>
    <w:p w:rsidRDefault="00AE6EB4" w:rsidR="00DF2444">
      <w:pPr>
        <w:pStyle w:val="Odlomakpopisa1"/>
        <w:widowControl/>
        <w:numPr>
          <w:ilvl w:val="0"/>
          <w:numId w:val="9"/>
        </w:numPr>
        <w:suppressAutoHyphens w:val="false"/>
        <w:contextualSpacing/>
        <w:rPr>
          <w:rFonts w:hint="eastAsia"/>
        </w:rPr>
      </w:pPr>
      <w:r>
        <w:rPr>
          <w:rFonts w:cs="Times New Roman" w:hAnsi="Times New Roman" w:ascii="Times New Roman"/>
          <w:szCs w:val="24"/>
        </w:rPr>
        <w:t xml:space="preserve">poduložak br.10147/zk. ul. br. 23, knjiga PU: Grad Zagreb, stambena zgrada Stambena zgrada Širolina 9, Zagreb sagrađena na čest. br. d.2273/1, po novoj izmjeri čest. br. 6907 k.o. CENTAR, povezano s vlasništvom posebnog dijela: stan broj 10 na V (petom) katu koji se sastoji od tri sobe, kuhinje, izbe, kupaonice, wc-a, hodnika i lođe u površini od 59.14 čm </w:t>
      </w:r>
    </w:p>
    <w:p w:rsidRDefault="00AE6EB4" w:rsidR="00DF2444">
      <w:pPr>
        <w:pStyle w:val="Odlomakpopisa1"/>
        <w:widowControl/>
        <w:numPr>
          <w:ilvl w:val="0"/>
          <w:numId w:val="9"/>
        </w:numPr>
        <w:suppressAutoHyphens w:val="false"/>
        <w:contextualSpacing/>
        <w:rPr>
          <w:rFonts w:hint="eastAsia"/>
        </w:rPr>
      </w:pPr>
      <w:r>
        <w:rPr>
          <w:rFonts w:cs="Times New Roman" w:hAnsi="Times New Roman" w:ascii="Times New Roman"/>
          <w:szCs w:val="24"/>
        </w:rPr>
        <w:t xml:space="preserve">poduložak br.14495 knjiga PU: Vrapče Novo, stambena zgrada Stambena zgrada Širolina 9, Zagreb sagrađena na čest. br. d.2273/1, po novoj izmjeri čest. br. 6907 k.o. CENTAR, povezano s vlasništvom posebnog dijela: stan broj 10 na V (petom) katu koji se sastoji od tri sobe, kuhinje, izbe, kupaonice, wc-a, hodnika i lođe u površini od 59.14 čm </w:t>
      </w:r>
    </w:p>
    <w:p w:rsidRDefault="00DF2444" w:rsidR="00DF2444">
      <w:pPr>
        <w:rPr>
          <w:rFonts w:cs="Times New Roman" w:hAnsi="Times New Roman" w:ascii="Times New Roman"/>
        </w:rPr>
      </w:pPr>
    </w:p>
    <w:p w:rsidRDefault="00AE6EB4" w:rsidR="00DF2444">
      <w:pPr>
        <w:rPr>
          <w:rFonts w:hint="eastAsia"/>
        </w:rPr>
      </w:pPr>
      <w:r>
        <w:rPr>
          <w:rFonts w:cs="Times New Roman" w:hAnsi="Times New Roman" w:ascii="Times New Roman"/>
          <w:b/>
          <w:u w:val="single"/>
        </w:rPr>
        <w:t>OPĆINSKI SUD U VIROVITICI, Stalna služba u Slatini, Zemljišnoknjižni odjel Slatina</w:t>
      </w:r>
    </w:p>
    <w:p w:rsidRDefault="00AE6EB4" w:rsidR="00DF2444">
      <w:pPr>
        <w:pStyle w:val="Odlomakpopisa1"/>
        <w:widowControl/>
        <w:numPr>
          <w:ilvl w:val="0"/>
          <w:numId w:val="15"/>
        </w:numPr>
        <w:suppressAutoHyphens w:val="false"/>
        <w:contextualSpacing/>
        <w:rPr>
          <w:rFonts w:hint="eastAsia"/>
        </w:rPr>
      </w:pPr>
      <w:r>
        <w:rPr>
          <w:rFonts w:cs="Times New Roman" w:hAnsi="Times New Roman" w:ascii="Times New Roman"/>
          <w:szCs w:val="24"/>
        </w:rPr>
        <w:t>z. k. ul. br. 6012 k.o. Podravska Slatina, k.č.br. 2899/2, kuća i zgrada, dvor S. M. Križevčanina, površine 310 m2, ukupno površine 310 m2</w:t>
      </w:r>
    </w:p>
    <w:p w:rsidRDefault="00AE6EB4" w:rsidR="00DF2444">
      <w:pPr>
        <w:pStyle w:val="Odlomakpopisa1"/>
        <w:widowControl/>
        <w:numPr>
          <w:ilvl w:val="0"/>
          <w:numId w:val="15"/>
        </w:numPr>
        <w:suppressAutoHyphens w:val="false"/>
        <w:contextualSpacing/>
        <w:rPr>
          <w:rFonts w:hint="eastAsia"/>
        </w:rPr>
      </w:pPr>
      <w:r>
        <w:rPr>
          <w:rFonts w:cs="Times New Roman" w:hAnsi="Times New Roman" w:ascii="Times New Roman"/>
          <w:szCs w:val="24"/>
        </w:rPr>
        <w:t>z. k. ul. br. 392 k.o. Lukavac, k.č.br. 526/2, voćnjak, površine 1 jutro, 319 čhv, ukupno površine 1 jutro, 319 čhv</w:t>
      </w:r>
    </w:p>
    <w:p w:rsidRDefault="00AE6EB4" w:rsidR="00DF2444">
      <w:pPr>
        <w:pStyle w:val="Odlomakpopisa1"/>
        <w:widowControl/>
        <w:numPr>
          <w:ilvl w:val="0"/>
          <w:numId w:val="15"/>
        </w:numPr>
        <w:suppressAutoHyphens w:val="false"/>
        <w:contextualSpacing/>
        <w:rPr>
          <w:rFonts w:hint="eastAsia"/>
        </w:rPr>
      </w:pPr>
      <w:r>
        <w:rPr>
          <w:rFonts w:cs="Times New Roman" w:hAnsi="Times New Roman" w:ascii="Times New Roman"/>
          <w:szCs w:val="24"/>
        </w:rPr>
        <w:t>z. k. ul. br. 284 k.o. Lukavac, k.č.br. 531, voćnjak Donji Lukavac, površine 1 jutro, 223 čhv, ukupno površine 1 jutro, 223 čhv</w:t>
      </w:r>
    </w:p>
    <w:p w:rsidRDefault="00DF2444" w:rsidR="00DF2444">
      <w:pPr>
        <w:rPr>
          <w:rFonts w:cs="Times New Roman" w:hAnsi="Times New Roman" w:ascii="Times New Roman"/>
        </w:rPr>
      </w:pPr>
    </w:p>
    <w:p w:rsidRDefault="00AE6EB4" w:rsidR="00DF2444">
      <w:pPr>
        <w:rPr>
          <w:rFonts w:hint="eastAsia"/>
        </w:rPr>
      </w:pPr>
      <w:r>
        <w:rPr>
          <w:rFonts w:cs="Times New Roman" w:hAnsi="Times New Roman" w:ascii="Times New Roman"/>
          <w:b/>
          <w:u w:val="single"/>
        </w:rPr>
        <w:t>OPĆINSKI SUD U NOVOM ZAGREBU, Stalna služba Zaprešić, Zemljišnoknjižni odjel Zaprešić</w:t>
      </w:r>
    </w:p>
    <w:p w:rsidRDefault="00AE6EB4" w:rsidR="00DF2444">
      <w:pPr>
        <w:pStyle w:val="Odlomakpopisa1"/>
        <w:widowControl/>
        <w:numPr>
          <w:ilvl w:val="0"/>
          <w:numId w:val="7"/>
        </w:numPr>
        <w:suppressAutoHyphens w:val="false"/>
        <w:contextualSpacing/>
        <w:rPr>
          <w:rFonts w:hint="eastAsia"/>
        </w:rPr>
      </w:pPr>
      <w:r>
        <w:rPr>
          <w:rFonts w:cs="Times New Roman" w:hAnsi="Times New Roman" w:ascii="Times New Roman"/>
          <w:szCs w:val="24"/>
        </w:rPr>
        <w:t>z. k. ul. br. 5274 k.o. Pušća, 1/2 suvlasničkog dijela k.č.br. 3161/11, oranica 48 čhv, 173 m2, ukupno površine 48 čhv, 173 m2</w:t>
      </w:r>
    </w:p>
    <w:p w:rsidRDefault="00AE6EB4" w:rsidR="00DF2444">
      <w:pPr>
        <w:pStyle w:val="Odlomakpopisa1"/>
        <w:widowControl/>
        <w:numPr>
          <w:ilvl w:val="0"/>
          <w:numId w:val="7"/>
        </w:numPr>
        <w:suppressAutoHyphens w:val="false"/>
        <w:contextualSpacing/>
        <w:rPr>
          <w:rFonts w:hint="eastAsia"/>
        </w:rPr>
      </w:pPr>
      <w:r>
        <w:rPr>
          <w:rFonts w:cs="Times New Roman" w:hAnsi="Times New Roman" w:ascii="Times New Roman"/>
          <w:szCs w:val="24"/>
        </w:rPr>
        <w:t>z. k. ul. br. 4650 k.o. Pušća, 1/2 suvlasničkog dijela k.č.br. 3163/7, oranica 291 čhv,  1048 m2, ukupno površine 291 čhv, 1048 m2</w:t>
      </w:r>
    </w:p>
    <w:p w:rsidRDefault="00AE6EB4" w:rsidR="00DF2444">
      <w:pPr>
        <w:pStyle w:val="Odlomakpopisa1"/>
        <w:widowControl/>
        <w:numPr>
          <w:ilvl w:val="0"/>
          <w:numId w:val="7"/>
        </w:numPr>
        <w:suppressAutoHyphens w:val="false"/>
        <w:contextualSpacing/>
        <w:rPr>
          <w:rFonts w:hint="eastAsia"/>
        </w:rPr>
      </w:pPr>
      <w:r>
        <w:rPr>
          <w:rFonts w:cs="Times New Roman" w:hAnsi="Times New Roman" w:ascii="Times New Roman"/>
          <w:szCs w:val="24"/>
        </w:rPr>
        <w:lastRenderedPageBreak/>
        <w:t>z. k. ul. br. 2979 k.o. Pušća, 1/2 suvlasničkog dijela k.č.br. 3161/3, voćnjak 158 čhv, 567 m2, 1/2 suvlasničkog dijela k.č.br. 3161/10, voćnjak 12 čhv, 43 m2, ukupno površine 170 čhv, 610 m2</w:t>
      </w:r>
    </w:p>
    <w:p w:rsidRDefault="00DF2444" w:rsidR="00DF2444">
      <w:pPr>
        <w:rPr>
          <w:rFonts w:cs="Times New Roman" w:hAnsi="Times New Roman" w:ascii="Times New Roman"/>
        </w:rPr>
      </w:pPr>
    </w:p>
    <w:p w:rsidRDefault="00AE6EB4" w:rsidR="00DF2444">
      <w:pPr>
        <w:rPr>
          <w:rFonts w:hint="eastAsia"/>
        </w:rPr>
      </w:pPr>
      <w:r>
        <w:rPr>
          <w:rFonts w:cs="Times New Roman" w:hAnsi="Times New Roman" w:ascii="Times New Roman"/>
          <w:b/>
          <w:u w:val="single"/>
        </w:rPr>
        <w:t>OPĆINSKI SUD U NOVOM ZAGREBU, Stalna služba Jastrebarsko, Zemljišnoknjižni odjel Jastrebarsko</w:t>
      </w:r>
    </w:p>
    <w:p w:rsidRDefault="00AE6EB4" w:rsidR="00DF2444">
      <w:pPr>
        <w:pStyle w:val="Odlomakpopisa1"/>
        <w:widowControl/>
        <w:numPr>
          <w:ilvl w:val="0"/>
          <w:numId w:val="3"/>
        </w:numPr>
        <w:suppressAutoHyphens w:val="false"/>
        <w:contextualSpacing/>
        <w:rPr>
          <w:rFonts w:hint="eastAsia"/>
        </w:rPr>
      </w:pPr>
      <w:r>
        <w:rPr>
          <w:rFonts w:cs="Times New Roman" w:hAnsi="Times New Roman" w:ascii="Times New Roman"/>
          <w:szCs w:val="24"/>
        </w:rPr>
        <w:t>z. k. ul. br. 48 k.o. Pribić, k.č.br. 594, oranica Prašnica površine 91 čhv, k.č.br. 763, oranica Grede površine 84 čhv, k.č.br. 841/4, vinograd Bukovje površine 512 čhv, k.č.br. 866, kuća br. 68 i dvorište u Pribiću površine 524 čhv, k.č.br. 869/2, voćnjak pod kućom u Pribiću, površine 325 čhv, k.č.br. 1237/1, šuma Prčevac površine 372 čhv, ukupno površine 1908 čhv;</w:t>
      </w:r>
    </w:p>
    <w:p w:rsidRDefault="00DF2444" w:rsidR="00DF2444">
      <w:pPr>
        <w:rPr>
          <w:rFonts w:cs="Times New Roman" w:hAnsi="Times New Roman" w:ascii="Times New Roman"/>
        </w:rPr>
      </w:pPr>
    </w:p>
    <w:p w:rsidRDefault="00AE6EB4" w:rsidR="00DF2444">
      <w:pPr>
        <w:rPr>
          <w:rFonts w:hint="eastAsia"/>
        </w:rPr>
      </w:pPr>
      <w:r>
        <w:rPr>
          <w:rFonts w:cs="Times New Roman" w:hAnsi="Times New Roman" w:ascii="Times New Roman"/>
          <w:b/>
          <w:u w:val="single"/>
        </w:rPr>
        <w:t>OPĆINSKI SUD U NOVOM ZAGREBU, Stalna služba Samobor, Zemljišnoknjižni odjel Samobor</w:t>
      </w:r>
    </w:p>
    <w:p w:rsidRDefault="00AE6EB4" w:rsidR="00DF2444">
      <w:pPr>
        <w:pStyle w:val="Odlomakpopisa1"/>
        <w:widowControl/>
        <w:numPr>
          <w:ilvl w:val="0"/>
          <w:numId w:val="3"/>
        </w:numPr>
        <w:suppressAutoHyphens w:val="false"/>
        <w:contextualSpacing/>
        <w:rPr>
          <w:rFonts w:hint="eastAsia"/>
        </w:rPr>
      </w:pPr>
      <w:r>
        <w:rPr>
          <w:rFonts w:cs="Times New Roman" w:hAnsi="Times New Roman" w:ascii="Times New Roman"/>
          <w:szCs w:val="24"/>
        </w:rPr>
        <w:t>z. k. ul. br. 1111 k.o. Samobor, k.č.br. 1386, voćnjak kod kuće, površine 188 m2, k.č.br. 1387, kuća i dvorište u Samoboru, Ul. Gračec, površine 704 m2, ukupno površine 892 m2</w:t>
      </w:r>
    </w:p>
    <w:p w:rsidRDefault="00DF2444" w:rsidR="00DF2444">
      <w:pPr>
        <w:rPr>
          <w:rFonts w:cs="Times New Roman" w:hAnsi="Times New Roman" w:ascii="Times New Roman"/>
          <w:b/>
          <w:u w:val="single"/>
        </w:rPr>
      </w:pPr>
    </w:p>
    <w:p w:rsidRDefault="00AE6EB4" w:rsidR="00DF2444">
      <w:pPr>
        <w:rPr>
          <w:rFonts w:hint="eastAsia"/>
        </w:rPr>
      </w:pPr>
      <w:r>
        <w:rPr>
          <w:rFonts w:cs="Times New Roman" w:hAnsi="Times New Roman" w:ascii="Times New Roman"/>
          <w:b/>
          <w:u w:val="single"/>
        </w:rPr>
        <w:t>OPĆINSKI SUD U VELIKOJ GORICI, Zemljišnoknjižni odjel Velika Gorica</w:t>
      </w:r>
    </w:p>
    <w:p w:rsidRDefault="00AE6EB4" w:rsidR="00DF2444">
      <w:pPr>
        <w:pStyle w:val="Odlomakpopisa1"/>
        <w:widowControl/>
        <w:numPr>
          <w:ilvl w:val="0"/>
          <w:numId w:val="3"/>
        </w:numPr>
        <w:suppressAutoHyphens w:val="false"/>
        <w:contextualSpacing/>
        <w:rPr>
          <w:rFonts w:hint="eastAsia"/>
        </w:rPr>
      </w:pPr>
      <w:r>
        <w:rPr>
          <w:rFonts w:cs="Times New Roman" w:hAnsi="Times New Roman" w:ascii="Times New Roman"/>
          <w:szCs w:val="24"/>
        </w:rPr>
        <w:t>z. k. ul. br. 690 k.o. Črnkovec, k.č.br. 176/9, oranica u Paviševu površine 1475 čhv, ukupno površine 1475 čhv</w:t>
      </w:r>
    </w:p>
    <w:p w:rsidRDefault="00AE6EB4" w:rsidR="00DF2444">
      <w:pPr>
        <w:pStyle w:val="Odlomakpopisa1"/>
        <w:widowControl/>
        <w:numPr>
          <w:ilvl w:val="0"/>
          <w:numId w:val="3"/>
        </w:numPr>
        <w:suppressAutoHyphens w:val="false"/>
        <w:contextualSpacing/>
        <w:rPr>
          <w:rFonts w:hint="eastAsia"/>
        </w:rPr>
      </w:pPr>
      <w:r>
        <w:rPr>
          <w:rFonts w:cs="Times New Roman" w:hAnsi="Times New Roman" w:ascii="Times New Roman"/>
          <w:szCs w:val="24"/>
        </w:rPr>
        <w:t>z. k. ul. br. 752 k.o. Črnkovec, k.č.br. 178/4, u Paviševu površine 412 čhv (livada u Paviševu površine 412 čhv), ukupno površine 412 čhv</w:t>
      </w:r>
    </w:p>
    <w:p w:rsidRDefault="00AE6EB4" w:rsidR="00DF2444">
      <w:pPr>
        <w:pStyle w:val="Odlomakpopisa1"/>
        <w:widowControl/>
        <w:numPr>
          <w:ilvl w:val="0"/>
          <w:numId w:val="3"/>
        </w:numPr>
        <w:suppressAutoHyphens w:val="false"/>
        <w:contextualSpacing/>
        <w:rPr>
          <w:rFonts w:hint="eastAsia"/>
        </w:rPr>
      </w:pPr>
      <w:r>
        <w:rPr>
          <w:rFonts w:cs="Times New Roman" w:hAnsi="Times New Roman" w:ascii="Times New Roman"/>
          <w:szCs w:val="24"/>
        </w:rPr>
        <w:t>z. k. ul. br. 157 k.o. Kosnica, k.č.br. 103/1, kuća i dvorište u selu površine 217 čhv, ukupno površine 217 čhv</w:t>
      </w:r>
    </w:p>
    <w:p w:rsidRDefault="00DF2444" w:rsidR="00DF2444">
      <w:pPr>
        <w:rPr>
          <w:rFonts w:cs="Times New Roman" w:hAnsi="Times New Roman" w:ascii="Times New Roman"/>
        </w:rPr>
      </w:pPr>
    </w:p>
    <w:p w:rsidRDefault="00AE6EB4" w:rsidR="00DF2444">
      <w:pPr>
        <w:rPr>
          <w:rFonts w:hint="eastAsia"/>
        </w:rPr>
      </w:pPr>
      <w:r>
        <w:rPr>
          <w:rFonts w:cs="Times New Roman" w:hAnsi="Times New Roman" w:ascii="Times New Roman"/>
          <w:b/>
          <w:u w:val="single"/>
        </w:rPr>
        <w:t>OPĆINSKI SUD U OSIJEKU, Stalna služba Beli Manastir, Zemljišnoknjižni odjel Beli Manastir</w:t>
      </w:r>
    </w:p>
    <w:p w:rsidRDefault="00AE6EB4" w:rsidR="00DF2444">
      <w:pPr>
        <w:pStyle w:val="Odlomakpopisa1"/>
        <w:widowControl/>
        <w:numPr>
          <w:ilvl w:val="0"/>
          <w:numId w:val="5"/>
        </w:numPr>
        <w:suppressAutoHyphens w:val="false"/>
        <w:contextualSpacing/>
        <w:rPr>
          <w:rFonts w:hint="eastAsia"/>
        </w:rPr>
      </w:pPr>
      <w:r>
        <w:rPr>
          <w:rFonts w:cs="Times New Roman" w:hAnsi="Times New Roman" w:ascii="Times New Roman"/>
          <w:szCs w:val="24"/>
        </w:rPr>
        <w:t>z. k. ul. br. 266 k.o. Karanac, k.č.br. 1153/1, oranica Čer površine 4761 m2, k.č.br. 1159, kuća br. 3, gosp. zgrada, dvor i oranica Ciglana površine 1377 m2, ukupno površine 6138 m2</w:t>
      </w:r>
    </w:p>
    <w:p w:rsidRDefault="00DF2444" w:rsidR="00DF2444">
      <w:pPr>
        <w:rPr>
          <w:rFonts w:cs="Times New Roman" w:hAnsi="Times New Roman" w:ascii="Times New Roman"/>
        </w:rPr>
      </w:pPr>
    </w:p>
    <w:p w:rsidRDefault="00AE6EB4" w:rsidR="00DF2444">
      <w:pPr>
        <w:rPr>
          <w:rFonts w:hint="eastAsia"/>
        </w:rPr>
      </w:pPr>
      <w:r>
        <w:rPr>
          <w:rFonts w:cs="Times New Roman" w:hAnsi="Times New Roman" w:ascii="Times New Roman"/>
          <w:b/>
          <w:u w:val="single"/>
        </w:rPr>
        <w:t>OPĆINSKI SUD U VINKOVCIMA, Zemljišnoknjižni odjel Vinkovci</w:t>
      </w:r>
    </w:p>
    <w:p w:rsidRDefault="00AE6EB4" w:rsidR="00DF2444">
      <w:pPr>
        <w:pStyle w:val="Odlomakpopisa1"/>
        <w:widowControl/>
        <w:numPr>
          <w:ilvl w:val="0"/>
          <w:numId w:val="5"/>
        </w:numPr>
        <w:suppressAutoHyphens w:val="false"/>
        <w:contextualSpacing/>
        <w:rPr>
          <w:rFonts w:hint="eastAsia"/>
        </w:rPr>
      </w:pPr>
      <w:r>
        <w:rPr>
          <w:rFonts w:cs="Times New Roman" w:hAnsi="Times New Roman" w:ascii="Times New Roman"/>
          <w:szCs w:val="24"/>
        </w:rPr>
        <w:t>z. k. ul. br. 565 k.o. Markušica, k.č.br. 59, kuća, dvorište i oranica površine 3805 m2, k.č.br. 60, kuća, dvorište i oranica površine 4703 m2, ukupno površine 8508 m2</w:t>
      </w:r>
    </w:p>
    <w:p w:rsidRDefault="00DF2444" w:rsidR="00DF2444">
      <w:pPr>
        <w:rPr>
          <w:rFonts w:cs="Times New Roman" w:hAnsi="Times New Roman" w:ascii="Times New Roman"/>
        </w:rPr>
      </w:pPr>
    </w:p>
    <w:p w:rsidRDefault="00AE6EB4" w:rsidR="00DF2444">
      <w:pPr>
        <w:rPr>
          <w:rFonts w:hint="eastAsia"/>
        </w:rPr>
      </w:pPr>
      <w:r>
        <w:rPr>
          <w:rFonts w:cs="Times New Roman" w:hAnsi="Times New Roman" w:ascii="Times New Roman"/>
          <w:b/>
        </w:rPr>
        <w:t>OPĆINSKI SUD U SLAVONSKOM BRODU, Stalna služba Nova Gradiška, Zemljišnoknjižni odjel Nova Gradiška</w:t>
      </w:r>
    </w:p>
    <w:p w:rsidRDefault="00AE6EB4" w:rsidR="00DF2444">
      <w:pPr>
        <w:pStyle w:val="Odlomakpopisa1"/>
        <w:widowControl/>
        <w:numPr>
          <w:ilvl w:val="0"/>
          <w:numId w:val="5"/>
        </w:numPr>
        <w:suppressAutoHyphens w:val="false"/>
        <w:contextualSpacing/>
        <w:rPr>
          <w:rFonts w:hint="eastAsia"/>
        </w:rPr>
      </w:pPr>
      <w:r>
        <w:rPr>
          <w:rFonts w:cs="Times New Roman" w:hAnsi="Times New Roman" w:ascii="Times New Roman"/>
          <w:szCs w:val="24"/>
        </w:rPr>
        <w:t>z. k. ul. br. 807 k.o. Davor, k.č.br. 771, oranica Voćkovice površine 6079 m2, k.č.br. 958, oranica Topolik površine 678 m2, k.č.br. 3303, kuća i dvorište u selu površine 437 m2, ukupno površine 7194 m2</w:t>
      </w:r>
    </w:p>
    <w:p w:rsidRDefault="00DF2444" w:rsidR="00DF2444">
      <w:pPr>
        <w:rPr>
          <w:rFonts w:cs="Times New Roman" w:hAnsi="Times New Roman" w:ascii="Times New Roman"/>
        </w:rPr>
      </w:pPr>
    </w:p>
    <w:p w:rsidRDefault="00AE6EB4" w:rsidR="00DF2444">
      <w:pPr>
        <w:rPr>
          <w:rFonts w:hint="eastAsia"/>
        </w:rPr>
      </w:pPr>
      <w:r>
        <w:rPr>
          <w:rFonts w:cs="Times New Roman" w:hAnsi="Times New Roman" w:ascii="Times New Roman"/>
          <w:b/>
          <w:u w:val="single"/>
        </w:rPr>
        <w:t>OPĆINSKI SUD U GOSPIĆU, Zemljišnoknjižni odjel Gospić</w:t>
      </w:r>
    </w:p>
    <w:p w:rsidRDefault="00AE6EB4" w:rsidR="00DF2444">
      <w:pPr>
        <w:pStyle w:val="Odlomakpopisa1"/>
        <w:widowControl/>
        <w:numPr>
          <w:ilvl w:val="0"/>
          <w:numId w:val="5"/>
        </w:numPr>
        <w:suppressAutoHyphens w:val="false"/>
        <w:contextualSpacing/>
        <w:rPr>
          <w:rFonts w:hint="eastAsia"/>
        </w:rPr>
      </w:pPr>
      <w:r>
        <w:rPr>
          <w:rFonts w:cs="Times New Roman" w:hAnsi="Times New Roman" w:ascii="Times New Roman"/>
          <w:szCs w:val="24"/>
        </w:rPr>
        <w:t xml:space="preserve">poduložak br. 27/ zk. ul. br. 2309, knjiga PU: Gospić zgrada u Gospiću, Lipovska ul.br.29, sagrađena na k.č. 3000, povezano s vlasništvom posebnog dijela: dvosobni stan u prizemlju koji se sastoji od dvije sobe, blagovaonice sa kuhinjom, kupaonice sa wc-om, hodnika, </w:t>
      </w:r>
      <w:r>
        <w:rPr>
          <w:rFonts w:cs="Times New Roman" w:hAnsi="Times New Roman" w:ascii="Times New Roman"/>
          <w:szCs w:val="24"/>
        </w:rPr>
        <w:lastRenderedPageBreak/>
        <w:t>lođom, izbom u ukupnoj površini od 53,38 m2, udio: 1/1, upisano u poduložak broj 27/zk.ul. 2309 k.o. Gospić</w:t>
      </w:r>
    </w:p>
    <w:p w:rsidRDefault="00DF2444" w:rsidR="00DF2444">
      <w:pPr>
        <w:shd w:fill="FFFFFF" w:color="auto" w:val="clear"/>
        <w:autoSpaceDE w:val="false"/>
        <w:spacing w:lineRule="exact" w:line="295"/>
        <w:ind w:left="360"/>
        <w:jc w:val="both"/>
        <w:rPr>
          <w:rFonts w:cs="Times New Roman" w:hAnsi="Times New Roman" w:ascii="Times New Roman"/>
          <w:color w:val="000000"/>
          <w:spacing w:val="6"/>
          <w:lang w:val="hr-HR"/>
        </w:rPr>
      </w:pPr>
    </w:p>
    <w:bookmarkEnd w:id="2"/>
    <w:p w:rsidRDefault="00AE6EB4" w:rsidR="00DF2444">
      <w:pPr>
        <w:shd w:fill="FFFFFF" w:color="auto" w:val="clear"/>
        <w:autoSpaceDE w:val="false"/>
        <w:spacing w:lineRule="exact" w:line="295"/>
        <w:jc w:val="both"/>
        <w:rPr>
          <w:rFonts w:hint="eastAsia"/>
        </w:rPr>
      </w:pPr>
      <w:r>
        <w:rPr>
          <w:rFonts w:cs="Times New Roman" w:hAnsi="Times New Roman" w:ascii="Times New Roman"/>
          <w:color w:val="000000"/>
          <w:spacing w:val="6"/>
          <w:lang w:val="hr-HR"/>
        </w:rPr>
        <w:t>Predmetne nekretnine nisu u posjedu stečajnog dužnika već iste koriste treće osobe, a pretpostavljam da su u većini slučajeva u pitanju prijašnji vlasnici.</w:t>
      </w:r>
    </w:p>
    <w:p w:rsidRDefault="00DF2444" w:rsidR="00DF2444">
      <w:pPr>
        <w:shd w:fill="FFFFFF" w:color="auto" w:val="clear"/>
        <w:autoSpaceDE w:val="false"/>
        <w:spacing w:lineRule="exact" w:line="295"/>
        <w:jc w:val="both"/>
        <w:rPr>
          <w:rFonts w:cs="Times New Roman" w:hAnsi="Times New Roman" w:ascii="Times New Roman"/>
          <w:color w:val="000000"/>
          <w:spacing w:val="6"/>
          <w:lang w:val="hr-HR"/>
        </w:rPr>
      </w:pPr>
    </w:p>
    <w:p w:rsidRDefault="00AE6EB4" w:rsidR="00DF2444">
      <w:pPr>
        <w:shd w:fill="FFFFFF" w:color="auto" w:val="clear"/>
        <w:autoSpaceDE w:val="false"/>
        <w:spacing w:lineRule="exact" w:line="295"/>
        <w:jc w:val="both"/>
        <w:rPr>
          <w:rFonts w:hint="eastAsia"/>
        </w:rPr>
      </w:pPr>
      <w:r>
        <w:rPr>
          <w:rFonts w:cs="Times New Roman" w:hAnsi="Times New Roman" w:ascii="Times New Roman"/>
          <w:color w:val="000000"/>
          <w:spacing w:val="6"/>
          <w:lang w:val="hr-HR"/>
        </w:rPr>
        <w:t xml:space="preserve">Na gotovo svim nekretninama upisana je zabilježba privremene mjere osiguranja oduzimanjem imovinske koristi zabranom otuđenja i opterećenja nekretnina rješenjima Županijskog suda u Zagrebu a temeljem zahtjeva USKOKA radi podignutih optužnica protiv više osoba, i bivšeg člana i ovlaštene osobe stečajnog dužnika, zbog kaznenih djela iz članka 333. St. 1. i dr. Kaznenog zakona. </w:t>
      </w:r>
    </w:p>
    <w:p w:rsidRDefault="00DF2444" w:rsidR="00DF2444">
      <w:pPr>
        <w:shd w:fill="FFFFFF" w:color="auto" w:val="clear"/>
        <w:autoSpaceDE w:val="false"/>
        <w:spacing w:lineRule="exact" w:line="295"/>
        <w:jc w:val="both"/>
        <w:rPr>
          <w:rFonts w:cs="Times New Roman" w:hAnsi="Times New Roman" w:ascii="Times New Roman"/>
          <w:color w:val="000000"/>
          <w:spacing w:val="6"/>
          <w:lang w:val="hr-HR"/>
        </w:rPr>
      </w:pPr>
    </w:p>
    <w:p w:rsidRDefault="00AE6EB4" w:rsidR="00DF2444">
      <w:pPr>
        <w:shd w:fill="FFFFFF" w:color="auto" w:val="clear"/>
        <w:autoSpaceDE w:val="false"/>
        <w:spacing w:lineRule="exact" w:line="295"/>
        <w:jc w:val="both"/>
        <w:rPr>
          <w:rFonts w:hint="eastAsia"/>
        </w:rPr>
      </w:pPr>
      <w:r>
        <w:rPr>
          <w:rFonts w:cs="Times New Roman" w:hAnsi="Times New Roman" w:ascii="Times New Roman"/>
          <w:color w:val="000000"/>
          <w:spacing w:val="6"/>
          <w:lang w:val="hr-HR"/>
        </w:rPr>
        <w:t>Prema članku 8. Zakona o postupku oduzimanja imovinske koristi ostvarene kaznenim djelom i prekršajem iz 2010.g. bilo je navedeno da je Republika Hrvatska razlučni vjerovnik glede ostvarenja novčanih tražbina iz odluka donesenih prema odredbama ovog Zakona koje su bile osigurane sukladno članku 11-16. Ovog Zakona, ako je to osiguranje određeno na stvarima ili pravima upisanim u javnu knjigu.</w:t>
      </w:r>
    </w:p>
    <w:p w:rsidRDefault="00DF2444" w:rsidR="00DF2444">
      <w:pPr>
        <w:shd w:fill="FFFFFF" w:color="auto" w:val="clear"/>
        <w:autoSpaceDE w:val="false"/>
        <w:spacing w:lineRule="exact" w:line="295"/>
        <w:jc w:val="both"/>
        <w:rPr>
          <w:rFonts w:cs="Times New Roman" w:hAnsi="Times New Roman" w:ascii="Times New Roman"/>
          <w:color w:val="000000"/>
          <w:spacing w:val="6"/>
          <w:lang w:val="hr-HR"/>
        </w:rPr>
      </w:pPr>
    </w:p>
    <w:p w:rsidRDefault="00AE6EB4" w:rsidR="00DF2444">
      <w:pPr>
        <w:shd w:fill="FFFFFF" w:color="auto" w:val="clear"/>
        <w:autoSpaceDE w:val="false"/>
        <w:spacing w:lineRule="exact" w:line="295"/>
        <w:jc w:val="both"/>
        <w:rPr>
          <w:rFonts w:hint="eastAsia"/>
        </w:rPr>
      </w:pPr>
      <w:r>
        <w:rPr>
          <w:rFonts w:cs="Times New Roman" w:hAnsi="Times New Roman" w:ascii="Times New Roman"/>
          <w:color w:val="000000"/>
          <w:spacing w:val="6"/>
          <w:lang w:val="hr-HR"/>
        </w:rPr>
        <w:t>U članku 11. stavak 1. točka a) istog zakona bilo je navedeno da se radi osiguranja oduzimanja imovinske koristi ostvarene kaznenim djelom može predložiti bilo koja privremena mjera kojom se postiže ta svrha, a posebno zabranom otuđenja i opterećenja nekretnina ili stvarnih prava upisanih na nekretnini, uz zabilježbu zabrane u zemljišnim knjigama.</w:t>
      </w:r>
    </w:p>
    <w:p w:rsidRDefault="00DF2444" w:rsidR="00DF2444">
      <w:pPr>
        <w:shd w:fill="FFFFFF" w:color="auto" w:val="clear"/>
        <w:autoSpaceDE w:val="false"/>
        <w:spacing w:lineRule="exact" w:line="295"/>
        <w:jc w:val="both"/>
        <w:rPr>
          <w:rFonts w:cs="Times New Roman" w:hAnsi="Times New Roman" w:ascii="Times New Roman"/>
          <w:color w:val="000000"/>
          <w:spacing w:val="6"/>
          <w:lang w:val="hr-HR"/>
        </w:rPr>
      </w:pPr>
    </w:p>
    <w:p w:rsidRDefault="00AE6EB4" w:rsidR="00DF2444">
      <w:pPr>
        <w:shd w:fill="FFFFFF" w:color="auto" w:val="clear"/>
        <w:autoSpaceDE w:val="false"/>
        <w:spacing w:lineRule="exact" w:line="295"/>
        <w:jc w:val="both"/>
        <w:rPr>
          <w:rFonts w:hint="eastAsia"/>
        </w:rPr>
      </w:pPr>
      <w:r>
        <w:rPr>
          <w:rFonts w:cs="Times New Roman" w:hAnsi="Times New Roman" w:ascii="Times New Roman"/>
          <w:color w:val="000000"/>
          <w:spacing w:val="6"/>
          <w:lang w:val="hr-HR"/>
        </w:rPr>
        <w:t>Navedeni Zakon prestao je važiti 2017.g. donošenjem Zakona o prestanku njegovog važenja, a u prijelaznim i završnim odredbama je određeno da će se postupci započeti po navedenom Zakonu dovršiti po odredbama zakona kojim se uređuje kazneni postupak.</w:t>
      </w:r>
    </w:p>
    <w:p w:rsidRDefault="00DF2444" w:rsidR="00DF2444">
      <w:pPr>
        <w:shd w:fill="FFFFFF" w:color="auto" w:val="clear"/>
        <w:autoSpaceDE w:val="false"/>
        <w:spacing w:lineRule="exact" w:line="295"/>
        <w:jc w:val="both"/>
        <w:rPr>
          <w:rFonts w:cs="Times New Roman" w:hAnsi="Times New Roman" w:ascii="Times New Roman"/>
          <w:color w:val="000000"/>
          <w:spacing w:val="6"/>
          <w:lang w:val="hr-HR"/>
        </w:rPr>
      </w:pPr>
    </w:p>
    <w:p w:rsidRDefault="00AE6EB4" w:rsidR="00DF2444">
      <w:pPr>
        <w:shd w:fill="FFFFFF" w:color="auto" w:val="clear"/>
        <w:autoSpaceDE w:val="false"/>
        <w:spacing w:lineRule="exact" w:line="295"/>
        <w:jc w:val="both"/>
        <w:rPr>
          <w:rFonts w:hint="eastAsia"/>
        </w:rPr>
      </w:pPr>
      <w:r>
        <w:rPr>
          <w:rFonts w:cs="Times New Roman" w:hAnsi="Times New Roman" w:ascii="Times New Roman"/>
          <w:color w:val="000000"/>
          <w:spacing w:val="6"/>
          <w:lang w:val="hr-HR"/>
        </w:rPr>
        <w:t xml:space="preserve">U isto vrijeme, usvojene su i izmjene </w:t>
      </w:r>
      <w:bookmarkStart w:name="_Hlk11573429" w:id="3"/>
      <w:r>
        <w:rPr>
          <w:rFonts w:cs="Times New Roman" w:hAnsi="Times New Roman" w:ascii="Times New Roman"/>
          <w:color w:val="000000"/>
          <w:spacing w:val="6"/>
          <w:lang w:val="hr-HR"/>
        </w:rPr>
        <w:t xml:space="preserve">Zakona o kaznenom postupku </w:t>
      </w:r>
      <w:bookmarkEnd w:id="3"/>
      <w:r>
        <w:rPr>
          <w:rFonts w:cs="Times New Roman" w:hAnsi="Times New Roman" w:ascii="Times New Roman"/>
          <w:color w:val="000000"/>
          <w:spacing w:val="6"/>
          <w:lang w:val="hr-HR"/>
        </w:rPr>
        <w:t>RH gdje je u glavi XXVIII dodatno reguliran postupak oduzimanja predmeta i imovinske koristi, tj. u Zakon su unesene pretežno sve odredbe iz Zakona o postupku oduzimanja imovinske koristi ostvarene kaznenim djelom i prekršajne koji je prestao važiti.</w:t>
      </w:r>
    </w:p>
    <w:p w:rsidRDefault="00DF2444" w:rsidR="00DF2444">
      <w:pPr>
        <w:shd w:fill="FFFFFF" w:color="auto" w:val="clear"/>
        <w:autoSpaceDE w:val="false"/>
        <w:spacing w:lineRule="exact" w:line="295"/>
        <w:jc w:val="both"/>
        <w:rPr>
          <w:rFonts w:cs="Times New Roman" w:hAnsi="Times New Roman" w:ascii="Times New Roman"/>
          <w:color w:val="000000"/>
          <w:spacing w:val="6"/>
          <w:lang w:val="hr-HR"/>
        </w:rPr>
      </w:pPr>
    </w:p>
    <w:p w:rsidRDefault="00AE6EB4" w:rsidR="00DF2444">
      <w:pPr>
        <w:shd w:fill="FFFFFF" w:color="auto" w:val="clear"/>
        <w:autoSpaceDE w:val="false"/>
        <w:spacing w:lineRule="exact" w:line="295"/>
        <w:jc w:val="both"/>
        <w:rPr>
          <w:rFonts w:hint="eastAsia"/>
        </w:rPr>
      </w:pPr>
      <w:r>
        <w:rPr>
          <w:rFonts w:cs="Times New Roman" w:hAnsi="Times New Roman" w:ascii="Times New Roman"/>
          <w:color w:val="000000"/>
          <w:spacing w:val="6"/>
          <w:lang w:val="hr-HR"/>
        </w:rPr>
        <w:t>Prema članku 557.d Zakona o kaznenom postupku pravni posao kojim okrivljenik ili druga osoba na koju je imovinska korist prenesena nakon upisa privremene mjere u javni upisnik raspolaže sa stvari i pravom koje je predmet osiguranja, nema pravnog učinka.</w:t>
      </w:r>
    </w:p>
    <w:p w:rsidRDefault="00DF2444" w:rsidR="00DF2444">
      <w:pPr>
        <w:shd w:fill="FFFFFF" w:color="auto" w:val="clear"/>
        <w:autoSpaceDE w:val="false"/>
        <w:spacing w:lineRule="exact" w:line="295"/>
        <w:jc w:val="both"/>
        <w:rPr>
          <w:rFonts w:cs="Times New Roman" w:hAnsi="Times New Roman" w:ascii="Times New Roman"/>
          <w:color w:val="000000"/>
          <w:spacing w:val="6"/>
          <w:lang w:val="hr-HR"/>
        </w:rPr>
      </w:pPr>
    </w:p>
    <w:p w:rsidRDefault="00AE6EB4" w:rsidR="00DF2444">
      <w:pPr>
        <w:shd w:fill="FFFFFF" w:color="auto" w:val="clear"/>
        <w:autoSpaceDE w:val="false"/>
        <w:spacing w:lineRule="exact" w:line="295"/>
        <w:jc w:val="both"/>
        <w:rPr>
          <w:rFonts w:hint="eastAsia"/>
        </w:rPr>
      </w:pPr>
      <w:r>
        <w:rPr>
          <w:rFonts w:cs="Times New Roman" w:hAnsi="Times New Roman" w:ascii="Times New Roman"/>
          <w:color w:val="000000"/>
          <w:spacing w:val="6"/>
          <w:lang w:val="hr-HR"/>
        </w:rPr>
        <w:t>U ostalim člancima navedene glave Zakona o kaznenom postupku, navedeno je da privremene mjere vrijede sve do donošenja pravomoćnih odluka suda u kojima će se odlučiti i o oduzimanju imovinske koristi radi koje su navedene privremene mjere bile i upisane.</w:t>
      </w:r>
    </w:p>
    <w:p w:rsidRDefault="00DF2444" w:rsidR="00DF2444">
      <w:pPr>
        <w:shd w:fill="FFFFFF" w:color="auto" w:val="clear"/>
        <w:autoSpaceDE w:val="false"/>
        <w:spacing w:lineRule="exact" w:line="295"/>
        <w:jc w:val="both"/>
        <w:rPr>
          <w:rFonts w:cs="Times New Roman" w:hAnsi="Times New Roman" w:ascii="Times New Roman"/>
          <w:color w:val="000000"/>
          <w:spacing w:val="6"/>
          <w:lang w:val="hr-HR"/>
        </w:rPr>
      </w:pPr>
    </w:p>
    <w:p w:rsidRDefault="00AE6EB4" w:rsidR="00DF2444">
      <w:pPr>
        <w:shd w:fill="FFFFFF" w:color="auto" w:val="clear"/>
        <w:autoSpaceDE w:val="false"/>
        <w:spacing w:lineRule="exact" w:line="295"/>
        <w:jc w:val="both"/>
        <w:rPr>
          <w:rFonts w:hint="eastAsia"/>
        </w:rPr>
      </w:pPr>
      <w:r>
        <w:rPr>
          <w:rFonts w:cs="Times New Roman" w:hAnsi="Times New Roman" w:ascii="Times New Roman"/>
          <w:color w:val="000000"/>
          <w:spacing w:val="6"/>
          <w:lang w:val="hr-HR"/>
        </w:rPr>
        <w:t xml:space="preserve">Iz svega navedenog proizlazi da, do donošenja pravomoćnih sudskih odluka u kaznenim postupcima koji su pokrenuti po optužnim prijedlozima USKOK-a i na temelju koji su upisane </w:t>
      </w:r>
      <w:r>
        <w:rPr>
          <w:rFonts w:cs="Times New Roman" w:hAnsi="Times New Roman" w:ascii="Times New Roman"/>
          <w:color w:val="000000"/>
          <w:spacing w:val="6"/>
          <w:lang w:val="hr-HR"/>
        </w:rPr>
        <w:lastRenderedPageBreak/>
        <w:t>privremene mjere zabrane otuđenja i opterećenja navedenih nekretnina stečajnog dužnika, dakle, da nije moguće izvršit unovčenje navedene imovine stečajnog dužnika.</w:t>
      </w:r>
    </w:p>
    <w:p w:rsidRDefault="00DF2444" w:rsidR="00DF2444">
      <w:pPr>
        <w:shd w:fill="FFFFFF" w:color="auto" w:val="clear"/>
        <w:autoSpaceDE w:val="false"/>
        <w:spacing w:lineRule="exact" w:line="295"/>
        <w:jc w:val="both"/>
        <w:rPr>
          <w:rFonts w:cs="Times New Roman" w:hAnsi="Times New Roman" w:ascii="Times New Roman"/>
          <w:color w:val="000000"/>
          <w:spacing w:val="6"/>
          <w:lang w:val="hr-HR"/>
        </w:rPr>
      </w:pPr>
    </w:p>
    <w:p w:rsidRDefault="00AE6EB4" w:rsidR="00DF2444">
      <w:pPr>
        <w:shd w:fill="FFFFFF" w:color="auto" w:val="clear"/>
        <w:autoSpaceDE w:val="false"/>
        <w:spacing w:lineRule="exact" w:line="295"/>
        <w:jc w:val="both"/>
        <w:rPr>
          <w:rFonts w:hint="eastAsia"/>
        </w:rPr>
      </w:pPr>
      <w:r>
        <w:rPr>
          <w:rFonts w:cs="Times New Roman" w:hAnsi="Times New Roman" w:ascii="Times New Roman"/>
          <w:color w:val="000000"/>
          <w:spacing w:val="6"/>
          <w:lang w:val="hr-HR"/>
        </w:rPr>
        <w:t>Zaključno ističem kako prema dosadašnjim presudama i saznanjima, za očekivati je da će sve navedene nekretnine biti oduzeti stečajnom dužniku kao nepripadna imovinska korist ostvarena kaznenim djelom te će biti vraćene prijašnjim vlasnicima.</w:t>
      </w:r>
    </w:p>
    <w:p w:rsidRDefault="00DF2444" w:rsidR="00DF2444">
      <w:pPr>
        <w:shd w:fill="FFFFFF" w:color="auto" w:val="clear"/>
        <w:autoSpaceDE w:val="false"/>
        <w:spacing w:lineRule="exact" w:line="295"/>
        <w:jc w:val="both"/>
        <w:rPr>
          <w:rFonts w:cs="Times New Roman" w:hAnsi="Times New Roman" w:ascii="Times New Roman"/>
          <w:color w:val="000000"/>
          <w:spacing w:val="6"/>
          <w:lang w:val="hr-HR"/>
        </w:rPr>
      </w:pPr>
    </w:p>
    <w:p w:rsidRDefault="00AE6EB4" w:rsidR="00DF2444">
      <w:pPr>
        <w:autoSpaceDE w:val="false"/>
        <w:jc w:val="both"/>
        <w:rPr>
          <w:rFonts w:hint="eastAsia"/>
        </w:rPr>
      </w:pPr>
      <w:bookmarkStart w:name="_Hlk11617117" w:id="4"/>
      <w:r>
        <w:rPr>
          <w:rFonts w:cs="Times New Roman" w:hAnsi="Times New Roman" w:ascii="Times New Roman"/>
          <w:b/>
          <w:color w:val="000000"/>
          <w:spacing w:val="6"/>
          <w:lang w:val="hr-HR"/>
        </w:rPr>
        <w:t>6.2. Pokretnine</w:t>
      </w:r>
    </w:p>
    <w:p w:rsidRDefault="00DF2444" w:rsidR="00DF2444">
      <w:pPr>
        <w:ind w:left="360"/>
        <w:jc w:val="both"/>
        <w:rPr>
          <w:rFonts w:cs="Times New Roman" w:hAnsi="Times New Roman" w:ascii="Times New Roman"/>
          <w:color w:val="000000"/>
          <w:spacing w:val="6"/>
          <w:lang w:val="hr-HR"/>
        </w:rPr>
      </w:pPr>
    </w:p>
    <w:p w:rsidRDefault="00AE6EB4" w:rsidR="00DF2444">
      <w:pPr>
        <w:jc w:val="both"/>
        <w:rPr>
          <w:rFonts w:hint="eastAsia"/>
        </w:rPr>
      </w:pPr>
      <w:r>
        <w:rPr>
          <w:rFonts w:cs="Times New Roman" w:hAnsi="Times New Roman" w:ascii="Times New Roman"/>
          <w:color w:val="000000"/>
          <w:spacing w:val="6"/>
          <w:lang w:val="hr-HR"/>
        </w:rPr>
        <w:t>Prema uvjerenju Centra za vozila Hrvatske d.d. proizlazi da društvo nije evidentirano kao vlasnik vozila. Također, stečajni dužnik nema nikakvih pokretnina u svom vlasništvu za koje bi stečajni upravitelj imao saznanja.</w:t>
      </w:r>
    </w:p>
    <w:p w:rsidRDefault="00DF2444" w:rsidR="00DF2444">
      <w:pPr>
        <w:jc w:val="both"/>
        <w:rPr>
          <w:rFonts w:cs="Times New Roman" w:hAnsi="Times New Roman" w:ascii="Times New Roman"/>
          <w:color w:val="000000"/>
          <w:spacing w:val="6"/>
          <w:lang w:val="hr-HR"/>
        </w:rPr>
      </w:pPr>
    </w:p>
    <w:p w:rsidRDefault="00DF2444" w:rsidR="00DF2444">
      <w:pPr>
        <w:jc w:val="both"/>
        <w:rPr>
          <w:rFonts w:cs="Times New Roman" w:hAnsi="Times New Roman" w:ascii="Times New Roman"/>
          <w:b/>
          <w:highlight w:val="yellow"/>
          <w:lang w:val="hr-HR"/>
        </w:rPr>
      </w:pPr>
    </w:p>
    <w:p w:rsidRDefault="00AE6EB4" w:rsidR="00DF2444">
      <w:pPr>
        <w:jc w:val="both"/>
        <w:rPr>
          <w:rFonts w:hint="eastAsia"/>
        </w:rPr>
      </w:pPr>
      <w:r>
        <w:rPr>
          <w:rFonts w:cs="Times New Roman" w:hAnsi="Times New Roman" w:ascii="Times New Roman"/>
          <w:b/>
          <w:lang w:val="hr-HR"/>
        </w:rPr>
        <w:t>6.3. Potraživanja</w:t>
      </w:r>
    </w:p>
    <w:p w:rsidRDefault="00DF2444" w:rsidR="00DF2444">
      <w:pPr>
        <w:pStyle w:val="Zaglavlje"/>
        <w:tabs>
          <w:tab w:pos="708" w:val="left"/>
        </w:tabs>
        <w:rPr>
          <w:rFonts w:cs="Times New Roman" w:hAnsi="Times New Roman" w:ascii="Times New Roman"/>
          <w:b/>
          <w:lang w:val="hr-HR"/>
        </w:rPr>
      </w:pPr>
    </w:p>
    <w:p w:rsidRDefault="00AE6EB4" w:rsidR="00DF2444">
      <w:pPr>
        <w:pStyle w:val="Zaglavlje"/>
        <w:tabs>
          <w:tab w:pos="708" w:val="left"/>
        </w:tabs>
        <w:rPr>
          <w:rFonts w:hint="eastAsia"/>
        </w:rPr>
      </w:pPr>
      <w:r>
        <w:rPr>
          <w:rFonts w:cs="Times New Roman" w:hAnsi="Times New Roman" w:ascii="Times New Roman"/>
          <w:lang w:val="hr-HR"/>
        </w:rPr>
        <w:t>Eventualna potraživanja dužnika su u zastari budući da su ista nastala i prije 2013.g., a nema podataka o njihovoj utuženosti, osim onih koja su navedena pod točkom 8.</w:t>
      </w:r>
    </w:p>
    <w:p w:rsidRDefault="00DF2444" w:rsidR="00DF2444">
      <w:pPr>
        <w:pStyle w:val="Zaglavlje"/>
        <w:tabs>
          <w:tab w:pos="708" w:val="left"/>
        </w:tabs>
        <w:rPr>
          <w:rFonts w:cs="Times New Roman" w:hAnsi="Times New Roman" w:ascii="Times New Roman"/>
          <w:color w:val="000000"/>
          <w:spacing w:val="6"/>
          <w:highlight w:val="yellow"/>
          <w:lang w:val="hr-HR"/>
        </w:rPr>
      </w:pPr>
    </w:p>
    <w:p w:rsidRDefault="00AE6EB4" w:rsidR="00DF2444">
      <w:pPr>
        <w:pStyle w:val="Zaglavlje"/>
        <w:tabs>
          <w:tab w:pos="708" w:val="left"/>
        </w:tabs>
        <w:rPr>
          <w:rFonts w:hint="eastAsia"/>
        </w:rPr>
      </w:pPr>
      <w:r>
        <w:rPr>
          <w:rFonts w:cs="Times New Roman" w:hAnsi="Times New Roman" w:ascii="Times New Roman"/>
          <w:b/>
          <w:bCs/>
          <w:lang w:val="hr-HR"/>
        </w:rPr>
        <w:t>6.4. Novac u banci</w:t>
      </w:r>
    </w:p>
    <w:p w:rsidRDefault="00DF2444" w:rsidR="00DF2444">
      <w:pPr>
        <w:pStyle w:val="Zaglavlje"/>
        <w:tabs>
          <w:tab w:pos="708" w:val="left"/>
        </w:tabs>
        <w:rPr>
          <w:rFonts w:cs="Times New Roman" w:hAnsi="Times New Roman" w:ascii="Times New Roman"/>
          <w:b/>
          <w:bCs/>
          <w:lang w:val="hr-HR"/>
        </w:rPr>
      </w:pPr>
    </w:p>
    <w:p w:rsidRDefault="00AE6EB4" w:rsidR="00DF2444">
      <w:pPr>
        <w:pStyle w:val="Zaglavlje"/>
        <w:tabs>
          <w:tab w:pos="708" w:val="left"/>
        </w:tabs>
        <w:rPr>
          <w:rFonts w:hint="eastAsia"/>
        </w:rPr>
      </w:pPr>
      <w:r>
        <w:rPr>
          <w:rFonts w:cs="Times New Roman" w:hAnsi="Times New Roman" w:ascii="Times New Roman"/>
          <w:lang w:val="hr-HR"/>
        </w:rPr>
        <w:t>Prema podacima dobivenim od Erste&amp;steiermärkische bank d.d, dužnik na prijelaznom računu banke ima zaplijenjena sredstva u iznosu od 220.548.34 kn. U ovom trenutku mi nije poznato na temelju koje osnove su ta sredstva zaplijenjena, ali pretpostavljam da je u pitanju privremena mjera određena rješenjem Županijskog suda u Zagrebu. Budući da Financijska agencija nema nikakvih saznanja o ovim sredstvima, zatražila sam od banke dodatne informacije, ali iste nisam zaprimila do dana sastavljanja ovog izvješća.</w:t>
      </w:r>
    </w:p>
    <w:p w:rsidRDefault="00AE6EB4" w:rsidR="00DF2444">
      <w:pPr>
        <w:pStyle w:val="Zaglavlje"/>
        <w:tabs>
          <w:tab w:pos="708" w:val="left"/>
        </w:tabs>
        <w:rPr>
          <w:rFonts w:hint="eastAsia"/>
        </w:rPr>
      </w:pPr>
      <w:r>
        <w:rPr>
          <w:rFonts w:cs="Times New Roman" w:hAnsi="Times New Roman" w:ascii="Times New Roman"/>
          <w:lang w:val="hr-HR"/>
        </w:rPr>
        <w:t>Nakon što zaprimim dodatne informacije od banke o istima ću izvijestiti sud i vjerovnike.</w:t>
      </w:r>
    </w:p>
    <w:p w:rsidRDefault="00DF2444" w:rsidR="00DF2444">
      <w:pPr>
        <w:pStyle w:val="Zaglavlje"/>
        <w:tabs>
          <w:tab w:pos="708" w:val="left"/>
        </w:tabs>
        <w:rPr>
          <w:rFonts w:cs="Times New Roman" w:hAnsi="Times New Roman" w:ascii="Times New Roman"/>
          <w:highlight w:val="yellow"/>
          <w:lang w:val="hr-HR"/>
        </w:rPr>
      </w:pPr>
    </w:p>
    <w:p w:rsidRDefault="00AE6EB4" w:rsidR="00DF2444">
      <w:pPr>
        <w:pStyle w:val="Zaglavlje"/>
        <w:rPr>
          <w:rFonts w:hint="eastAsia"/>
        </w:rPr>
      </w:pPr>
      <w:r>
        <w:rPr>
          <w:rFonts w:cs="Times New Roman" w:hAnsi="Times New Roman" w:ascii="Times New Roman"/>
          <w:b/>
          <w:bCs/>
          <w:lang w:val="hr-HR"/>
        </w:rPr>
        <w:t>7. OBVEZE STEČAJNOG DUŽNIKA</w:t>
      </w:r>
    </w:p>
    <w:p w:rsidRDefault="00DF2444" w:rsidR="00DF2444">
      <w:pPr>
        <w:pStyle w:val="Zaglavlje"/>
        <w:rPr>
          <w:rFonts w:cs="Times New Roman" w:hAnsi="Times New Roman" w:ascii="Times New Roman"/>
          <w:lang w:val="hr-HR"/>
        </w:rPr>
      </w:pPr>
    </w:p>
    <w:p w:rsidRDefault="00AE6EB4" w:rsidR="00DF2444">
      <w:pPr>
        <w:pStyle w:val="Zaglavlje"/>
        <w:rPr>
          <w:rFonts w:hint="eastAsia"/>
        </w:rPr>
      </w:pPr>
      <w:r>
        <w:rPr>
          <w:rFonts w:cs="Times New Roman" w:hAnsi="Times New Roman" w:ascii="Times New Roman"/>
          <w:lang w:val="hr-HR"/>
        </w:rPr>
        <w:t>Ukupne obaveze stečajnog dužnika po pristiglim i ispitanim tražbinama iznose:</w:t>
      </w:r>
    </w:p>
    <w:p w:rsidRDefault="00DF2444" w:rsidR="00DF2444">
      <w:pPr>
        <w:pStyle w:val="Zaglavlje"/>
        <w:rPr>
          <w:rFonts w:cs="Times New Roman" w:hAnsi="Times New Roman" w:ascii="Times New Roman"/>
          <w:lang w:val="hr-HR"/>
        </w:rPr>
      </w:pPr>
    </w:p>
    <w:p w:rsidRDefault="00DF2444" w:rsidR="00DF2444">
      <w:pPr>
        <w:pStyle w:val="Zaglavlje"/>
        <w:rPr>
          <w:rFonts w:cs="Times New Roman" w:hAnsi="Times New Roman" w:ascii="Times New Roman"/>
          <w:lang w:val="hr-HR"/>
        </w:rPr>
      </w:pPr>
    </w:p>
    <w:p w:rsidRDefault="00AE6EB4" w:rsidR="00DF2444">
      <w:pPr>
        <w:pStyle w:val="Zaglavlje"/>
        <w:rPr>
          <w:rFonts w:hint="eastAsia"/>
        </w:rPr>
      </w:pPr>
      <w:r>
        <w:rPr>
          <w:rFonts w:cs="Times New Roman" w:hAnsi="Times New Roman" w:ascii="Times New Roman"/>
          <w:lang w:val="hr-HR"/>
        </w:rPr>
        <w:t xml:space="preserve">- Priznato I. viši isplatni red </w:t>
      </w:r>
      <w:r>
        <w:rPr>
          <w:rFonts w:cs="Times New Roman" w:hAnsi="Times New Roman" w:ascii="Times New Roman"/>
          <w:lang w:val="hr-HR"/>
        </w:rPr>
        <w:tab/>
      </w:r>
      <w:r>
        <w:rPr>
          <w:rFonts w:cs="Times New Roman" w:hAnsi="Times New Roman" w:ascii="Times New Roman"/>
          <w:lang w:val="hr-HR"/>
        </w:rPr>
        <w:tab/>
        <w:t>0,0 kuna</w:t>
      </w:r>
    </w:p>
    <w:p w:rsidRDefault="00AE6EB4" w:rsidR="00DF2444">
      <w:pPr>
        <w:pStyle w:val="Zaglavlje"/>
        <w:rPr>
          <w:rFonts w:hint="eastAsia"/>
        </w:rPr>
      </w:pPr>
      <w:r>
        <w:rPr>
          <w:rFonts w:cs="Times New Roman" w:hAnsi="Times New Roman" w:ascii="Times New Roman"/>
          <w:lang w:val="hr-HR"/>
        </w:rPr>
        <w:t xml:space="preserve">- Osporeno I. viši isplatni red </w:t>
      </w:r>
      <w:r>
        <w:rPr>
          <w:rFonts w:cs="Times New Roman" w:hAnsi="Times New Roman" w:ascii="Times New Roman"/>
          <w:lang w:val="hr-HR"/>
        </w:rPr>
        <w:tab/>
      </w:r>
      <w:r>
        <w:rPr>
          <w:rFonts w:cs="Times New Roman" w:hAnsi="Times New Roman" w:ascii="Times New Roman"/>
          <w:lang w:val="hr-HR"/>
        </w:rPr>
        <w:tab/>
        <w:t>0,00 kuna</w:t>
      </w:r>
    </w:p>
    <w:p w:rsidRDefault="00DF2444" w:rsidR="00DF2444">
      <w:pPr>
        <w:pStyle w:val="Zaglavlje"/>
        <w:rPr>
          <w:rFonts w:cs="Times New Roman" w:hAnsi="Times New Roman" w:ascii="Times New Roman"/>
          <w:lang w:val="hr-HR"/>
        </w:rPr>
      </w:pPr>
    </w:p>
    <w:p w:rsidRDefault="00DF2444" w:rsidR="00DF2444">
      <w:pPr>
        <w:pStyle w:val="Zaglavlje"/>
        <w:rPr>
          <w:rFonts w:cs="Times New Roman" w:hAnsi="Times New Roman" w:ascii="Times New Roman"/>
          <w:lang w:val="hr-HR"/>
        </w:rPr>
      </w:pPr>
    </w:p>
    <w:p w:rsidRDefault="00AE6EB4" w:rsidR="00DF2444">
      <w:pPr>
        <w:pStyle w:val="Zaglavlje"/>
        <w:rPr>
          <w:rFonts w:hint="eastAsia"/>
        </w:rPr>
      </w:pPr>
      <w:r>
        <w:rPr>
          <w:rFonts w:cs="Times New Roman" w:hAnsi="Times New Roman" w:ascii="Times New Roman"/>
          <w:lang w:val="hr-HR"/>
        </w:rPr>
        <w:t xml:space="preserve">- Priznato II. viši isplatni red </w:t>
      </w:r>
      <w:r>
        <w:rPr>
          <w:rFonts w:cs="Times New Roman" w:hAnsi="Times New Roman" w:ascii="Times New Roman"/>
          <w:lang w:val="hr-HR"/>
        </w:rPr>
        <w:tab/>
        <w:t xml:space="preserve">                                                                 </w:t>
      </w:r>
      <w:r>
        <w:rPr>
          <w:rFonts w:cs="Times New Roman" w:hAnsi="Times New Roman" w:ascii="Times New Roman"/>
          <w:bCs/>
          <w:lang w:val="hr-HR"/>
        </w:rPr>
        <w:t>719,962.40</w:t>
      </w:r>
      <w:r>
        <w:rPr>
          <w:rFonts w:cs="Times New Roman" w:hAnsi="Times New Roman" w:ascii="Times New Roman"/>
          <w:b/>
          <w:bCs/>
          <w:lang w:val="hr-HR"/>
        </w:rPr>
        <w:t xml:space="preserve"> </w:t>
      </w:r>
      <w:r>
        <w:rPr>
          <w:rFonts w:cs="Times New Roman" w:hAnsi="Times New Roman" w:ascii="Times New Roman"/>
          <w:lang w:val="hr-HR"/>
        </w:rPr>
        <w:t>kuna</w:t>
      </w:r>
    </w:p>
    <w:p w:rsidRDefault="00AE6EB4" w:rsidR="00DF2444">
      <w:pPr>
        <w:pStyle w:val="Zaglavlje"/>
        <w:rPr>
          <w:rFonts w:hint="eastAsia"/>
        </w:rPr>
      </w:pPr>
      <w:r>
        <w:rPr>
          <w:rFonts w:cs="Times New Roman" w:hAnsi="Times New Roman" w:ascii="Times New Roman"/>
          <w:lang w:val="hr-HR"/>
        </w:rPr>
        <w:t xml:space="preserve">- Osporeno II. viši isplatni red </w:t>
      </w:r>
      <w:r>
        <w:rPr>
          <w:rFonts w:cs="Times New Roman" w:hAnsi="Times New Roman" w:ascii="Times New Roman"/>
          <w:lang w:val="hr-HR"/>
        </w:rPr>
        <w:tab/>
      </w:r>
      <w:r>
        <w:rPr>
          <w:rFonts w:cs="Times New Roman" w:hAnsi="Times New Roman" w:ascii="Times New Roman"/>
          <w:lang w:val="hr-HR"/>
        </w:rPr>
        <w:tab/>
        <w:t xml:space="preserve">            </w:t>
      </w:r>
      <w:r>
        <w:rPr>
          <w:rFonts w:cs="Times New Roman" w:hAnsi="Times New Roman" w:ascii="Times New Roman"/>
          <w:bCs/>
          <w:lang w:val="hr-HR"/>
        </w:rPr>
        <w:t>151.735,00</w:t>
      </w:r>
      <w:r>
        <w:rPr>
          <w:rFonts w:cs="Times New Roman" w:hAnsi="Times New Roman" w:ascii="Times New Roman"/>
          <w:b/>
          <w:bCs/>
          <w:lang w:val="hr-HR"/>
        </w:rPr>
        <w:t xml:space="preserve"> </w:t>
      </w:r>
      <w:r>
        <w:rPr>
          <w:rFonts w:cs="Times New Roman" w:hAnsi="Times New Roman" w:ascii="Times New Roman"/>
          <w:lang w:val="hr-HR"/>
        </w:rPr>
        <w:t xml:space="preserve">kuna         </w:t>
      </w:r>
    </w:p>
    <w:p w:rsidRDefault="00DF2444" w:rsidR="00DF2444">
      <w:pPr>
        <w:pStyle w:val="Zaglavlje"/>
        <w:rPr>
          <w:rFonts w:cs="Times New Roman" w:hAnsi="Times New Roman" w:ascii="Times New Roman"/>
          <w:lang w:val="hr-HR"/>
        </w:rPr>
      </w:pPr>
    </w:p>
    <w:p w:rsidRDefault="00AE6EB4" w:rsidR="00DF2444">
      <w:pPr>
        <w:shd w:fill="FFFFFF" w:color="auto" w:val="clear"/>
        <w:autoSpaceDE w:val="false"/>
        <w:spacing w:lineRule="exact" w:line="295"/>
        <w:jc w:val="both"/>
        <w:rPr>
          <w:rFonts w:hint="eastAsia"/>
        </w:rPr>
      </w:pPr>
      <w:r>
        <w:rPr>
          <w:rFonts w:cs="Times New Roman" w:eastAsia="Times New Roman" w:hAnsi="Times New Roman" w:ascii="Times New Roman"/>
          <w:lang w:val="hr-HR"/>
        </w:rPr>
        <w:t xml:space="preserve">  </w:t>
      </w:r>
      <w:r>
        <w:rPr>
          <w:rFonts w:cs="Times New Roman" w:hAnsi="Times New Roman" w:ascii="Times New Roman"/>
          <w:lang w:val="hr-HR"/>
        </w:rPr>
        <w:t xml:space="preserve">Razlučna prava su prijavili </w:t>
      </w:r>
      <w:r>
        <w:rPr>
          <w:rFonts w:cs="Times New Roman" w:hAnsi="Times New Roman" w:ascii="Times New Roman"/>
        </w:rPr>
        <w:t>Erste&amp;steiermärkische bank d.d,</w:t>
      </w:r>
      <w:r>
        <w:rPr>
          <w:rFonts w:cs="Times New Roman" w:hAnsi="Times New Roman" w:ascii="Times New Roman"/>
          <w:lang w:val="hr-HR"/>
        </w:rPr>
        <w:t xml:space="preserve"> RH, ministarstvo financija, porezna uprava i Privredna banka Zagreb d.d.</w:t>
      </w:r>
    </w:p>
    <w:p w:rsidRDefault="00DF2444" w:rsidR="00DF2444">
      <w:pPr>
        <w:pStyle w:val="Zaglavlje"/>
        <w:tabs>
          <w:tab w:pos="708" w:val="left"/>
        </w:tabs>
        <w:rPr>
          <w:rFonts w:cs="Times New Roman" w:hAnsi="Times New Roman" w:ascii="Times New Roman"/>
          <w:lang w:val="hr-HR"/>
        </w:rPr>
      </w:pPr>
    </w:p>
    <w:p w:rsidRDefault="00AE6EB4" w:rsidR="00DF2444">
      <w:pPr>
        <w:pStyle w:val="Zaglavlje"/>
        <w:tabs>
          <w:tab w:pos="708" w:val="left"/>
        </w:tabs>
        <w:rPr>
          <w:rFonts w:hint="eastAsia"/>
        </w:rPr>
      </w:pPr>
      <w:r>
        <w:rPr>
          <w:rFonts w:cs="Times New Roman" w:hAnsi="Times New Roman" w:ascii="Times New Roman"/>
          <w:lang w:val="hr-HR"/>
        </w:rPr>
        <w:lastRenderedPageBreak/>
        <w:t>Izlučna prava su prijavili Ljubica Petrač, Zlatica Majdak, Dragica Šikoranja, Goran Križanić, Nevenka Tkalčić, Nada Kasun i Jasna Marić, Selena Uroić, Marica Vidoš, Nina Berić.</w:t>
      </w:r>
    </w:p>
    <w:bookmarkEnd w:id="4"/>
    <w:p w:rsidRDefault="00DF2444" w:rsidR="00DF2444">
      <w:pPr>
        <w:pStyle w:val="Zaglavlje"/>
        <w:tabs>
          <w:tab w:pos="708" w:val="left"/>
        </w:tabs>
        <w:jc w:val="both"/>
        <w:rPr>
          <w:rFonts w:cs="Times New Roman" w:hAnsi="Times New Roman" w:ascii="Times New Roman"/>
          <w:highlight w:val="yellow"/>
          <w:lang w:val="hr-HR"/>
        </w:rPr>
      </w:pPr>
    </w:p>
    <w:p w:rsidRDefault="00AE6EB4" w:rsidR="00DF2444">
      <w:pPr>
        <w:pStyle w:val="Zaglavlje"/>
        <w:tabs>
          <w:tab w:pos="4153" w:val="clear"/>
          <w:tab w:pos="8306" w:val="clear"/>
          <w:tab w:pos="746" w:val="left"/>
          <w:tab w:pos="4191" w:val="center"/>
          <w:tab w:pos="8344" w:val="right"/>
        </w:tabs>
        <w:ind w:left="38"/>
        <w:jc w:val="both"/>
        <w:rPr>
          <w:rFonts w:hint="eastAsia"/>
        </w:rPr>
      </w:pPr>
      <w:r>
        <w:rPr>
          <w:rFonts w:cs="Times New Roman" w:eastAsia="Times New Roman" w:hAnsi="Times New Roman" w:ascii="Times New Roman"/>
          <w:color w:val="993300"/>
          <w:lang w:val="hr-HR"/>
        </w:rPr>
        <w:t xml:space="preserve">  </w:t>
      </w:r>
    </w:p>
    <w:p w:rsidRDefault="00AE6EB4" w:rsidR="00DF2444">
      <w:pPr>
        <w:pStyle w:val="Zaglavlje"/>
        <w:tabs>
          <w:tab w:pos="540" w:val="left"/>
        </w:tabs>
        <w:jc w:val="both"/>
        <w:rPr>
          <w:rFonts w:hint="eastAsia"/>
        </w:rPr>
      </w:pPr>
      <w:r>
        <w:rPr>
          <w:rFonts w:cs="Times New Roman" w:hAnsi="Times New Roman" w:ascii="Times New Roman"/>
          <w:b/>
          <w:lang w:val="hr-HR"/>
        </w:rPr>
        <w:t>8. POSTUPCI U TIJEKU</w:t>
      </w:r>
    </w:p>
    <w:p w:rsidRDefault="00DF2444" w:rsidR="00DF2444">
      <w:pPr>
        <w:pStyle w:val="Zaglavlje"/>
        <w:tabs>
          <w:tab w:pos="708" w:val="left"/>
        </w:tabs>
        <w:jc w:val="both"/>
        <w:rPr>
          <w:rFonts w:cs="Times New Roman" w:hAnsi="Times New Roman" w:ascii="Times New Roman"/>
          <w:b/>
          <w:lang w:val="hr-HR"/>
        </w:rPr>
      </w:pPr>
    </w:p>
    <w:p w:rsidRDefault="00AE6EB4" w:rsidR="00DF2444">
      <w:pPr>
        <w:pStyle w:val="Zaglavlje"/>
        <w:shd w:fill="FFFFFF" w:color="auto" w:val="clear"/>
        <w:tabs>
          <w:tab w:pos="4153" w:val="clear"/>
          <w:tab w:pos="8306" w:val="clear"/>
          <w:tab w:pos="746" w:val="left"/>
          <w:tab w:pos="4191" w:val="center"/>
          <w:tab w:pos="8344" w:val="right"/>
        </w:tabs>
        <w:autoSpaceDE w:val="false"/>
        <w:spacing w:lineRule="exact" w:line="295"/>
        <w:ind w:left="38"/>
        <w:jc w:val="both"/>
        <w:rPr>
          <w:rFonts w:hint="eastAsia"/>
        </w:rPr>
      </w:pPr>
      <w:r>
        <w:rPr>
          <w:rFonts w:cs="Times New Roman" w:hAnsi="Times New Roman" w:ascii="Times New Roman"/>
          <w:color w:val="000000"/>
          <w:spacing w:val="6"/>
          <w:lang w:val="hr-HR"/>
        </w:rPr>
        <w:t>Prema izvješću koje je dobiveno od strane odvjetnika  Krpana koji je ranije zastupao dužnika i prema meni dostupnim podacima, proizlazi da društvo vodi slijedeće sporove:</w:t>
      </w:r>
    </w:p>
    <w:p w:rsidRDefault="00DF2444" w:rsidR="00DF2444">
      <w:pPr>
        <w:pStyle w:val="Zaglavlje"/>
        <w:shd w:fill="FFFFFF" w:color="auto" w:val="clear"/>
        <w:tabs>
          <w:tab w:pos="4153" w:val="clear"/>
          <w:tab w:pos="8306" w:val="clear"/>
          <w:tab w:pos="746" w:val="left"/>
          <w:tab w:pos="4191" w:val="center"/>
          <w:tab w:pos="8344" w:val="right"/>
        </w:tabs>
        <w:autoSpaceDE w:val="false"/>
        <w:spacing w:lineRule="exact" w:line="295"/>
        <w:ind w:left="38"/>
        <w:jc w:val="both"/>
        <w:rPr>
          <w:rFonts w:cs="Times New Roman" w:hAnsi="Times New Roman" w:ascii="Times New Roman"/>
          <w:color w:val="000000"/>
          <w:spacing w:val="6"/>
          <w:lang w:val="hr-HR"/>
        </w:rPr>
      </w:pPr>
    </w:p>
    <w:p w:rsidRDefault="00AE6EB4" w:rsidR="00DF2444">
      <w:pPr>
        <w:widowControl/>
        <w:suppressAutoHyphens w:val="false"/>
        <w:rPr>
          <w:rFonts w:hint="eastAsia"/>
        </w:rPr>
      </w:pPr>
      <w:r>
        <w:rPr>
          <w:rFonts w:cs="Times New Roman" w:eastAsia="Calibri" w:hAnsi="Times New Roman" w:ascii="Times New Roman"/>
          <w:lang w:bidi="ar-SA" w:eastAsia="en-US" w:val="hr-HR"/>
        </w:rPr>
        <w:t>NEVENKA PERANOVIĆ c/a KALIGRAFIJA d.o.o.</w:t>
      </w:r>
    </w:p>
    <w:p w:rsidRDefault="00AE6EB4" w:rsidR="00DF2444">
      <w:pPr>
        <w:widowControl/>
        <w:suppressAutoHyphens w:val="false"/>
        <w:rPr>
          <w:rFonts w:hint="eastAsia"/>
        </w:rPr>
      </w:pPr>
      <w:r>
        <w:rPr>
          <w:rFonts w:cs="Times New Roman" w:eastAsia="Calibri" w:hAnsi="Times New Roman" w:ascii="Times New Roman"/>
          <w:lang w:bidi="ar-SA" w:eastAsia="en-US" w:val="hr-HR"/>
        </w:rPr>
        <w:t>OPĆINSKI GRAĐANSKI SUD U ZAGREBU, P-1878/11</w:t>
      </w:r>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t>parnica radi utvrđenja ništetnosti</w:t>
      </w:r>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t>usvojena tužba, izjavljena žalba na presudu, žalbeni postupak u tijeku</w:t>
      </w:r>
    </w:p>
    <w:p w:rsidRDefault="00DF2444" w:rsidR="00DF2444">
      <w:pPr>
        <w:widowControl/>
        <w:suppressAutoHyphens w:val="false"/>
        <w:rPr>
          <w:rFonts w:cs="Times New Roman" w:eastAsia="Calibri" w:hAnsi="Times New Roman" w:ascii="Times New Roman"/>
          <w:lang w:bidi="ar-SA" w:eastAsia="en-US" w:val="hr-HR"/>
        </w:rPr>
      </w:pPr>
    </w:p>
    <w:p w:rsidRDefault="00AE6EB4" w:rsidR="00DF2444">
      <w:pPr>
        <w:widowControl/>
        <w:suppressAutoHyphens w:val="false"/>
        <w:rPr>
          <w:rFonts w:hint="eastAsia"/>
        </w:rPr>
      </w:pPr>
      <w:r>
        <w:rPr>
          <w:rFonts w:cs="Times New Roman" w:eastAsia="Calibri" w:hAnsi="Times New Roman" w:ascii="Times New Roman"/>
          <w:lang w:bidi="ar-SA" w:eastAsia="en-US" w:val="hr-HR"/>
        </w:rPr>
        <w:t>BORIS MODRUŠAN, NEVENKA MODRUŠAN c/a KALIGRAFIJA d.o.o.</w:t>
      </w:r>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t>OPĆINSKI SUD U NOVOM ZAGREBU, STALNA SLUŽBA U ZAPREŠIĆU, P-5106/15</w:t>
      </w:r>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t>parnica radi utvrđenja ništetnosti</w:t>
      </w:r>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t>glavna rasprava, još nije odlučeno o prekidu</w:t>
      </w:r>
    </w:p>
    <w:p w:rsidRDefault="00DF2444" w:rsidR="00DF2444">
      <w:pPr>
        <w:widowControl/>
        <w:suppressAutoHyphens w:val="false"/>
        <w:rPr>
          <w:rFonts w:cs="Times New Roman" w:eastAsia="Calibri" w:hAnsi="Times New Roman" w:ascii="Times New Roman"/>
          <w:lang w:bidi="ar-SA" w:eastAsia="en-US" w:val="hr-HR"/>
        </w:rPr>
      </w:pPr>
    </w:p>
    <w:p w:rsidRDefault="00AE6EB4" w:rsidR="00DF2444">
      <w:pPr>
        <w:widowControl/>
        <w:suppressAutoHyphens w:val="false"/>
        <w:rPr>
          <w:rFonts w:hint="eastAsia"/>
        </w:rPr>
      </w:pPr>
      <w:r>
        <w:rPr>
          <w:rFonts w:cs="Times New Roman" w:eastAsia="Calibri" w:hAnsi="Times New Roman" w:ascii="Times New Roman"/>
          <w:lang w:bidi="ar-SA" w:eastAsia="en-US" w:val="hr-HR"/>
        </w:rPr>
        <w:t>DRAGO BARTOLČIĆ c/a KALIGRAFIJA d.o.o.</w:t>
      </w:r>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t>OPĆINSKI SUD U RIJECI, P-37/2013</w:t>
      </w:r>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t>parnica radi utvrđenja ništetnosti</w:t>
      </w:r>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t>presudom Županijskog suda u Dubrovniku potvrđena usvajajuća prvostupanjska presuda</w:t>
      </w:r>
    </w:p>
    <w:p w:rsidRDefault="00DF2444" w:rsidR="00DF2444">
      <w:pPr>
        <w:widowControl/>
        <w:suppressAutoHyphens w:val="false"/>
        <w:rPr>
          <w:rFonts w:cs="Times New Roman" w:eastAsia="Calibri" w:hAnsi="Times New Roman" w:ascii="Times New Roman"/>
          <w:lang w:bidi="ar-SA" w:eastAsia="en-US" w:val="hr-HR"/>
        </w:rPr>
      </w:pPr>
    </w:p>
    <w:p w:rsidRDefault="00AE6EB4" w:rsidR="00DF2444">
      <w:pPr>
        <w:widowControl/>
        <w:suppressAutoHyphens w:val="false"/>
        <w:rPr>
          <w:rFonts w:hint="eastAsia"/>
        </w:rPr>
      </w:pPr>
      <w:r>
        <w:rPr>
          <w:rFonts w:cs="Times New Roman" w:eastAsia="Calibri" w:hAnsi="Times New Roman" w:ascii="Times New Roman"/>
          <w:lang w:bidi="ar-SA" w:eastAsia="en-US" w:val="hr-HR"/>
        </w:rPr>
        <w:t>MILENA RADIČANIN c/a KALIGRAFIJA d.o.o.</w:t>
      </w:r>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t>OPĆINSKI SUD U SISKU, P-895/11</w:t>
      </w:r>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t>parnica radi poništaja ugovora</w:t>
      </w:r>
      <w:r>
        <w:rPr>
          <w:rFonts w:cs="Times New Roman" w:eastAsia="Calibri" w:hAnsi="Times New Roman" w:ascii="Times New Roman"/>
          <w:lang w:bidi="ar-SA" w:eastAsia="en-US" w:val="hr-HR"/>
        </w:rPr>
        <w:tab/>
        <w:t>postupak prekinut do pravomoćnog okončanja kaznenog postupka KOV-US 3/14 kod Županijskog suda u Zagrebu</w:t>
      </w:r>
    </w:p>
    <w:p w:rsidRDefault="00DF2444" w:rsidR="00DF2444">
      <w:pPr>
        <w:widowControl/>
        <w:suppressAutoHyphens w:val="false"/>
        <w:rPr>
          <w:rFonts w:cs="Times New Roman" w:eastAsia="Calibri" w:hAnsi="Times New Roman" w:ascii="Times New Roman"/>
          <w:lang w:bidi="ar-SA" w:eastAsia="en-US" w:val="hr-HR"/>
        </w:rPr>
      </w:pPr>
    </w:p>
    <w:p w:rsidRDefault="00AE6EB4" w:rsidR="00DF2444">
      <w:pPr>
        <w:widowControl/>
        <w:suppressAutoHyphens w:val="false"/>
        <w:rPr>
          <w:rFonts w:hint="eastAsia"/>
        </w:rPr>
      </w:pPr>
      <w:r>
        <w:rPr>
          <w:rFonts w:cs="Times New Roman" w:eastAsia="Calibri" w:hAnsi="Times New Roman" w:ascii="Times New Roman"/>
          <w:lang w:bidi="ar-SA" w:eastAsia="en-US" w:val="hr-HR"/>
        </w:rPr>
        <w:t>DUŠAN VIDOVIĆ c/a KALIGRAFIJA d.o.o.</w:t>
      </w:r>
    </w:p>
    <w:p w:rsidRDefault="00AE6EB4" w:rsidR="00DF2444">
      <w:pPr>
        <w:widowControl/>
        <w:suppressAutoHyphens w:val="false"/>
        <w:rPr>
          <w:rFonts w:hint="eastAsia"/>
        </w:rPr>
      </w:pPr>
      <w:r>
        <w:rPr>
          <w:rFonts w:cs="Times New Roman" w:eastAsia="Calibri" w:hAnsi="Times New Roman" w:ascii="Times New Roman"/>
          <w:lang w:bidi="ar-SA" w:eastAsia="en-US" w:val="hr-HR"/>
        </w:rPr>
        <w:t>OPĆINSKI GRAĐANSKI SUD U ZAGREBU, P-5395/13</w:t>
      </w:r>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t>parnica radi utvrđenja ništetnosti</w:t>
      </w:r>
    </w:p>
    <w:p w:rsidRDefault="00AE6EB4" w:rsidR="00DF2444">
      <w:pPr>
        <w:widowControl/>
        <w:suppressAutoHyphens w:val="false"/>
        <w:rPr>
          <w:rFonts w:hint="eastAsia"/>
        </w:rPr>
      </w:pPr>
      <w:r>
        <w:rPr>
          <w:rFonts w:cs="Times New Roman" w:eastAsia="Calibri" w:hAnsi="Times New Roman" w:ascii="Times New Roman"/>
          <w:lang w:bidi="ar-SA" w:eastAsia="en-US" w:val="hr-HR"/>
        </w:rPr>
        <w:t>usvojena tužba, izjavljena žalba na presudu, žalbeni postupak u tijeku</w:t>
      </w:r>
    </w:p>
    <w:p w:rsidRDefault="00DF2444" w:rsidR="00DF2444">
      <w:pPr>
        <w:widowControl/>
        <w:suppressAutoHyphens w:val="false"/>
        <w:rPr>
          <w:rFonts w:cs="Times New Roman" w:eastAsia="Calibri" w:hAnsi="Times New Roman" w:ascii="Times New Roman"/>
          <w:lang w:bidi="ar-SA" w:eastAsia="en-US" w:val="hr-HR"/>
        </w:rPr>
      </w:pPr>
    </w:p>
    <w:p w:rsidRDefault="00AE6EB4" w:rsidR="00DF2444">
      <w:pPr>
        <w:widowControl/>
        <w:suppressAutoHyphens w:val="false"/>
        <w:rPr>
          <w:rFonts w:hint="eastAsia"/>
        </w:rPr>
      </w:pPr>
      <w:r>
        <w:rPr>
          <w:rFonts w:cs="Times New Roman" w:eastAsia="Calibri" w:hAnsi="Times New Roman" w:ascii="Times New Roman"/>
          <w:lang w:bidi="ar-SA" w:eastAsia="en-US" w:val="hr-HR"/>
        </w:rPr>
        <w:t>NIKOLA MATAGIĆ c/a KALIGRAFIJA d.o.o.</w:t>
      </w:r>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t>OPĆINSKI SUD U SISKU</w:t>
      </w:r>
      <w:r>
        <w:rPr>
          <w:rFonts w:cs="Times New Roman" w:eastAsia="Calibri" w:hAnsi="Times New Roman" w:ascii="Times New Roman"/>
          <w:lang w:bidi="ar-SA" w:eastAsia="en-US" w:val="hr-HR"/>
        </w:rPr>
        <w:tab/>
        <w:t>P-528/17</w:t>
      </w:r>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t>parnica radi utvrđenja ništetnosti</w:t>
      </w:r>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t>glavna rasprava u tijeku, nije odlučeno o prekidu</w:t>
      </w:r>
    </w:p>
    <w:p w:rsidRDefault="00DF2444" w:rsidR="00DF2444">
      <w:pPr>
        <w:widowControl/>
        <w:suppressAutoHyphens w:val="false"/>
        <w:rPr>
          <w:rFonts w:cs="Times New Roman" w:eastAsia="Calibri" w:hAnsi="Times New Roman" w:ascii="Times New Roman"/>
          <w:lang w:bidi="ar-SA" w:eastAsia="en-US" w:val="hr-HR"/>
        </w:rPr>
      </w:pPr>
    </w:p>
    <w:p w:rsidRDefault="00AE6EB4" w:rsidR="00DF2444">
      <w:pPr>
        <w:widowControl/>
        <w:suppressAutoHyphens w:val="false"/>
        <w:rPr>
          <w:rFonts w:hint="eastAsia"/>
        </w:rPr>
      </w:pPr>
      <w:r>
        <w:rPr>
          <w:rFonts w:cs="Times New Roman" w:eastAsia="Calibri" w:hAnsi="Times New Roman" w:ascii="Times New Roman"/>
          <w:lang w:bidi="ar-SA" w:eastAsia="en-US" w:val="hr-HR"/>
        </w:rPr>
        <w:t>MARINKO BENCUN c/a KALIGRAFIJA d.o.o.</w:t>
      </w:r>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t>OPĆINSKI GRAĐANSKI SUD U ZAGREBU</w:t>
      </w:r>
      <w:r>
        <w:rPr>
          <w:rFonts w:cs="Times New Roman" w:eastAsia="Calibri" w:hAnsi="Times New Roman" w:ascii="Times New Roman"/>
          <w:lang w:bidi="ar-SA" w:eastAsia="en-US" w:val="hr-HR"/>
        </w:rPr>
        <w:tab/>
        <w:t>P-7656/15</w:t>
      </w:r>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t>parnica radi utvrđenja ništetnosti</w:t>
      </w:r>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t>postupak prekinut do pravomoćnog okončanja kaznenog postupka K-US-55/14 kod Županijskog suda u Zagrebu</w:t>
      </w:r>
    </w:p>
    <w:p w:rsidRDefault="00DF2444" w:rsidR="00DF2444">
      <w:pPr>
        <w:widowControl/>
        <w:suppressAutoHyphens w:val="false"/>
        <w:rPr>
          <w:rFonts w:cs="Times New Roman" w:eastAsia="Calibri" w:hAnsi="Times New Roman" w:ascii="Times New Roman"/>
          <w:lang w:bidi="ar-SA" w:eastAsia="en-US" w:val="hr-HR"/>
        </w:rPr>
      </w:pPr>
    </w:p>
    <w:p w:rsidRDefault="00AE6EB4" w:rsidR="00DF2444">
      <w:pPr>
        <w:widowControl/>
        <w:suppressAutoHyphens w:val="false"/>
        <w:rPr>
          <w:rFonts w:hint="eastAsia"/>
        </w:rPr>
      </w:pPr>
      <w:r>
        <w:rPr>
          <w:rFonts w:cs="Times New Roman" w:eastAsia="Calibri" w:hAnsi="Times New Roman" w:ascii="Times New Roman"/>
          <w:lang w:bidi="ar-SA" w:eastAsia="en-US" w:val="hr-HR"/>
        </w:rPr>
        <w:lastRenderedPageBreak/>
        <w:t>MARIO HARAPIN, MIRELA HARAPIN c/a KALIGRAFIJA d.o.o.</w:t>
      </w:r>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t>OPĆINSKI GRAĐANSKI SUD U ZAGREBU</w:t>
      </w:r>
      <w:r>
        <w:rPr>
          <w:rFonts w:cs="Times New Roman" w:eastAsia="Calibri" w:hAnsi="Times New Roman" w:ascii="Times New Roman"/>
          <w:lang w:bidi="ar-SA" w:eastAsia="en-US" w:val="hr-HR"/>
        </w:rPr>
        <w:tab/>
        <w:t>P-4341/2012</w:t>
      </w:r>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t>parnica radi utvrđenja ništetnosti</w:t>
      </w:r>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t>usvojena tužba, potvrđena prvostupanjska presuda, izjavljena revizija</w:t>
      </w:r>
    </w:p>
    <w:p w:rsidRDefault="00DF2444" w:rsidR="00DF2444">
      <w:pPr>
        <w:widowControl/>
        <w:suppressAutoHyphens w:val="false"/>
        <w:rPr>
          <w:rFonts w:cs="Times New Roman" w:eastAsia="Calibri" w:hAnsi="Times New Roman" w:ascii="Times New Roman"/>
          <w:lang w:bidi="ar-SA" w:eastAsia="en-US" w:val="hr-HR"/>
        </w:rPr>
      </w:pPr>
    </w:p>
    <w:p w:rsidRDefault="00AE6EB4" w:rsidR="00DF2444">
      <w:pPr>
        <w:widowControl/>
        <w:suppressAutoHyphens w:val="false"/>
        <w:rPr>
          <w:rFonts w:hint="eastAsia"/>
        </w:rPr>
      </w:pPr>
      <w:r>
        <w:rPr>
          <w:rFonts w:cs="Times New Roman" w:eastAsia="Calibri" w:hAnsi="Times New Roman" w:ascii="Times New Roman"/>
          <w:lang w:bidi="ar-SA" w:eastAsia="en-US" w:val="hr-HR"/>
        </w:rPr>
        <w:t>MARIO HARAPIN, MIRELA HARAPIN c/a KALIGRAFIJA d.o.o.</w:t>
      </w:r>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t>OPĆINSKI SUD U ZLATARU, Z-10903/18 (Z-2368/19)</w:t>
      </w:r>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t>uspostava ranijeg zk stanja</w:t>
      </w:r>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t>izjavljen prigovor na rješenje o uspostavi ranijeg zk stanja o kojem nije odlučeno</w:t>
      </w:r>
    </w:p>
    <w:p w:rsidRDefault="00DF2444" w:rsidR="00DF2444">
      <w:pPr>
        <w:widowControl/>
        <w:suppressAutoHyphens w:val="false"/>
        <w:rPr>
          <w:rFonts w:cs="Times New Roman" w:eastAsia="Calibri" w:hAnsi="Times New Roman" w:ascii="Times New Roman"/>
          <w:lang w:bidi="ar-SA" w:eastAsia="en-US" w:val="hr-HR"/>
        </w:rPr>
      </w:pPr>
    </w:p>
    <w:p w:rsidRDefault="00AE6EB4" w:rsidR="00DF2444">
      <w:pPr>
        <w:widowControl/>
        <w:suppressAutoHyphens w:val="false"/>
        <w:rPr>
          <w:rFonts w:hint="eastAsia"/>
        </w:rPr>
      </w:pPr>
      <w:r>
        <w:rPr>
          <w:rFonts w:cs="Times New Roman" w:eastAsia="Calibri" w:hAnsi="Times New Roman" w:ascii="Times New Roman"/>
          <w:lang w:bidi="ar-SA" w:eastAsia="en-US" w:val="hr-HR"/>
        </w:rPr>
        <w:t>JOVO VUJANIĆ c/a KALIGRAFIJA d.o.o.</w:t>
      </w:r>
    </w:p>
    <w:p w:rsidRDefault="00AE6EB4" w:rsidR="00DF2444">
      <w:pPr>
        <w:widowControl/>
        <w:suppressAutoHyphens w:val="false"/>
        <w:rPr>
          <w:rFonts w:hint="eastAsia"/>
        </w:rPr>
      </w:pPr>
      <w:r>
        <w:rPr>
          <w:rFonts w:cs="Times New Roman" w:eastAsia="Calibri" w:hAnsi="Times New Roman" w:ascii="Times New Roman"/>
          <w:lang w:bidi="ar-SA" w:eastAsia="en-US" w:val="hr-HR"/>
        </w:rPr>
        <w:t>OPĆINSKI SUD U NOVOM ZAGREBU</w:t>
      </w:r>
      <w:r>
        <w:rPr>
          <w:rFonts w:cs="Times New Roman" w:eastAsia="Calibri" w:hAnsi="Times New Roman" w:ascii="Times New Roman"/>
          <w:lang w:bidi="ar-SA" w:eastAsia="en-US" w:val="hr-HR"/>
        </w:rPr>
        <w:tab/>
        <w:t>P-85/16</w:t>
      </w:r>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t>parnica radi utvrđenaj ništetnosti</w:t>
      </w:r>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t>pravomoćna presuda zbog ogluhe, podnesen prijedlog za ponavljanje postupka koji je odbijen rješenjem od dana 27.08.2018. na koje je izjavljena žalba o kojoj još nije odlučeno</w:t>
      </w:r>
    </w:p>
    <w:p w:rsidRDefault="00DF2444" w:rsidR="00DF2444">
      <w:pPr>
        <w:widowControl/>
        <w:suppressAutoHyphens w:val="false"/>
        <w:rPr>
          <w:rFonts w:cs="Times New Roman" w:eastAsia="Calibri" w:hAnsi="Times New Roman" w:ascii="Times New Roman"/>
          <w:lang w:bidi="ar-SA" w:eastAsia="en-US" w:val="hr-HR"/>
        </w:rPr>
      </w:pPr>
    </w:p>
    <w:p w:rsidRDefault="00AE6EB4" w:rsidR="00DF2444">
      <w:pPr>
        <w:widowControl/>
        <w:suppressAutoHyphens w:val="false"/>
        <w:rPr>
          <w:rFonts w:hint="eastAsia"/>
        </w:rPr>
      </w:pPr>
      <w:r>
        <w:rPr>
          <w:rFonts w:cs="Times New Roman" w:eastAsia="Calibri" w:hAnsi="Times New Roman" w:ascii="Times New Roman"/>
          <w:lang w:bidi="ar-SA" w:eastAsia="en-US" w:val="hr-HR"/>
        </w:rPr>
        <w:t>ZAGREBAČKI HOLDING doo c/a KALIGRAFIJA d.o.o.</w:t>
      </w:r>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t>TRGOVAČKI SUD U ZAGREBU</w:t>
      </w:r>
      <w:r>
        <w:rPr>
          <w:rFonts w:cs="Times New Roman" w:eastAsia="Calibri" w:hAnsi="Times New Roman" w:ascii="Times New Roman"/>
          <w:lang w:bidi="ar-SA" w:eastAsia="en-US" w:val="hr-HR"/>
        </w:rPr>
        <w:tab/>
        <w:t>Povrv-2173/2018</w:t>
      </w:r>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t>isplata</w:t>
      </w:r>
      <w:r>
        <w:rPr>
          <w:rFonts w:cs="Times New Roman" w:eastAsia="Calibri" w:hAnsi="Times New Roman" w:ascii="Times New Roman"/>
          <w:lang w:bidi="ar-SA" w:eastAsia="en-US" w:val="hr-HR"/>
        </w:rPr>
        <w:tab/>
        <w:t>izjavljena žalba na presudu kojom je usvojen tužbeni zahtjev, žalbeni postupak u tijeku</w:t>
      </w:r>
    </w:p>
    <w:p w:rsidRDefault="00DF2444" w:rsidR="00DF2444">
      <w:pPr>
        <w:widowControl/>
        <w:suppressAutoHyphens w:val="false"/>
        <w:rPr>
          <w:rFonts w:cs="Times New Roman" w:eastAsia="Calibri" w:hAnsi="Times New Roman" w:ascii="Times New Roman"/>
          <w:lang w:bidi="ar-SA" w:eastAsia="en-US" w:val="hr-HR"/>
        </w:rPr>
      </w:pPr>
    </w:p>
    <w:p w:rsidRDefault="00AE6EB4" w:rsidR="00DF2444">
      <w:pPr>
        <w:widowControl/>
        <w:suppressAutoHyphens w:val="false"/>
        <w:rPr>
          <w:rFonts w:hint="eastAsia"/>
        </w:rPr>
      </w:pPr>
      <w:r>
        <w:rPr>
          <w:rFonts w:cs="Times New Roman" w:eastAsia="Calibri" w:hAnsi="Times New Roman" w:ascii="Times New Roman"/>
          <w:lang w:bidi="ar-SA" w:eastAsia="en-US" w:val="hr-HR"/>
        </w:rPr>
        <w:t xml:space="preserve">MIRJANA, ŽELJKO, DOMINIK NOVOSELAC </w:t>
      </w:r>
      <w:bookmarkStart w:name="_Hlk11572562" w:id="5"/>
      <w:r>
        <w:rPr>
          <w:rFonts w:cs="Times New Roman" w:eastAsia="Calibri" w:hAnsi="Times New Roman" w:ascii="Times New Roman"/>
          <w:lang w:bidi="ar-SA" w:eastAsia="en-US" w:val="hr-HR"/>
        </w:rPr>
        <w:t>c/a KALIGRAFIJA d.o.o.</w:t>
      </w:r>
      <w:bookmarkEnd w:id="5"/>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t>OPĆINSKI GRAĐANSKI SUD U ZAGREBU</w:t>
      </w:r>
      <w:r>
        <w:rPr>
          <w:rFonts w:cs="Times New Roman" w:eastAsia="Calibri" w:hAnsi="Times New Roman" w:ascii="Times New Roman"/>
          <w:lang w:bidi="ar-SA" w:eastAsia="en-US" w:val="hr-HR"/>
        </w:rPr>
        <w:tab/>
        <w:t>P-3436/16</w:t>
      </w:r>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t>parnica radi utvrđenja ništetnosti</w:t>
      </w:r>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t>glavna rasprava u tijeku, postupak prekinut zbog stečaja</w:t>
      </w:r>
    </w:p>
    <w:p w:rsidRDefault="00DF2444" w:rsidR="00DF2444">
      <w:pPr>
        <w:widowControl/>
        <w:suppressAutoHyphens w:val="false"/>
        <w:rPr>
          <w:rFonts w:cs="Times New Roman" w:eastAsia="Calibri" w:hAnsi="Times New Roman" w:ascii="Times New Roman"/>
          <w:lang w:bidi="ar-SA" w:eastAsia="en-US" w:val="hr-HR"/>
        </w:rPr>
      </w:pPr>
    </w:p>
    <w:p w:rsidRDefault="00AE6EB4" w:rsidR="00DF2444">
      <w:pPr>
        <w:widowControl/>
        <w:suppressAutoHyphens w:val="false"/>
        <w:rPr>
          <w:rFonts w:hint="eastAsia"/>
        </w:rPr>
      </w:pPr>
      <w:r>
        <w:rPr>
          <w:rFonts w:cs="Times New Roman" w:eastAsia="Calibri" w:hAnsi="Times New Roman" w:ascii="Times New Roman"/>
          <w:lang w:bidi="ar-SA" w:eastAsia="en-US" w:val="hr-HR"/>
        </w:rPr>
        <w:t>MARICA VIDOŠ c/a KALIGRAFIJA d.o.o.</w:t>
      </w:r>
    </w:p>
    <w:p w:rsidRDefault="00AE6EB4" w:rsidR="00DF2444">
      <w:pPr>
        <w:widowControl/>
        <w:suppressAutoHyphens w:val="false"/>
        <w:rPr>
          <w:rFonts w:hint="eastAsia"/>
        </w:rPr>
      </w:pPr>
      <w:r>
        <w:rPr>
          <w:rFonts w:cs="Times New Roman" w:eastAsia="Calibri" w:hAnsi="Times New Roman" w:ascii="Times New Roman"/>
          <w:lang w:bidi="ar-SA" w:eastAsia="en-US" w:val="hr-HR"/>
        </w:rPr>
        <w:t>OPĆINSKI GRAĐANSKI SUD U ZAGREBU</w:t>
      </w:r>
      <w:r>
        <w:rPr>
          <w:rFonts w:cs="Times New Roman" w:eastAsia="Calibri" w:hAnsi="Times New Roman" w:ascii="Times New Roman"/>
          <w:lang w:bidi="ar-SA" w:eastAsia="en-US" w:val="hr-HR"/>
        </w:rPr>
        <w:tab/>
        <w:t>P-1150/2018</w:t>
      </w:r>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t>parnica radi utvrđenja ništetnosti</w:t>
      </w:r>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t>glavna rasprava, postupak prekinut zbog stečaja</w:t>
      </w:r>
    </w:p>
    <w:p w:rsidRDefault="00DF2444" w:rsidR="00DF2444">
      <w:pPr>
        <w:widowControl/>
        <w:suppressAutoHyphens w:val="false"/>
        <w:rPr>
          <w:rFonts w:cs="Times New Roman" w:eastAsia="Calibri" w:hAnsi="Times New Roman" w:ascii="Times New Roman"/>
          <w:lang w:bidi="ar-SA" w:eastAsia="en-US" w:val="hr-HR"/>
        </w:rPr>
      </w:pPr>
    </w:p>
    <w:p w:rsidRDefault="00AE6EB4" w:rsidR="00DF2444">
      <w:pPr>
        <w:widowControl/>
        <w:suppressAutoHyphens w:val="false"/>
        <w:rPr>
          <w:rFonts w:hint="eastAsia"/>
        </w:rPr>
      </w:pPr>
      <w:r>
        <w:rPr>
          <w:rFonts w:cs="Times New Roman" w:eastAsia="Calibri" w:hAnsi="Times New Roman" w:ascii="Times New Roman"/>
          <w:lang w:bidi="ar-SA" w:eastAsia="en-US" w:val="hr-HR"/>
        </w:rPr>
        <w:t>BOŽIDAR KOMORSKI c/a KALIGRAFIJA d.o.o.</w:t>
      </w:r>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t>OPĆINSKI GRAĐANSKI SUD U ZAGREBU</w:t>
      </w:r>
      <w:r>
        <w:rPr>
          <w:rFonts w:cs="Times New Roman" w:eastAsia="Calibri" w:hAnsi="Times New Roman" w:ascii="Times New Roman"/>
          <w:lang w:bidi="ar-SA" w:eastAsia="en-US" w:val="hr-HR"/>
        </w:rPr>
        <w:tab/>
        <w:t>P-379/14</w:t>
      </w:r>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t>parnica radi utvrđenja ništetnosti</w:t>
      </w:r>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t>usvojena tužba, izjavljena žalba na presudu, žalbeni postupak u tijeku</w:t>
      </w:r>
    </w:p>
    <w:p w:rsidRDefault="00DF2444" w:rsidR="00DF2444">
      <w:pPr>
        <w:widowControl/>
        <w:suppressAutoHyphens w:val="false"/>
        <w:rPr>
          <w:rFonts w:cs="Times New Roman" w:eastAsia="Calibri" w:hAnsi="Times New Roman" w:ascii="Times New Roman"/>
          <w:lang w:bidi="ar-SA" w:eastAsia="en-US" w:val="hr-HR"/>
        </w:rPr>
      </w:pPr>
    </w:p>
    <w:p w:rsidRDefault="00AE6EB4" w:rsidR="00DF2444">
      <w:pPr>
        <w:widowControl/>
        <w:suppressAutoHyphens w:val="false"/>
        <w:rPr>
          <w:rFonts w:hint="eastAsia"/>
        </w:rPr>
      </w:pPr>
      <w:r>
        <w:rPr>
          <w:rFonts w:cs="Times New Roman" w:eastAsia="Calibri" w:hAnsi="Times New Roman" w:ascii="Times New Roman"/>
          <w:lang w:bidi="ar-SA" w:eastAsia="en-US" w:val="hr-HR"/>
        </w:rPr>
        <w:t>DRAGUTIN MAJDAK c/a KALIGRAFIJA d.o.o.</w:t>
      </w:r>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t>OPĆINSKI SUD U VELIKOJ GORICI</w:t>
      </w:r>
      <w:r>
        <w:rPr>
          <w:rFonts w:cs="Times New Roman" w:eastAsia="Calibri" w:hAnsi="Times New Roman" w:ascii="Times New Roman"/>
          <w:lang w:bidi="ar-SA" w:eastAsia="en-US" w:val="hr-HR"/>
        </w:rPr>
        <w:tab/>
        <w:t>P-564/14</w:t>
      </w:r>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t>parnica radi utvrđenja ništetnosti</w:t>
      </w:r>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t>odbijen tužbeni zahtjev, izjavljena žalba na presudu, žalbeni postupak u tijeku</w:t>
      </w:r>
    </w:p>
    <w:p w:rsidRDefault="00DF2444" w:rsidR="00DF2444">
      <w:pPr>
        <w:widowControl/>
        <w:suppressAutoHyphens w:val="false"/>
        <w:rPr>
          <w:rFonts w:cs="Times New Roman" w:eastAsia="Calibri" w:hAnsi="Times New Roman" w:ascii="Times New Roman"/>
          <w:lang w:bidi="ar-SA" w:eastAsia="en-US" w:val="hr-HR"/>
        </w:rPr>
      </w:pPr>
    </w:p>
    <w:p w:rsidRDefault="00AE6EB4" w:rsidR="00DF2444">
      <w:pPr>
        <w:widowControl/>
        <w:suppressAutoHyphens w:val="false"/>
        <w:rPr>
          <w:rFonts w:hint="eastAsia"/>
        </w:rPr>
      </w:pPr>
      <w:r>
        <w:rPr>
          <w:rFonts w:cs="Times New Roman" w:eastAsia="Calibri" w:hAnsi="Times New Roman" w:ascii="Times New Roman"/>
          <w:lang w:bidi="ar-SA" w:eastAsia="en-US" w:val="hr-HR"/>
        </w:rPr>
        <w:t>SELENA UROIĆ c/a KALIGRAFIJA d.o.o.</w:t>
      </w:r>
    </w:p>
    <w:p w:rsidRDefault="00AE6EB4" w:rsidR="00DF2444">
      <w:pPr>
        <w:widowControl/>
        <w:suppressAutoHyphens w:val="false"/>
        <w:rPr>
          <w:rFonts w:hint="eastAsia"/>
        </w:rPr>
      </w:pPr>
      <w:r>
        <w:rPr>
          <w:rFonts w:cs="Times New Roman" w:eastAsia="Calibri" w:hAnsi="Times New Roman" w:ascii="Times New Roman"/>
          <w:lang w:bidi="ar-SA" w:eastAsia="en-US" w:val="hr-HR"/>
        </w:rPr>
        <w:t>OPĆINSKI GRAĐANSKI SUD U ZAGREBU</w:t>
      </w:r>
      <w:r>
        <w:rPr>
          <w:rFonts w:cs="Times New Roman" w:eastAsia="Calibri" w:hAnsi="Times New Roman" w:ascii="Times New Roman"/>
          <w:lang w:bidi="ar-SA" w:eastAsia="en-US" w:val="hr-HR"/>
        </w:rPr>
        <w:tab/>
        <w:t>P-781/11</w:t>
      </w:r>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t>parnica radi utvrđenja ništetnosti</w:t>
      </w:r>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t>glavna rasprava, postupak prekinut zbog stečaja</w:t>
      </w:r>
    </w:p>
    <w:p w:rsidRDefault="00AE6EB4" w:rsidR="00DF2444">
      <w:pPr>
        <w:widowControl/>
        <w:suppressAutoHyphens w:val="false"/>
        <w:rPr>
          <w:rFonts w:hint="eastAsia"/>
        </w:rPr>
      </w:pPr>
      <w:r>
        <w:rPr>
          <w:rFonts w:cs="Times New Roman" w:eastAsia="Calibri" w:hAnsi="Times New Roman" w:ascii="Times New Roman"/>
          <w:lang w:bidi="ar-SA" w:eastAsia="en-US" w:val="hr-HR"/>
        </w:rPr>
        <w:t>ASIM HASKIĆ c/a KALIGRAFIJA d.o.o.</w:t>
      </w:r>
    </w:p>
    <w:p w:rsidRDefault="00AE6EB4" w:rsidR="00DF2444">
      <w:pPr>
        <w:widowControl/>
        <w:suppressAutoHyphens w:val="false"/>
        <w:rPr>
          <w:rFonts w:hint="eastAsia"/>
        </w:rPr>
      </w:pPr>
      <w:r>
        <w:rPr>
          <w:rFonts w:cs="Times New Roman" w:eastAsia="Calibri" w:hAnsi="Times New Roman" w:ascii="Times New Roman"/>
          <w:lang w:bidi="ar-SA" w:eastAsia="en-US" w:val="hr-HR"/>
        </w:rPr>
        <w:lastRenderedPageBreak/>
        <w:t>OPĆINSKI SUD U SISKU</w:t>
      </w:r>
      <w:r>
        <w:rPr>
          <w:rFonts w:cs="Times New Roman" w:eastAsia="Calibri" w:hAnsi="Times New Roman" w:ascii="Times New Roman"/>
          <w:lang w:bidi="ar-SA" w:eastAsia="en-US" w:val="hr-HR"/>
        </w:rPr>
        <w:tab/>
        <w:t>P-202/2018</w:t>
      </w:r>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t>parnica radi utvrđenja ništetnosti</w:t>
      </w:r>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t>glavna rasprava, još nije odlučeno o prekidu</w:t>
      </w:r>
    </w:p>
    <w:p w:rsidRDefault="00DF2444" w:rsidR="00DF2444">
      <w:pPr>
        <w:widowControl/>
        <w:suppressAutoHyphens w:val="false"/>
        <w:rPr>
          <w:rFonts w:cs="Times New Roman" w:eastAsia="Calibri" w:hAnsi="Times New Roman" w:ascii="Times New Roman"/>
          <w:lang w:bidi="ar-SA" w:eastAsia="en-US" w:val="hr-HR"/>
        </w:rPr>
      </w:pPr>
    </w:p>
    <w:p w:rsidRDefault="00AE6EB4" w:rsidR="00DF2444">
      <w:pPr>
        <w:widowControl/>
        <w:suppressAutoHyphens w:val="false"/>
        <w:rPr>
          <w:rFonts w:hint="eastAsia"/>
        </w:rPr>
      </w:pPr>
      <w:r>
        <w:rPr>
          <w:rFonts w:cs="Times New Roman" w:eastAsia="Calibri" w:hAnsi="Times New Roman" w:ascii="Times New Roman"/>
          <w:lang w:bidi="ar-SA" w:eastAsia="en-US" w:val="hr-HR"/>
        </w:rPr>
        <w:t>NEVENKA TKALČIĆ c/a KALIGRAFIJA d.o.o.</w:t>
      </w:r>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t>OPĆINSKI GRAĐANSKI SUD U ZAGREBU</w:t>
      </w:r>
      <w:r>
        <w:rPr>
          <w:rFonts w:cs="Times New Roman" w:eastAsia="Calibri" w:hAnsi="Times New Roman" w:ascii="Times New Roman"/>
          <w:lang w:bidi="ar-SA" w:eastAsia="en-US" w:val="hr-HR"/>
        </w:rPr>
        <w:tab/>
        <w:t>P-1991/2018</w:t>
      </w:r>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t>parnica radi utvrđenja ništetnosti</w:t>
      </w:r>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t>glavna rasprava, još nije odlučeno o prekidu</w:t>
      </w:r>
    </w:p>
    <w:p w:rsidRDefault="00DF2444" w:rsidR="00DF2444">
      <w:pPr>
        <w:widowControl/>
        <w:suppressAutoHyphens w:val="false"/>
        <w:rPr>
          <w:rFonts w:cs="Times New Roman" w:eastAsia="Calibri" w:hAnsi="Times New Roman" w:ascii="Times New Roman"/>
          <w:lang w:bidi="ar-SA" w:eastAsia="en-US" w:val="hr-HR"/>
        </w:rPr>
      </w:pPr>
    </w:p>
    <w:p w:rsidRDefault="00AE6EB4" w:rsidR="00DF2444">
      <w:pPr>
        <w:widowControl/>
        <w:suppressAutoHyphens w:val="false"/>
        <w:rPr>
          <w:rFonts w:hint="eastAsia"/>
        </w:rPr>
      </w:pPr>
      <w:r>
        <w:rPr>
          <w:rFonts w:cs="Times New Roman" w:eastAsia="Calibri" w:hAnsi="Times New Roman" w:ascii="Times New Roman"/>
          <w:lang w:bidi="ar-SA" w:eastAsia="en-US" w:val="hr-HR"/>
        </w:rPr>
        <w:t>DRAGICA, DAVOR, ZLATICA ŠIKORONJA c/a KALIGRAFIJA d.o.o.</w:t>
      </w:r>
    </w:p>
    <w:p w:rsidRDefault="00AE6EB4" w:rsidR="00DF2444">
      <w:pPr>
        <w:widowControl/>
        <w:suppressAutoHyphens w:val="false"/>
        <w:rPr>
          <w:rFonts w:hint="eastAsia"/>
        </w:rPr>
      </w:pPr>
      <w:r>
        <w:rPr>
          <w:rFonts w:cs="Times New Roman" w:eastAsia="Calibri" w:hAnsi="Times New Roman" w:ascii="Times New Roman"/>
          <w:lang w:bidi="ar-SA" w:eastAsia="en-US" w:val="hr-HR"/>
        </w:rPr>
        <w:t>OPĆINSKI SUD U ZABOKU, P-532/15</w:t>
      </w:r>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t>parnica radi utvrđenja ništetnosti</w:t>
      </w:r>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t>usvojena tužba, izjavljena žalba na presudu, žalbeni postupak u tijeku</w:t>
      </w:r>
    </w:p>
    <w:p w:rsidRDefault="00DF2444" w:rsidR="00DF2444">
      <w:pPr>
        <w:widowControl/>
        <w:suppressAutoHyphens w:val="false"/>
        <w:rPr>
          <w:rFonts w:cs="Times New Roman" w:eastAsia="Calibri" w:hAnsi="Times New Roman" w:ascii="Times New Roman"/>
          <w:lang w:bidi="ar-SA" w:eastAsia="en-US" w:val="hr-HR"/>
        </w:rPr>
      </w:pPr>
    </w:p>
    <w:p w:rsidRDefault="00AE6EB4" w:rsidR="00DF2444">
      <w:pPr>
        <w:widowControl/>
        <w:suppressAutoHyphens w:val="false"/>
        <w:rPr>
          <w:rFonts w:hint="eastAsia"/>
        </w:rPr>
      </w:pPr>
      <w:r>
        <w:rPr>
          <w:rFonts w:cs="Times New Roman" w:eastAsia="Calibri" w:hAnsi="Times New Roman" w:ascii="Times New Roman"/>
          <w:lang w:bidi="ar-SA" w:eastAsia="en-US" w:val="hr-HR"/>
        </w:rPr>
        <w:t xml:space="preserve">MILUTIN, RADOJKA, GORAN CETUŠIĆ, GORANKA BARJAKTAREVIĆ c/a </w:t>
      </w:r>
      <w:bookmarkStart w:name="_Hlk11572674" w:id="6"/>
      <w:r>
        <w:rPr>
          <w:rFonts w:cs="Times New Roman" w:eastAsia="Calibri" w:hAnsi="Times New Roman" w:ascii="Times New Roman"/>
          <w:lang w:bidi="ar-SA" w:eastAsia="en-US" w:val="hr-HR"/>
        </w:rPr>
        <w:t>KALIGRAFIJA d.o.o.</w:t>
      </w:r>
      <w:bookmarkEnd w:id="6"/>
    </w:p>
    <w:p w:rsidRDefault="00AE6EB4" w:rsidR="00DF2444">
      <w:pPr>
        <w:widowControl/>
        <w:suppressAutoHyphens w:val="false"/>
        <w:rPr>
          <w:rFonts w:hint="eastAsia"/>
        </w:rPr>
      </w:pPr>
      <w:r>
        <w:rPr>
          <w:rFonts w:cs="Times New Roman" w:eastAsia="Calibri" w:hAnsi="Times New Roman" w:ascii="Times New Roman"/>
          <w:lang w:bidi="ar-SA" w:eastAsia="en-US" w:val="hr-HR"/>
        </w:rPr>
        <w:t>OPĆINSKI GRAĐANSKI SUD U ZAGREBU</w:t>
      </w:r>
      <w:r>
        <w:rPr>
          <w:rFonts w:cs="Times New Roman" w:eastAsia="Calibri" w:hAnsi="Times New Roman" w:ascii="Times New Roman"/>
          <w:lang w:bidi="ar-SA" w:eastAsia="en-US" w:val="hr-HR"/>
        </w:rPr>
        <w:tab/>
        <w:t>P-1378/2018</w:t>
      </w:r>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t>parnica radi utvrđenja ništetnosti</w:t>
      </w:r>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t>usvojena tužba, izjavljena žalba na presudu, žalbeni postupak u tijeku</w:t>
      </w:r>
    </w:p>
    <w:p w:rsidRDefault="00DF2444" w:rsidR="00DF2444">
      <w:pPr>
        <w:widowControl/>
        <w:suppressAutoHyphens w:val="false"/>
        <w:rPr>
          <w:rFonts w:cs="Times New Roman" w:eastAsia="Calibri" w:hAnsi="Times New Roman" w:ascii="Times New Roman"/>
          <w:lang w:bidi="ar-SA" w:eastAsia="en-US" w:val="hr-HR"/>
        </w:rPr>
      </w:pPr>
    </w:p>
    <w:p w:rsidRDefault="00AE6EB4" w:rsidR="00DF2444">
      <w:pPr>
        <w:widowControl/>
        <w:suppressAutoHyphens w:val="false"/>
        <w:rPr>
          <w:rFonts w:hint="eastAsia"/>
        </w:rPr>
      </w:pPr>
      <w:r>
        <w:rPr>
          <w:rFonts w:cs="Times New Roman" w:eastAsia="Calibri" w:hAnsi="Times New Roman" w:ascii="Times New Roman"/>
          <w:lang w:bidi="ar-SA" w:eastAsia="en-US" w:val="hr-HR"/>
        </w:rPr>
        <w:t xml:space="preserve">NINA BERIĆ </w:t>
      </w:r>
      <w:bookmarkStart w:name="_Hlk11572712" w:id="7"/>
      <w:r>
        <w:rPr>
          <w:rFonts w:cs="Times New Roman" w:eastAsia="Calibri" w:hAnsi="Times New Roman" w:ascii="Times New Roman"/>
          <w:lang w:bidi="ar-SA" w:eastAsia="en-US" w:val="hr-HR"/>
        </w:rPr>
        <w:t>c/a KALIGRAFIJA d.o.o.</w:t>
      </w:r>
      <w:bookmarkEnd w:id="7"/>
    </w:p>
    <w:p w:rsidRDefault="00AE6EB4" w:rsidR="00DF2444">
      <w:pPr>
        <w:widowControl/>
        <w:suppressAutoHyphens w:val="false"/>
        <w:rPr>
          <w:rFonts w:hint="eastAsia"/>
        </w:rPr>
      </w:pPr>
      <w:r>
        <w:rPr>
          <w:rFonts w:cs="Times New Roman" w:eastAsia="Calibri" w:hAnsi="Times New Roman" w:ascii="Times New Roman"/>
          <w:lang w:bidi="ar-SA" w:eastAsia="en-US" w:val="hr-HR"/>
        </w:rPr>
        <w:t>OPĆINSKI GRAĐANSKI SUD U ZAGREBU</w:t>
      </w:r>
      <w:r>
        <w:rPr>
          <w:rFonts w:cs="Times New Roman" w:eastAsia="Calibri" w:hAnsi="Times New Roman" w:ascii="Times New Roman"/>
          <w:lang w:bidi="ar-SA" w:eastAsia="en-US" w:val="hr-HR"/>
        </w:rPr>
        <w:tab/>
        <w:t>P-5160/14</w:t>
      </w:r>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t>parnica radi utvrđenja ništetnosti</w:t>
      </w:r>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t xml:space="preserve">prethodni postupak u tijeku, još nije odlučeno o prekidu </w:t>
      </w:r>
    </w:p>
    <w:p w:rsidRDefault="00DF2444" w:rsidR="00DF2444">
      <w:pPr>
        <w:widowControl/>
        <w:suppressAutoHyphens w:val="false"/>
        <w:rPr>
          <w:rFonts w:cs="Times New Roman" w:eastAsia="Calibri" w:hAnsi="Times New Roman" w:ascii="Times New Roman"/>
          <w:lang w:bidi="ar-SA" w:eastAsia="en-US" w:val="hr-HR"/>
        </w:rPr>
      </w:pPr>
    </w:p>
    <w:p w:rsidRDefault="00AE6EB4" w:rsidR="00DF2444">
      <w:pPr>
        <w:widowControl/>
        <w:suppressAutoHyphens w:val="false"/>
        <w:rPr>
          <w:rFonts w:hint="eastAsia"/>
        </w:rPr>
      </w:pPr>
      <w:r>
        <w:rPr>
          <w:rFonts w:cs="Times New Roman" w:eastAsia="Calibri" w:hAnsi="Times New Roman" w:ascii="Times New Roman"/>
          <w:lang w:bidi="ar-SA" w:eastAsia="en-US" w:val="hr-HR"/>
        </w:rPr>
        <w:t>NINA BERIĆ c/a KALIGRAFIJA d.o.o.</w:t>
      </w:r>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t>OPĆINSKI GRAĐANSKI SUD U ZAGREBU</w:t>
      </w:r>
      <w:r>
        <w:rPr>
          <w:rFonts w:cs="Times New Roman" w:eastAsia="Calibri" w:hAnsi="Times New Roman" w:ascii="Times New Roman"/>
          <w:lang w:bidi="ar-SA" w:eastAsia="en-US" w:val="hr-HR"/>
        </w:rPr>
        <w:tab/>
        <w:t>P-434/13</w:t>
      </w:r>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t>parnica radi utvrđenja ništetnosti</w:t>
      </w:r>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t>glavna rasprava, postupak prekinut zbog stečaja</w:t>
      </w:r>
    </w:p>
    <w:p w:rsidRDefault="00DF2444" w:rsidR="00DF2444">
      <w:pPr>
        <w:widowControl/>
        <w:suppressAutoHyphens w:val="false"/>
        <w:rPr>
          <w:rFonts w:cs="Times New Roman" w:eastAsia="Calibri" w:hAnsi="Times New Roman" w:ascii="Times New Roman"/>
          <w:lang w:bidi="ar-SA" w:eastAsia="en-US" w:val="hr-HR"/>
        </w:rPr>
      </w:pPr>
    </w:p>
    <w:p w:rsidRDefault="00AE6EB4" w:rsidR="00DF2444">
      <w:pPr>
        <w:widowControl/>
        <w:suppressAutoHyphens w:val="false"/>
        <w:rPr>
          <w:rFonts w:hint="eastAsia"/>
        </w:rPr>
      </w:pPr>
      <w:r>
        <w:rPr>
          <w:rFonts w:cs="Times New Roman" w:eastAsia="Calibri" w:hAnsi="Times New Roman" w:ascii="Times New Roman"/>
          <w:lang w:bidi="ar-SA" w:eastAsia="en-US" w:val="hr-HR"/>
        </w:rPr>
        <w:t>RADIVOJE RADANOVIĆ c/a KALIGRAFIJA d.o.o.</w:t>
      </w:r>
    </w:p>
    <w:p w:rsidRDefault="00AE6EB4" w:rsidR="00DF2444">
      <w:pPr>
        <w:widowControl/>
        <w:suppressAutoHyphens w:val="false"/>
        <w:rPr>
          <w:rFonts w:hint="eastAsia"/>
        </w:rPr>
      </w:pPr>
      <w:r>
        <w:rPr>
          <w:rFonts w:cs="Times New Roman" w:eastAsia="Calibri" w:hAnsi="Times New Roman" w:ascii="Times New Roman"/>
          <w:lang w:bidi="ar-SA" w:eastAsia="en-US" w:val="hr-HR"/>
        </w:rPr>
        <w:t>OPĆINSKI GRAĐANSKI SUD U ZAGREBU</w:t>
      </w:r>
      <w:r>
        <w:rPr>
          <w:rFonts w:cs="Times New Roman" w:eastAsia="Calibri" w:hAnsi="Times New Roman" w:ascii="Times New Roman"/>
          <w:lang w:bidi="ar-SA" w:eastAsia="en-US" w:val="hr-HR"/>
        </w:rPr>
        <w:tab/>
        <w:t>P-4238//17</w:t>
      </w:r>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t>parnica radi utvrđenja ništetnosti</w:t>
      </w:r>
    </w:p>
    <w:p w:rsidRDefault="00AE6EB4" w:rsidR="00DF2444">
      <w:pPr>
        <w:widowControl/>
        <w:suppressAutoHyphens w:val="false"/>
        <w:rPr>
          <w:rFonts w:hint="eastAsia"/>
        </w:rPr>
      </w:pPr>
      <w:r>
        <w:rPr>
          <w:rFonts w:cs="Times New Roman" w:eastAsia="Calibri" w:hAnsi="Times New Roman" w:ascii="Times New Roman"/>
          <w:lang w:bidi="ar-SA" w:eastAsia="en-US" w:val="hr-HR"/>
        </w:rPr>
        <w:t>zaključena glavna rasprava i donesena presuda u korist tužitelja, a</w:t>
      </w:r>
    </w:p>
    <w:p w:rsidRDefault="00AE6EB4" w:rsidR="00DF2444">
      <w:pPr>
        <w:widowControl/>
        <w:suppressAutoHyphens w:val="false"/>
        <w:rPr>
          <w:rFonts w:hint="eastAsia"/>
        </w:rPr>
      </w:pPr>
      <w:r>
        <w:rPr>
          <w:rFonts w:cs="Times New Roman" w:eastAsia="Calibri" w:hAnsi="Times New Roman" w:ascii="Times New Roman"/>
          <w:lang w:bidi="ar-SA" w:eastAsia="en-US" w:val="hr-HR"/>
        </w:rPr>
        <w:t>da prethodno nije odlučeno o prekidu postupka</w:t>
      </w:r>
    </w:p>
    <w:p w:rsidRDefault="00DF2444" w:rsidR="00DF2444">
      <w:pPr>
        <w:widowControl/>
        <w:suppressAutoHyphens w:val="false"/>
        <w:rPr>
          <w:rFonts w:cs="Times New Roman" w:eastAsia="Calibri" w:hAnsi="Times New Roman" w:ascii="Times New Roman"/>
          <w:lang w:bidi="ar-SA" w:eastAsia="en-US" w:val="hr-HR"/>
        </w:rPr>
      </w:pPr>
    </w:p>
    <w:p w:rsidRDefault="00AE6EB4" w:rsidR="00DF2444">
      <w:pPr>
        <w:widowControl/>
        <w:suppressAutoHyphens w:val="false"/>
        <w:rPr>
          <w:rFonts w:hint="eastAsia"/>
        </w:rPr>
      </w:pPr>
      <w:r>
        <w:rPr>
          <w:rFonts w:cs="Times New Roman" w:eastAsia="Calibri" w:hAnsi="Times New Roman" w:ascii="Times New Roman"/>
          <w:lang w:bidi="ar-SA" w:eastAsia="en-US" w:val="hr-HR"/>
        </w:rPr>
        <w:t>GSG GRADSKO STAMBENO GOSPODARSTVO doo c/a KALIGRAFIJA d.o.o.</w:t>
      </w:r>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t>TRGOVAČKI SUD U ZAGREBU</w:t>
      </w:r>
      <w:r>
        <w:rPr>
          <w:rFonts w:cs="Times New Roman" w:eastAsia="Calibri" w:hAnsi="Times New Roman" w:ascii="Times New Roman"/>
          <w:lang w:bidi="ar-SA" w:eastAsia="en-US" w:val="hr-HR"/>
        </w:rPr>
        <w:tab/>
        <w:t>Povrv-1043/2018</w:t>
      </w:r>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t>isplata</w:t>
      </w:r>
      <w:r>
        <w:rPr>
          <w:rFonts w:cs="Times New Roman" w:eastAsia="Calibri" w:hAnsi="Times New Roman" w:ascii="Times New Roman"/>
          <w:lang w:bidi="ar-SA" w:eastAsia="en-US" w:val="hr-HR"/>
        </w:rPr>
        <w:tab/>
        <w:t>usvojena tužba, izjavljena žalba na presudu, žalbeni postupak u tijeku</w:t>
      </w:r>
    </w:p>
    <w:p w:rsidRDefault="00DF2444" w:rsidR="00DF2444">
      <w:pPr>
        <w:widowControl/>
        <w:suppressAutoHyphens w:val="false"/>
        <w:rPr>
          <w:rFonts w:cs="Times New Roman" w:eastAsia="Calibri" w:hAnsi="Times New Roman" w:ascii="Times New Roman"/>
          <w:lang w:bidi="ar-SA" w:eastAsia="en-US" w:val="hr-HR"/>
        </w:rPr>
      </w:pPr>
    </w:p>
    <w:p w:rsidRDefault="00AE6EB4" w:rsidR="00DF2444">
      <w:pPr>
        <w:widowControl/>
        <w:suppressAutoHyphens w:val="false"/>
        <w:rPr>
          <w:rFonts w:hint="eastAsia"/>
        </w:rPr>
      </w:pPr>
      <w:r>
        <w:rPr>
          <w:rFonts w:cs="Times New Roman" w:eastAsia="Calibri" w:hAnsi="Times New Roman" w:ascii="Times New Roman"/>
          <w:lang w:bidi="ar-SA" w:eastAsia="en-US" w:val="hr-HR"/>
        </w:rPr>
        <w:t>DRAGINJA BEGOVIĆ c/a KALIGRAFIJA d.o.o.</w:t>
      </w:r>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t>OPĆINSKI SUD U RIJECI</w:t>
      </w:r>
      <w:r>
        <w:rPr>
          <w:rFonts w:cs="Times New Roman" w:eastAsia="Calibri" w:hAnsi="Times New Roman" w:ascii="Times New Roman"/>
          <w:lang w:bidi="ar-SA" w:eastAsia="en-US" w:val="hr-HR"/>
        </w:rPr>
        <w:tab/>
        <w:t>P-290/2014</w:t>
      </w:r>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t>parnica radi utvrđenja ništetnosti</w:t>
      </w:r>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t>presudom Županijskog suda u Splitu potvrđena usvajajuća presuda, izjavljena revizija o kojoj još nije odlučeno</w:t>
      </w:r>
    </w:p>
    <w:p w:rsidRDefault="00DF2444" w:rsidR="00DF2444">
      <w:pPr>
        <w:widowControl/>
        <w:suppressAutoHyphens w:val="false"/>
        <w:rPr>
          <w:rFonts w:cs="Times New Roman" w:eastAsia="Calibri" w:hAnsi="Times New Roman" w:ascii="Times New Roman"/>
          <w:lang w:bidi="ar-SA" w:eastAsia="en-US" w:val="hr-HR"/>
        </w:rPr>
      </w:pPr>
    </w:p>
    <w:p w:rsidRDefault="00AE6EB4" w:rsidR="00DF2444">
      <w:pPr>
        <w:widowControl/>
        <w:suppressAutoHyphens w:val="false"/>
        <w:rPr>
          <w:rFonts w:hint="eastAsia"/>
        </w:rPr>
      </w:pPr>
      <w:r>
        <w:rPr>
          <w:rFonts w:cs="Times New Roman" w:eastAsia="Calibri" w:hAnsi="Times New Roman" w:ascii="Times New Roman"/>
          <w:lang w:bidi="ar-SA" w:eastAsia="en-US" w:val="hr-HR"/>
        </w:rPr>
        <w:t>SNJEŽANA KUŠIĆ c/a KALIGRAFIJA d.o.o.</w:t>
      </w:r>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t>OPĆINSKI SUD U BJELOVARU</w:t>
      </w:r>
      <w:r>
        <w:rPr>
          <w:rFonts w:cs="Times New Roman" w:eastAsia="Calibri" w:hAnsi="Times New Roman" w:ascii="Times New Roman"/>
          <w:lang w:bidi="ar-SA" w:eastAsia="en-US" w:val="hr-HR"/>
        </w:rPr>
        <w:tab/>
        <w:t>P-50/2018</w:t>
      </w:r>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t>parnica radi utvrđenja ništetnosti</w:t>
      </w:r>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t>glavna rasprava, još nije odlučeno o prekidu</w:t>
      </w:r>
    </w:p>
    <w:p w:rsidRDefault="00DF2444" w:rsidR="00DF2444">
      <w:pPr>
        <w:widowControl/>
        <w:suppressAutoHyphens w:val="false"/>
        <w:rPr>
          <w:rFonts w:cs="Times New Roman" w:eastAsia="Calibri" w:hAnsi="Times New Roman" w:ascii="Times New Roman"/>
          <w:lang w:bidi="ar-SA" w:eastAsia="en-US" w:val="hr-HR"/>
        </w:rPr>
      </w:pPr>
    </w:p>
    <w:p w:rsidRDefault="00AE6EB4" w:rsidR="00DF2444">
      <w:pPr>
        <w:widowControl/>
        <w:suppressAutoHyphens w:val="false"/>
        <w:rPr>
          <w:rFonts w:hint="eastAsia"/>
        </w:rPr>
      </w:pPr>
      <w:r>
        <w:rPr>
          <w:rFonts w:cs="Times New Roman" w:eastAsia="Calibri" w:hAnsi="Times New Roman" w:ascii="Times New Roman"/>
          <w:lang w:bidi="ar-SA" w:eastAsia="en-US" w:val="hr-HR"/>
        </w:rPr>
        <w:t xml:space="preserve">NAZA ARSLANI </w:t>
      </w:r>
      <w:bookmarkStart w:name="_Hlk11572923" w:id="8"/>
      <w:r>
        <w:rPr>
          <w:rFonts w:cs="Times New Roman" w:eastAsia="Calibri" w:hAnsi="Times New Roman" w:ascii="Times New Roman"/>
          <w:lang w:bidi="ar-SA" w:eastAsia="en-US" w:val="hr-HR"/>
        </w:rPr>
        <w:t>c/a KALIGRAFIJA d.o.o.</w:t>
      </w:r>
      <w:bookmarkEnd w:id="8"/>
    </w:p>
    <w:p w:rsidRDefault="00AE6EB4" w:rsidR="00DF2444">
      <w:pPr>
        <w:widowControl/>
        <w:suppressAutoHyphens w:val="false"/>
        <w:rPr>
          <w:rFonts w:hint="eastAsia"/>
        </w:rPr>
      </w:pPr>
      <w:r>
        <w:rPr>
          <w:rFonts w:cs="Times New Roman" w:eastAsia="Calibri" w:hAnsi="Times New Roman" w:ascii="Times New Roman"/>
          <w:lang w:bidi="ar-SA" w:eastAsia="en-US" w:val="hr-HR"/>
        </w:rPr>
        <w:t>OPĆINSKI SUD U RIJECI</w:t>
      </w:r>
      <w:r>
        <w:rPr>
          <w:rFonts w:cs="Times New Roman" w:eastAsia="Calibri" w:hAnsi="Times New Roman" w:ascii="Times New Roman"/>
          <w:lang w:bidi="ar-SA" w:eastAsia="en-US" w:val="hr-HR"/>
        </w:rPr>
        <w:tab/>
        <w:t>P-2159/2012</w:t>
      </w:r>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t>parnica radi utvrđenja ništetnosti</w:t>
      </w:r>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t>presudom Županijskog suda u Rijeci potvrđena prvostupanjska usvajajuća presuda, izjavljena revizija o kojoj nije odlučeno</w:t>
      </w:r>
    </w:p>
    <w:p w:rsidRDefault="00DF2444" w:rsidR="00DF2444">
      <w:pPr>
        <w:widowControl/>
        <w:suppressAutoHyphens w:val="false"/>
        <w:rPr>
          <w:rFonts w:cs="Times New Roman" w:eastAsia="Calibri" w:hAnsi="Times New Roman" w:ascii="Times New Roman"/>
          <w:lang w:bidi="ar-SA" w:eastAsia="en-US" w:val="hr-HR"/>
        </w:rPr>
      </w:pPr>
    </w:p>
    <w:p w:rsidRDefault="00AE6EB4" w:rsidR="00DF2444">
      <w:pPr>
        <w:widowControl/>
        <w:suppressAutoHyphens w:val="false"/>
        <w:rPr>
          <w:rFonts w:hint="eastAsia"/>
        </w:rPr>
      </w:pPr>
      <w:r>
        <w:rPr>
          <w:rFonts w:cs="Times New Roman" w:eastAsia="Calibri" w:hAnsi="Times New Roman" w:ascii="Times New Roman"/>
          <w:lang w:bidi="ar-SA" w:eastAsia="en-US" w:val="hr-HR"/>
        </w:rPr>
        <w:t>LJUBICA PETRAČ c/a KALIGRAFIJA d.o.o.</w:t>
      </w:r>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t>OPĆINSKI SUD U ZABOKU</w:t>
      </w:r>
      <w:r>
        <w:rPr>
          <w:rFonts w:cs="Times New Roman" w:eastAsia="Calibri" w:hAnsi="Times New Roman" w:ascii="Times New Roman"/>
          <w:lang w:bidi="ar-SA" w:eastAsia="en-US" w:val="hr-HR"/>
        </w:rPr>
        <w:tab/>
        <w:t>P-311/2016</w:t>
      </w:r>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t>parnica radi utvrđenja ništetnosti</w:t>
      </w:r>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t>glavna rasprava, još nije odlučeno o prekidu</w:t>
      </w:r>
    </w:p>
    <w:p w:rsidRDefault="00DF2444" w:rsidR="00DF2444">
      <w:pPr>
        <w:widowControl/>
        <w:suppressAutoHyphens w:val="false"/>
        <w:rPr>
          <w:rFonts w:cs="Times New Roman" w:eastAsia="Calibri" w:hAnsi="Times New Roman" w:ascii="Times New Roman"/>
          <w:lang w:bidi="ar-SA" w:eastAsia="en-US" w:val="hr-HR"/>
        </w:rPr>
      </w:pPr>
    </w:p>
    <w:p w:rsidRDefault="00AE6EB4" w:rsidR="00DF2444">
      <w:pPr>
        <w:widowControl/>
        <w:suppressAutoHyphens w:val="false"/>
        <w:rPr>
          <w:rFonts w:hint="eastAsia"/>
        </w:rPr>
      </w:pPr>
      <w:r>
        <w:rPr>
          <w:rFonts w:cs="Times New Roman" w:eastAsia="Calibri" w:hAnsi="Times New Roman" w:ascii="Times New Roman"/>
          <w:lang w:bidi="ar-SA" w:eastAsia="en-US" w:val="hr-HR"/>
        </w:rPr>
        <w:t>NADA KASUN, JASNA MARIĆ c/a KALIGRAFIJA d.o.o.</w:t>
      </w:r>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t>OPĆINSKI GRAĐANSKI SUD U ZAGREB</w:t>
      </w:r>
      <w:r>
        <w:rPr>
          <w:rFonts w:cs="Times New Roman" w:eastAsia="Calibri" w:hAnsi="Times New Roman" w:ascii="Times New Roman"/>
          <w:lang w:bidi="ar-SA" w:eastAsia="en-US" w:val="hr-HR"/>
        </w:rPr>
        <w:tab/>
        <w:t>P-201/12</w:t>
      </w:r>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t>parnica radi utvrđenja ništetnosti</w:t>
      </w:r>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t>glavna rasprava, još nije odlučeno o prekidu</w:t>
      </w:r>
    </w:p>
    <w:p w:rsidRDefault="00DF2444" w:rsidR="00DF2444">
      <w:pPr>
        <w:widowControl/>
        <w:suppressAutoHyphens w:val="false"/>
        <w:rPr>
          <w:rFonts w:cs="Times New Roman" w:eastAsia="Calibri" w:hAnsi="Times New Roman" w:ascii="Times New Roman"/>
          <w:lang w:bidi="ar-SA" w:eastAsia="en-US" w:val="hr-HR"/>
        </w:rPr>
      </w:pPr>
    </w:p>
    <w:p w:rsidRDefault="00AE6EB4" w:rsidR="00DF2444">
      <w:pPr>
        <w:widowControl/>
        <w:suppressAutoHyphens w:val="false"/>
        <w:rPr>
          <w:rFonts w:hint="eastAsia"/>
        </w:rPr>
      </w:pPr>
      <w:r>
        <w:rPr>
          <w:rFonts w:cs="Times New Roman" w:eastAsia="Calibri" w:hAnsi="Times New Roman" w:ascii="Times New Roman"/>
          <w:lang w:bidi="ar-SA" w:eastAsia="en-US" w:val="hr-HR"/>
        </w:rPr>
        <w:t>SNIJEŽANA GAJSKI, MARTINA GAJSKI c/a KALIGRAFIJA d.o.o.</w:t>
      </w:r>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t>OPĆINSKI GRAĐANSKI SUD U ZAGREBU</w:t>
      </w:r>
      <w:r>
        <w:rPr>
          <w:rFonts w:cs="Times New Roman" w:eastAsia="Calibri" w:hAnsi="Times New Roman" w:ascii="Times New Roman"/>
          <w:lang w:bidi="ar-SA" w:eastAsia="en-US" w:val="hr-HR"/>
        </w:rPr>
        <w:tab/>
        <w:t>P-4101/15</w:t>
      </w:r>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t>parnica radi utvrđenja ništetnosti</w:t>
      </w:r>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t>djelomično usvojena tužba, izjavljena žalba na presudu, žalbeni postupak u tijeku</w:t>
      </w:r>
    </w:p>
    <w:p w:rsidRDefault="00DF2444" w:rsidR="00DF2444">
      <w:pPr>
        <w:widowControl/>
        <w:suppressAutoHyphens w:val="false"/>
        <w:rPr>
          <w:rFonts w:cs="Times New Roman" w:eastAsia="Calibri" w:hAnsi="Times New Roman" w:ascii="Times New Roman"/>
          <w:lang w:bidi="ar-SA" w:eastAsia="en-US" w:val="hr-HR"/>
        </w:rPr>
      </w:pPr>
    </w:p>
    <w:p w:rsidRDefault="00AE6EB4" w:rsidR="00DF2444">
      <w:pPr>
        <w:widowControl/>
        <w:suppressAutoHyphens w:val="false"/>
        <w:rPr>
          <w:rFonts w:hint="eastAsia"/>
        </w:rPr>
      </w:pPr>
      <w:r>
        <w:rPr>
          <w:rFonts w:cs="Times New Roman" w:eastAsia="Calibri" w:hAnsi="Times New Roman" w:ascii="Times New Roman"/>
          <w:lang w:bidi="ar-SA" w:eastAsia="en-US" w:val="hr-HR"/>
        </w:rPr>
        <w:t>NADA JAKUŠ, KAROLINA BARŠIĆ c/a KALIGRAFIJA d.o.o.</w:t>
      </w:r>
    </w:p>
    <w:p w:rsidRDefault="00AE6EB4" w:rsidR="00DF2444">
      <w:pPr>
        <w:widowControl/>
        <w:suppressAutoHyphens w:val="false"/>
        <w:rPr>
          <w:rFonts w:hint="eastAsia"/>
        </w:rPr>
      </w:pPr>
      <w:r>
        <w:rPr>
          <w:rFonts w:cs="Times New Roman" w:eastAsia="Calibri" w:hAnsi="Times New Roman" w:ascii="Times New Roman"/>
          <w:lang w:bidi="ar-SA" w:eastAsia="en-US" w:val="hr-HR"/>
        </w:rPr>
        <w:t>OPĆINSKI SUD U RIJECI</w:t>
      </w:r>
      <w:r>
        <w:rPr>
          <w:rFonts w:cs="Times New Roman" w:eastAsia="Calibri" w:hAnsi="Times New Roman" w:ascii="Times New Roman"/>
          <w:lang w:bidi="ar-SA" w:eastAsia="en-US" w:val="hr-HR"/>
        </w:rPr>
        <w:tab/>
        <w:t>P-1765/16</w:t>
      </w:r>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t>parnica radi utvrđenja ništetnosti ugovora</w:t>
      </w:r>
    </w:p>
    <w:p w:rsidRDefault="00AE6EB4" w:rsidR="00DF2444">
      <w:pPr>
        <w:widowControl/>
        <w:suppressAutoHyphens w:val="false"/>
        <w:rPr>
          <w:rFonts w:hint="eastAsia"/>
        </w:rPr>
      </w:pPr>
      <w:r>
        <w:rPr>
          <w:rFonts w:cs="Times New Roman" w:eastAsia="Calibri" w:hAnsi="Times New Roman" w:ascii="Times New Roman"/>
          <w:lang w:bidi="ar-SA" w:eastAsia="en-US" w:val="hr-HR"/>
        </w:rPr>
        <w:t>postupak prekinut zbog stečaja nad MUNDUS MAXIMUS</w:t>
      </w:r>
    </w:p>
    <w:p w:rsidRDefault="00DF2444" w:rsidR="00DF2444">
      <w:pPr>
        <w:widowControl/>
        <w:suppressAutoHyphens w:val="false"/>
        <w:rPr>
          <w:rFonts w:cs="Times New Roman" w:eastAsia="Calibri" w:hAnsi="Times New Roman" w:ascii="Times New Roman"/>
          <w:lang w:bidi="ar-SA" w:eastAsia="en-US" w:val="hr-HR"/>
        </w:rPr>
      </w:pPr>
    </w:p>
    <w:p w:rsidRDefault="00AE6EB4" w:rsidR="00DF2444">
      <w:pPr>
        <w:widowControl/>
        <w:suppressAutoHyphens w:val="false"/>
        <w:rPr>
          <w:rFonts w:hint="eastAsia"/>
        </w:rPr>
      </w:pPr>
      <w:r>
        <w:rPr>
          <w:rFonts w:cs="Times New Roman" w:eastAsia="Calibri" w:hAnsi="Times New Roman" w:ascii="Times New Roman"/>
          <w:lang w:bidi="ar-SA" w:eastAsia="en-US" w:val="hr-HR"/>
        </w:rPr>
        <w:t>NADA JAKUŠ, KAROLINA BARŠIĆ c/a KALIGRAFIJA d.o.o.</w:t>
      </w:r>
    </w:p>
    <w:p w:rsidRDefault="00AE6EB4" w:rsidR="00DF2444">
      <w:pPr>
        <w:widowControl/>
        <w:suppressAutoHyphens w:val="false"/>
        <w:rPr>
          <w:rFonts w:hint="eastAsia"/>
        </w:rPr>
      </w:pPr>
      <w:r>
        <w:rPr>
          <w:rFonts w:cs="Times New Roman" w:eastAsia="Calibri" w:hAnsi="Times New Roman" w:ascii="Times New Roman"/>
          <w:lang w:bidi="ar-SA" w:eastAsia="en-US" w:val="hr-HR"/>
        </w:rPr>
        <w:t>OPĆINSKI SUD U RIJECI</w:t>
      </w:r>
      <w:r>
        <w:rPr>
          <w:rFonts w:cs="Times New Roman" w:eastAsia="Calibri" w:hAnsi="Times New Roman" w:ascii="Times New Roman"/>
          <w:lang w:bidi="ar-SA" w:eastAsia="en-US" w:val="hr-HR"/>
        </w:rPr>
        <w:tab/>
        <w:t>P-1131/18</w:t>
      </w:r>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t>parnica radi utvrđenja ništetnosti zadužnica</w:t>
      </w:r>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t>tužitelj povukao tužbu, čeka se rješenje suda o povlačenju tužbe</w:t>
      </w:r>
    </w:p>
    <w:p w:rsidRDefault="00DF2444" w:rsidR="00DF2444">
      <w:pPr>
        <w:widowControl/>
        <w:suppressAutoHyphens w:val="false"/>
        <w:rPr>
          <w:rFonts w:cs="Times New Roman" w:eastAsia="Calibri" w:hAnsi="Times New Roman" w:ascii="Times New Roman"/>
          <w:lang w:bidi="ar-SA" w:eastAsia="en-US" w:val="hr-HR"/>
        </w:rPr>
      </w:pPr>
    </w:p>
    <w:p w:rsidRDefault="00AE6EB4" w:rsidR="00DF2444">
      <w:pPr>
        <w:widowControl/>
        <w:suppressAutoHyphens w:val="false"/>
        <w:rPr>
          <w:rFonts w:hint="eastAsia"/>
        </w:rPr>
      </w:pPr>
      <w:r>
        <w:rPr>
          <w:rFonts w:cs="Times New Roman" w:eastAsia="Calibri" w:hAnsi="Times New Roman" w:ascii="Times New Roman"/>
          <w:lang w:bidi="ar-SA" w:eastAsia="en-US" w:val="hr-HR"/>
        </w:rPr>
        <w:t>NADA i KREŠIMIR PROSENIK c/a KALIGRAFIJA d.o.o.</w:t>
      </w:r>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t>OPĆINSKI SUD SISKU</w:t>
      </w:r>
      <w:r>
        <w:rPr>
          <w:rFonts w:cs="Times New Roman" w:eastAsia="Calibri" w:hAnsi="Times New Roman" w:ascii="Times New Roman"/>
          <w:lang w:bidi="ar-SA" w:eastAsia="en-US" w:val="hr-HR"/>
        </w:rPr>
        <w:tab/>
        <w:t>P-265/17</w:t>
      </w:r>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t>parnica radi utvrđenja ništetnosti ugovora</w:t>
      </w:r>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t>postupak prekinut zbog stečaja nad NOVA KARAKA doo</w:t>
      </w:r>
    </w:p>
    <w:p w:rsidRDefault="00DF2444" w:rsidR="00DF2444">
      <w:pPr>
        <w:widowControl/>
        <w:suppressAutoHyphens w:val="false"/>
        <w:rPr>
          <w:rFonts w:cs="Times New Roman" w:eastAsia="Calibri" w:hAnsi="Times New Roman" w:ascii="Times New Roman"/>
          <w:lang w:bidi="ar-SA" w:eastAsia="en-US" w:val="hr-HR"/>
        </w:rPr>
      </w:pPr>
    </w:p>
    <w:p w:rsidRDefault="00AE6EB4" w:rsidR="00DF2444">
      <w:pPr>
        <w:widowControl/>
        <w:suppressAutoHyphens w:val="false"/>
        <w:rPr>
          <w:rFonts w:hint="eastAsia"/>
        </w:rPr>
      </w:pPr>
      <w:r>
        <w:rPr>
          <w:rFonts w:cs="Times New Roman" w:eastAsia="Calibri" w:hAnsi="Times New Roman" w:ascii="Times New Roman"/>
          <w:lang w:bidi="ar-SA" w:eastAsia="en-US" w:val="hr-HR"/>
        </w:rPr>
        <w:t>DANIJEL PAJTL c/a KALIGRAFIJA d.o.o.</w:t>
      </w:r>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t>OPĆINSKI SUD U RIJECI</w:t>
      </w:r>
      <w:r>
        <w:rPr>
          <w:rFonts w:cs="Times New Roman" w:eastAsia="Calibri" w:hAnsi="Times New Roman" w:ascii="Times New Roman"/>
          <w:lang w:bidi="ar-SA" w:eastAsia="en-US" w:val="hr-HR"/>
        </w:rPr>
        <w:tab/>
        <w:t>P-2998/16</w:t>
      </w:r>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t>parnica radi utvrđenja ništetnosti</w:t>
      </w:r>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lastRenderedPageBreak/>
        <w:t>nema radnji, još nije odlučeno o prekidu</w:t>
      </w:r>
    </w:p>
    <w:p w:rsidRDefault="00AE6EB4" w:rsidR="00DF2444">
      <w:pPr>
        <w:widowControl/>
        <w:suppressAutoHyphens w:val="false"/>
        <w:rPr>
          <w:rFonts w:hint="eastAsia"/>
        </w:rPr>
      </w:pPr>
      <w:r>
        <w:rPr>
          <w:rFonts w:cs="Times New Roman" w:eastAsia="Times New Roman" w:hAnsi="Times New Roman" w:ascii="Times New Roman"/>
          <w:lang w:bidi="ar-SA" w:eastAsia="en-US" w:val="hr-HR"/>
        </w:rPr>
        <w:t xml:space="preserve"> </w:t>
      </w:r>
    </w:p>
    <w:p w:rsidRDefault="00AE6EB4" w:rsidR="00DF2444">
      <w:pPr>
        <w:widowControl/>
        <w:suppressAutoHyphens w:val="false"/>
        <w:rPr>
          <w:rFonts w:hint="eastAsia"/>
        </w:rPr>
      </w:pPr>
      <w:r>
        <w:rPr>
          <w:rFonts w:cs="Times New Roman" w:eastAsia="Calibri" w:hAnsi="Times New Roman" w:ascii="Times New Roman"/>
          <w:lang w:bidi="ar-SA" w:eastAsia="en-US" w:val="hr-HR"/>
        </w:rPr>
        <w:t>IVANA NARANĐA c/a KALIGRAFIJA d.o.o.</w:t>
      </w:r>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t>OPĆINSKI SUD U NOVOM ZAGREBU, S.S.SAMOB</w:t>
      </w:r>
      <w:r>
        <w:rPr>
          <w:rFonts w:cs="Times New Roman" w:eastAsia="Calibri" w:hAnsi="Times New Roman" w:ascii="Times New Roman"/>
          <w:lang w:bidi="ar-SA" w:eastAsia="en-US" w:val="hr-HR"/>
        </w:rPr>
        <w:tab/>
        <w:t>P-4747/15</w:t>
      </w:r>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t>uložena žalba</w:t>
      </w:r>
    </w:p>
    <w:p w:rsidRDefault="00DF2444" w:rsidR="00DF2444">
      <w:pPr>
        <w:widowControl/>
        <w:suppressAutoHyphens w:val="false"/>
        <w:rPr>
          <w:rFonts w:cs="Times New Roman" w:eastAsia="Calibri" w:hAnsi="Times New Roman" w:ascii="Times New Roman"/>
          <w:lang w:bidi="ar-SA" w:eastAsia="en-US" w:val="hr-HR"/>
        </w:rPr>
      </w:pPr>
    </w:p>
    <w:p w:rsidRDefault="00AE6EB4" w:rsidR="00DF2444">
      <w:pPr>
        <w:widowControl/>
        <w:suppressAutoHyphens w:val="false"/>
        <w:rPr>
          <w:rFonts w:hint="eastAsia"/>
        </w:rPr>
      </w:pPr>
      <w:r>
        <w:rPr>
          <w:rFonts w:cs="Times New Roman" w:eastAsia="Calibri" w:hAnsi="Times New Roman" w:ascii="Times New Roman"/>
          <w:lang w:bidi="ar-SA" w:eastAsia="en-US" w:val="hr-HR"/>
        </w:rPr>
        <w:t>ĐURĐICA VRBAN c/a KALIGRAFIJA d.o.o.</w:t>
      </w:r>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t>OPĆINSKI SUD U SESVETAMA, S.S. U VRBOVCU</w:t>
      </w:r>
      <w:r>
        <w:rPr>
          <w:rFonts w:cs="Times New Roman" w:eastAsia="Calibri" w:hAnsi="Times New Roman" w:ascii="Times New Roman"/>
          <w:lang w:bidi="ar-SA" w:eastAsia="en-US" w:val="hr-HR"/>
        </w:rPr>
        <w:tab/>
        <w:t>P-877/2019</w:t>
      </w:r>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t>Rješenje - prekid postupka do pravomoćnosti rješenja o prijedlogu za povrat u prijašnje stanje</w:t>
      </w:r>
    </w:p>
    <w:p w:rsidRDefault="00DF2444" w:rsidR="00DF2444">
      <w:pPr>
        <w:widowControl/>
        <w:suppressAutoHyphens w:val="false"/>
        <w:rPr>
          <w:rFonts w:cs="Times New Roman" w:eastAsia="Calibri" w:hAnsi="Times New Roman" w:ascii="Times New Roman"/>
          <w:lang w:bidi="ar-SA" w:eastAsia="en-US" w:val="hr-HR"/>
        </w:rPr>
      </w:pPr>
    </w:p>
    <w:p w:rsidRDefault="00AE6EB4" w:rsidR="00DF2444">
      <w:pPr>
        <w:widowControl/>
        <w:suppressAutoHyphens w:val="false"/>
        <w:rPr>
          <w:rFonts w:hint="eastAsia"/>
        </w:rPr>
      </w:pPr>
      <w:r>
        <w:rPr>
          <w:rFonts w:cs="Times New Roman" w:eastAsia="Calibri" w:hAnsi="Times New Roman" w:ascii="Times New Roman"/>
          <w:lang w:bidi="ar-SA" w:eastAsia="en-US" w:val="hr-HR"/>
        </w:rPr>
        <w:t xml:space="preserve">KALIGRAFIJA d.o.o. c/a DRAGO BARTOLČIĆ </w:t>
      </w:r>
    </w:p>
    <w:p w:rsidRDefault="00AE6EB4" w:rsidR="00DF2444">
      <w:pPr>
        <w:widowControl/>
        <w:suppressAutoHyphens w:val="false"/>
        <w:rPr>
          <w:rFonts w:hint="eastAsia"/>
        </w:rPr>
      </w:pPr>
      <w:r>
        <w:rPr>
          <w:rFonts w:cs="Times New Roman" w:eastAsia="Calibri" w:hAnsi="Times New Roman" w:ascii="Times New Roman"/>
          <w:lang w:bidi="ar-SA" w:eastAsia="en-US" w:val="hr-HR"/>
        </w:rPr>
        <w:t>OPĆINSKI SUD U RIJECI</w:t>
      </w:r>
      <w:r>
        <w:rPr>
          <w:rFonts w:cs="Times New Roman" w:eastAsia="Calibri" w:hAnsi="Times New Roman" w:ascii="Times New Roman"/>
          <w:lang w:bidi="ar-SA" w:eastAsia="en-US" w:val="hr-HR"/>
        </w:rPr>
        <w:tab/>
        <w:t>P-4545/11</w:t>
      </w:r>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t>parnica radi predaje</w:t>
      </w:r>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t>postupak prekinut do okončanja parnice P-37/2013 pred Općinskim sudom u Rijeci</w:t>
      </w:r>
    </w:p>
    <w:p w:rsidRDefault="00DF2444" w:rsidR="00DF2444">
      <w:pPr>
        <w:widowControl/>
        <w:suppressAutoHyphens w:val="false"/>
        <w:rPr>
          <w:rFonts w:cs="Times New Roman" w:eastAsia="Calibri" w:hAnsi="Times New Roman" w:ascii="Times New Roman"/>
          <w:lang w:bidi="ar-SA" w:eastAsia="en-US" w:val="hr-HR"/>
        </w:rPr>
      </w:pPr>
    </w:p>
    <w:p w:rsidRDefault="00AE6EB4" w:rsidR="00DF2444">
      <w:pPr>
        <w:widowControl/>
        <w:suppressAutoHyphens w:val="false"/>
        <w:rPr>
          <w:rFonts w:hint="eastAsia"/>
        </w:rPr>
      </w:pPr>
      <w:r>
        <w:rPr>
          <w:rFonts w:cs="Times New Roman" w:eastAsia="Calibri" w:hAnsi="Times New Roman" w:ascii="Times New Roman"/>
          <w:lang w:bidi="ar-SA" w:eastAsia="en-US" w:val="hr-HR"/>
        </w:rPr>
        <w:t>KALIGRAFIJA d.o.o. c/a  BLAŽENKA ŠTAMBUK</w:t>
      </w:r>
    </w:p>
    <w:p w:rsidRDefault="00AE6EB4" w:rsidR="00DF2444">
      <w:pPr>
        <w:widowControl/>
        <w:suppressAutoHyphens w:val="false"/>
        <w:rPr>
          <w:rFonts w:hint="eastAsia"/>
        </w:rPr>
      </w:pPr>
      <w:r>
        <w:rPr>
          <w:rFonts w:cs="Times New Roman" w:eastAsia="Calibri" w:hAnsi="Times New Roman" w:ascii="Times New Roman"/>
          <w:lang w:bidi="ar-SA" w:eastAsia="en-US" w:val="hr-HR"/>
        </w:rPr>
        <w:t>OPĆINSKI GRAĐANSKI SUD U ZAGREBU</w:t>
      </w:r>
      <w:r>
        <w:rPr>
          <w:rFonts w:cs="Times New Roman" w:eastAsia="Calibri" w:hAnsi="Times New Roman" w:ascii="Times New Roman"/>
          <w:lang w:bidi="ar-SA" w:eastAsia="en-US" w:val="hr-HR"/>
        </w:rPr>
        <w:tab/>
        <w:t>P-3821/14</w:t>
      </w:r>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t>parnica radi isplate</w:t>
      </w:r>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t>glavna rasprava u tijeku, postupak prekinut zbog stečaja</w:t>
      </w:r>
    </w:p>
    <w:p w:rsidRDefault="00DF2444" w:rsidR="00DF2444">
      <w:pPr>
        <w:widowControl/>
        <w:suppressAutoHyphens w:val="false"/>
        <w:rPr>
          <w:rFonts w:cs="Times New Roman" w:eastAsia="Calibri" w:hAnsi="Times New Roman" w:ascii="Times New Roman"/>
          <w:lang w:bidi="ar-SA" w:eastAsia="en-US" w:val="hr-HR"/>
        </w:rPr>
      </w:pPr>
    </w:p>
    <w:p w:rsidRDefault="00AE6EB4" w:rsidR="00DF2444">
      <w:pPr>
        <w:widowControl/>
        <w:suppressAutoHyphens w:val="false"/>
        <w:rPr>
          <w:rFonts w:hint="eastAsia"/>
        </w:rPr>
      </w:pPr>
      <w:r>
        <w:rPr>
          <w:rFonts w:cs="Times New Roman" w:eastAsia="Calibri" w:hAnsi="Times New Roman" w:ascii="Times New Roman"/>
          <w:lang w:bidi="ar-SA" w:eastAsia="en-US" w:val="hr-HR"/>
        </w:rPr>
        <w:t xml:space="preserve">KALIGRAFIJA d.o.o. c/a NADA GALIĆ </w:t>
      </w:r>
    </w:p>
    <w:p w:rsidRDefault="00AE6EB4" w:rsidR="00DF2444">
      <w:pPr>
        <w:widowControl/>
        <w:suppressAutoHyphens w:val="false"/>
        <w:rPr>
          <w:rFonts w:hint="eastAsia"/>
        </w:rPr>
      </w:pPr>
      <w:r>
        <w:rPr>
          <w:rFonts w:cs="Times New Roman" w:eastAsia="Calibri" w:hAnsi="Times New Roman" w:ascii="Times New Roman"/>
          <w:lang w:bidi="ar-SA" w:eastAsia="en-US" w:val="hr-HR"/>
        </w:rPr>
        <w:t>OPĆINSKI GRAĐANSKI SUD U ZAGREBU</w:t>
      </w:r>
      <w:r>
        <w:rPr>
          <w:rFonts w:cs="Times New Roman" w:eastAsia="Calibri" w:hAnsi="Times New Roman" w:ascii="Times New Roman"/>
          <w:lang w:bidi="ar-SA" w:eastAsia="en-US" w:val="hr-HR"/>
        </w:rPr>
        <w:tab/>
        <w:t>Ps-443/11</w:t>
      </w:r>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t>parnica radi iseljenja i isplate</w:t>
      </w:r>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t>glavna rasprava, postupak prekinut zbog stečaja</w:t>
      </w:r>
    </w:p>
    <w:p w:rsidRDefault="00DF2444" w:rsidR="00DF2444">
      <w:pPr>
        <w:widowControl/>
        <w:suppressAutoHyphens w:val="false"/>
        <w:rPr>
          <w:rFonts w:cs="Times New Roman" w:eastAsia="Calibri" w:hAnsi="Times New Roman" w:ascii="Times New Roman"/>
          <w:lang w:bidi="ar-SA" w:eastAsia="en-US" w:val="hr-HR"/>
        </w:rPr>
      </w:pPr>
    </w:p>
    <w:p w:rsidRDefault="00AE6EB4" w:rsidR="00DF2444">
      <w:pPr>
        <w:widowControl/>
        <w:suppressAutoHyphens w:val="false"/>
        <w:rPr>
          <w:rFonts w:hint="eastAsia"/>
        </w:rPr>
      </w:pPr>
      <w:r>
        <w:rPr>
          <w:rFonts w:cs="Times New Roman" w:eastAsia="Calibri" w:hAnsi="Times New Roman" w:ascii="Times New Roman"/>
          <w:lang w:bidi="ar-SA" w:eastAsia="en-US" w:val="hr-HR"/>
        </w:rPr>
        <w:t xml:space="preserve">KALIGRAFIJA d.o.o. c/a  BRANIMIR JURŠIĆ </w:t>
      </w:r>
    </w:p>
    <w:p w:rsidRDefault="00AE6EB4" w:rsidR="00DF2444">
      <w:pPr>
        <w:widowControl/>
        <w:suppressAutoHyphens w:val="false"/>
        <w:rPr>
          <w:rFonts w:hint="eastAsia"/>
        </w:rPr>
      </w:pPr>
      <w:r>
        <w:rPr>
          <w:rFonts w:cs="Times New Roman" w:eastAsia="Calibri" w:hAnsi="Times New Roman" w:ascii="Times New Roman"/>
          <w:lang w:bidi="ar-SA" w:eastAsia="en-US" w:val="hr-HR"/>
        </w:rPr>
        <w:t>OPĆINSKI GRAĐANSKI SUD U ZAGREBU</w:t>
      </w:r>
      <w:r>
        <w:rPr>
          <w:rFonts w:cs="Times New Roman" w:eastAsia="Calibri" w:hAnsi="Times New Roman" w:ascii="Times New Roman"/>
          <w:lang w:bidi="ar-SA" w:eastAsia="en-US" w:val="hr-HR"/>
        </w:rPr>
        <w:tab/>
        <w:t>P-4453/14</w:t>
      </w:r>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t>parnica radi isplate</w:t>
      </w:r>
      <w:r>
        <w:rPr>
          <w:rFonts w:cs="Times New Roman" w:eastAsia="Calibri" w:hAnsi="Times New Roman" w:ascii="Times New Roman"/>
          <w:lang w:bidi="ar-SA" w:eastAsia="en-US" w:val="hr-HR"/>
        </w:rPr>
        <w:tab/>
      </w:r>
    </w:p>
    <w:p w:rsidRDefault="00AE6EB4" w:rsidR="00DF2444">
      <w:pPr>
        <w:widowControl/>
        <w:suppressAutoHyphens w:val="false"/>
        <w:rPr>
          <w:rFonts w:hint="eastAsia"/>
        </w:rPr>
      </w:pPr>
      <w:r>
        <w:rPr>
          <w:rFonts w:cs="Times New Roman" w:eastAsia="Calibri" w:hAnsi="Times New Roman" w:ascii="Times New Roman"/>
          <w:lang w:bidi="ar-SA" w:eastAsia="en-US" w:val="hr-HR"/>
        </w:rPr>
        <w:t>odbijen tužbeni zahtjev, izjavljena žalba na presudu, žalbeni postupak u tijeku</w:t>
      </w:r>
    </w:p>
    <w:p w:rsidRDefault="00DF2444" w:rsidR="00DF2444">
      <w:pPr>
        <w:widowControl/>
        <w:suppressAutoHyphens w:val="false"/>
        <w:rPr>
          <w:rFonts w:cs="Times New Roman" w:eastAsia="Calibri" w:hAnsi="Times New Roman" w:ascii="Times New Roman"/>
          <w:lang w:bidi="ar-SA" w:eastAsia="en-US" w:val="hr-HR"/>
        </w:rPr>
      </w:pPr>
    </w:p>
    <w:p w:rsidRDefault="00AE6EB4" w:rsidR="00DF2444">
      <w:pPr>
        <w:pStyle w:val="Zaglavlje"/>
        <w:tabs>
          <w:tab w:pos="4153" w:val="clear"/>
          <w:tab w:pos="8306" w:val="clear"/>
          <w:tab w:pos="746" w:val="left"/>
          <w:tab w:pos="4191" w:val="center"/>
          <w:tab w:pos="8344" w:val="right"/>
        </w:tabs>
        <w:jc w:val="both"/>
        <w:rPr>
          <w:rFonts w:hint="eastAsia"/>
        </w:rPr>
      </w:pPr>
      <w:r>
        <w:rPr>
          <w:rFonts w:cs="Times New Roman" w:hAnsi="Times New Roman" w:ascii="Times New Roman"/>
          <w:lang w:val="hr-HR"/>
        </w:rPr>
        <w:t>U svim postupcima u kojima je utvrđen prekid postupka, stečajna upraviteljica je uputila podnesak kojim preuzima te postupke.</w:t>
      </w:r>
    </w:p>
    <w:p w:rsidRDefault="00DF2444" w:rsidR="00DF2444">
      <w:pPr>
        <w:pStyle w:val="Zaglavlje"/>
        <w:tabs>
          <w:tab w:pos="4153" w:val="clear"/>
          <w:tab w:pos="8306" w:val="clear"/>
          <w:tab w:pos="746" w:val="left"/>
          <w:tab w:pos="4191" w:val="center"/>
          <w:tab w:pos="8344" w:val="right"/>
        </w:tabs>
        <w:jc w:val="both"/>
        <w:rPr>
          <w:rFonts w:cs="Times New Roman" w:hAnsi="Times New Roman" w:ascii="Times New Roman"/>
          <w:lang w:val="hr-HR"/>
        </w:rPr>
      </w:pPr>
    </w:p>
    <w:p w:rsidRDefault="00AE6EB4" w:rsidR="00DF2444">
      <w:pPr>
        <w:pStyle w:val="Zaglavlje"/>
        <w:tabs>
          <w:tab w:pos="4153" w:val="clear"/>
          <w:tab w:pos="8306" w:val="clear"/>
          <w:tab w:pos="746" w:val="left"/>
          <w:tab w:pos="4191" w:val="center"/>
          <w:tab w:pos="8344" w:val="right"/>
        </w:tabs>
        <w:jc w:val="both"/>
        <w:rPr>
          <w:rFonts w:hint="eastAsia"/>
        </w:rPr>
      </w:pPr>
      <w:r>
        <w:t>Svi postupci gdje je stečajni dužnik tuženik, vode se radi poništenja ugovora o kreditu te vraćanja previše uplaćenog od strane oštećenika, tužitelja.</w:t>
      </w:r>
    </w:p>
    <w:p w:rsidRDefault="00DF2444" w:rsidR="00DF2444">
      <w:pPr>
        <w:pStyle w:val="Zaglavlje"/>
        <w:tabs>
          <w:tab w:pos="4153" w:val="clear"/>
          <w:tab w:pos="8306" w:val="clear"/>
          <w:tab w:pos="746" w:val="left"/>
          <w:tab w:pos="4191" w:val="center"/>
          <w:tab w:pos="8344" w:val="right"/>
        </w:tabs>
        <w:jc w:val="both"/>
        <w:rPr>
          <w:rFonts w:hint="eastAsia"/>
        </w:rPr>
      </w:pPr>
    </w:p>
    <w:p w:rsidRDefault="00AE6EB4" w:rsidR="00DF2444">
      <w:pPr>
        <w:pStyle w:val="Zaglavlje"/>
        <w:tabs>
          <w:tab w:pos="4153" w:val="clear"/>
          <w:tab w:pos="8306" w:val="clear"/>
          <w:tab w:pos="746" w:val="left"/>
          <w:tab w:pos="4191" w:val="center"/>
          <w:tab w:pos="8344" w:val="right"/>
        </w:tabs>
        <w:jc w:val="both"/>
        <w:rPr>
          <w:rFonts w:hint="eastAsia"/>
        </w:rPr>
      </w:pPr>
      <w:r>
        <w:t>Napominjem da postoji mogućnost da stečajni dužnik vodi ili da se protiv istog vode i drugi sporovi koji nisu navedeni u ovom popisu.</w:t>
      </w:r>
    </w:p>
    <w:p w:rsidRDefault="00DF2444" w:rsidR="00DF2444">
      <w:pPr>
        <w:pStyle w:val="Zaglavlje"/>
        <w:tabs>
          <w:tab w:pos="4153" w:val="clear"/>
          <w:tab w:pos="8306" w:val="clear"/>
          <w:tab w:pos="746" w:val="left"/>
          <w:tab w:pos="4191" w:val="center"/>
          <w:tab w:pos="8344" w:val="right"/>
        </w:tabs>
        <w:jc w:val="both"/>
        <w:rPr>
          <w:rFonts w:hint="eastAsia"/>
        </w:rPr>
      </w:pPr>
    </w:p>
    <w:p w:rsidRDefault="00AE6EB4" w:rsidR="00DF2444">
      <w:pPr>
        <w:pStyle w:val="Zaglavlje"/>
        <w:tabs>
          <w:tab w:pos="4153" w:val="clear"/>
          <w:tab w:pos="8306" w:val="clear"/>
          <w:tab w:pos="746" w:val="left"/>
          <w:tab w:pos="4191" w:val="center"/>
          <w:tab w:pos="8344" w:val="right"/>
        </w:tabs>
        <w:jc w:val="both"/>
        <w:rPr>
          <w:rFonts w:hint="eastAsia"/>
        </w:rPr>
      </w:pPr>
      <w:r>
        <w:rPr>
          <w:rFonts w:cs="Times New Roman" w:hAnsi="Times New Roman" w:ascii="Times New Roman"/>
          <w:lang w:val="hr-HR"/>
        </w:rPr>
        <w:t>Zatražila sam predaju svih sudskih spisa od prijašnjeg punomoćnika te nakon što iste proučim, u odnosu na pojedine predmete predložit ću sklapanje sudske nagodbe, a sve kako bi se izbjegli nepotrebni troškovi parničnog postupka.</w:t>
      </w:r>
    </w:p>
    <w:p w:rsidRDefault="00DF2444" w:rsidR="00DF2444">
      <w:pPr>
        <w:pStyle w:val="Zaglavlje"/>
        <w:tabs>
          <w:tab w:pos="4153" w:val="clear"/>
          <w:tab w:pos="8306" w:val="clear"/>
          <w:tab w:pos="746" w:val="left"/>
          <w:tab w:pos="4191" w:val="center"/>
          <w:tab w:pos="8344" w:val="right"/>
        </w:tabs>
        <w:jc w:val="both"/>
        <w:rPr>
          <w:rFonts w:cs="Times New Roman" w:hAnsi="Times New Roman" w:ascii="Times New Roman"/>
          <w:lang w:val="hr-HR"/>
        </w:rPr>
      </w:pPr>
    </w:p>
    <w:p w:rsidRDefault="00DF2444" w:rsidR="00DF2444">
      <w:pPr>
        <w:pStyle w:val="Zaglavlje"/>
        <w:tabs>
          <w:tab w:pos="4153" w:val="clear"/>
          <w:tab w:pos="8306" w:val="clear"/>
          <w:tab w:pos="746" w:val="left"/>
          <w:tab w:pos="4191" w:val="center"/>
          <w:tab w:pos="8344" w:val="right"/>
        </w:tabs>
        <w:jc w:val="both"/>
        <w:rPr>
          <w:rFonts w:cs="Times New Roman" w:hAnsi="Times New Roman" w:ascii="Times New Roman"/>
          <w:lang w:val="hr-HR"/>
        </w:rPr>
      </w:pPr>
    </w:p>
    <w:p w:rsidRDefault="00AE6EB4" w:rsidR="00DF2444">
      <w:pPr>
        <w:pStyle w:val="Tijeloteksta"/>
        <w:tabs>
          <w:tab w:pos="142" w:val="left"/>
        </w:tabs>
        <w:ind w:left="142"/>
        <w:rPr>
          <w:rFonts w:hint="eastAsia"/>
        </w:rPr>
      </w:pPr>
      <w:r>
        <w:rPr>
          <w:rFonts w:cs="Times New Roman" w:hAnsi="Times New Roman" w:ascii="Times New Roman"/>
          <w:b/>
          <w:lang w:val="hr-HR"/>
        </w:rPr>
        <w:t>9.  ZAKLJUČCI I PRIJEDLOZI</w:t>
      </w:r>
    </w:p>
    <w:p w:rsidRDefault="00AE6EB4" w:rsidR="00DF2444">
      <w:pPr>
        <w:pStyle w:val="Tijeloteksta"/>
        <w:tabs>
          <w:tab w:pos="981" w:val="left"/>
        </w:tabs>
        <w:rPr>
          <w:rFonts w:hint="eastAsia"/>
        </w:rPr>
      </w:pPr>
      <w:r>
        <w:rPr>
          <w:rFonts w:cs="Times New Roman" w:hAnsi="Times New Roman" w:ascii="Times New Roman"/>
          <w:lang w:val="hr-HR"/>
        </w:rPr>
        <w:lastRenderedPageBreak/>
        <w:t>Iz svega naprijed izloženog stečajna upraviteljica predlaže da vjerovnici na ročištu usvoje sljedeće zaključke i odluke:</w:t>
      </w:r>
    </w:p>
    <w:p w:rsidRDefault="00AE6EB4" w:rsidR="00DF2444">
      <w:pPr>
        <w:pStyle w:val="Tijeloteksta"/>
        <w:tabs>
          <w:tab w:pos="426" w:val="left"/>
        </w:tabs>
        <w:rPr>
          <w:rFonts w:hint="eastAsia"/>
        </w:rPr>
      </w:pPr>
      <w:r>
        <w:rPr>
          <w:rFonts w:cs="Times New Roman" w:hAnsi="Times New Roman" w:ascii="Times New Roman"/>
          <w:lang w:val="hr-HR"/>
        </w:rPr>
        <w:t>1. Prihvaća se Izvješće stečajne upraviteljice o gospodarskom položaju  stečajnog dužnika i njegovim uzrocima.</w:t>
      </w:r>
    </w:p>
    <w:p w:rsidRDefault="00AE6EB4" w:rsidR="00DF2444">
      <w:pPr>
        <w:pStyle w:val="Tijeloteksta"/>
        <w:tabs>
          <w:tab w:pos="426" w:val="left"/>
        </w:tabs>
        <w:rPr>
          <w:rFonts w:hint="eastAsia"/>
        </w:rPr>
      </w:pPr>
      <w:r>
        <w:rPr>
          <w:rFonts w:cs="Times New Roman" w:hAnsi="Times New Roman" w:ascii="Times New Roman"/>
          <w:lang w:val="hr-HR"/>
        </w:rPr>
        <w:t>2. Utvrđuje se da stečajni dužnik neće nastaviti obavljati svoju djelatnost</w:t>
      </w:r>
    </w:p>
    <w:p w:rsidRDefault="00AE6EB4" w:rsidR="00DF2444">
      <w:pPr>
        <w:pStyle w:val="Tijeloteksta"/>
        <w:tabs>
          <w:tab w:pos="426" w:val="left"/>
        </w:tabs>
        <w:rPr>
          <w:rFonts w:hint="eastAsia"/>
        </w:rPr>
      </w:pPr>
      <w:r>
        <w:rPr>
          <w:rFonts w:cs="Times New Roman" w:hAnsi="Times New Roman" w:ascii="Times New Roman"/>
          <w:lang w:val="hr-HR"/>
        </w:rPr>
        <w:t>3. Prihvaćaju se dosada poduzete radnje stečajne upraviteljice.</w:t>
      </w:r>
    </w:p>
    <w:p w:rsidRDefault="00AE6EB4" w:rsidR="00DF2444">
      <w:pPr>
        <w:pStyle w:val="Tijeloteksta"/>
        <w:tabs>
          <w:tab w:pos="426" w:val="left"/>
        </w:tabs>
        <w:rPr>
          <w:rFonts w:hint="eastAsia"/>
        </w:rPr>
      </w:pPr>
      <w:r>
        <w:rPr>
          <w:rFonts w:cs="Times New Roman" w:hAnsi="Times New Roman" w:ascii="Times New Roman"/>
          <w:lang w:val="hr-HR"/>
        </w:rPr>
        <w:t>4. Parnice i postupci u tijeku, odnosno novi postupci nastaviti će se ili pokrenuti u korist stečajne mase ovisno o procjeni stečajne upraviteljice, a po prethodno dobivenoj suglasnosti vjerovnika.</w:t>
      </w:r>
    </w:p>
    <w:p w:rsidRDefault="00AE6EB4" w:rsidR="00DF2444">
      <w:pPr>
        <w:widowControl/>
        <w:tabs>
          <w:tab w:pos="426" w:val="left"/>
        </w:tabs>
        <w:spacing w:lineRule="auto" w:line="276" w:after="200"/>
        <w:rPr>
          <w:rFonts w:hint="eastAsia"/>
        </w:rPr>
      </w:pPr>
      <w:r>
        <w:rPr>
          <w:rFonts w:cs="Times New Roman" w:hAnsi="Times New Roman" w:ascii="Times New Roman"/>
          <w:lang w:val="hr-HR"/>
        </w:rPr>
        <w:t>5. Daje se suglasnost upraviteljici za imenovanje punomoćnika koji će zastupati dužnika u postupcima, a radi povećanja stečajne mase.</w:t>
      </w:r>
    </w:p>
    <w:p w:rsidRDefault="00DF2444" w:rsidR="00DF2444">
      <w:pPr>
        <w:widowControl/>
        <w:suppressAutoHyphens w:val="false"/>
        <w:ind w:firstLine="720" w:left="5760"/>
        <w:jc w:val="both"/>
        <w:rPr>
          <w:rFonts w:cs="Times New Roman" w:eastAsia="Times New Roman" w:hAnsi="Times New Roman" w:ascii="Times New Roman"/>
          <w:lang w:bidi="ar-SA" w:eastAsia="hr-HR" w:val="hr-HR"/>
        </w:rPr>
      </w:pPr>
    </w:p>
    <w:p w:rsidRDefault="00DF2444" w:rsidR="00DF2444">
      <w:pPr>
        <w:widowControl/>
        <w:suppressAutoHyphens w:val="false"/>
        <w:ind w:firstLine="720" w:left="5760"/>
        <w:jc w:val="both"/>
        <w:rPr>
          <w:rFonts w:cs="Times New Roman" w:eastAsia="Times New Roman" w:hAnsi="Times New Roman" w:ascii="Times New Roman"/>
          <w:lang w:bidi="ar-SA" w:eastAsia="hr-HR" w:val="hr-HR"/>
        </w:rPr>
      </w:pPr>
    </w:p>
    <w:p w:rsidRDefault="00DF2444" w:rsidR="00DF2444">
      <w:pPr>
        <w:widowControl/>
        <w:suppressAutoHyphens w:val="false"/>
        <w:ind w:firstLine="720" w:left="5760"/>
        <w:jc w:val="both"/>
        <w:rPr>
          <w:rFonts w:cs="Times New Roman" w:eastAsia="Times New Roman" w:hAnsi="Times New Roman" w:ascii="Times New Roman"/>
          <w:lang w:bidi="ar-SA" w:eastAsia="hr-HR" w:val="hr-HR"/>
        </w:rPr>
      </w:pPr>
    </w:p>
    <w:p w:rsidRDefault="00AE6EB4" w:rsidR="00DF2444">
      <w:pPr>
        <w:widowControl/>
        <w:suppressAutoHyphens w:val="false"/>
        <w:ind w:firstLine="720" w:left="5760"/>
        <w:jc w:val="both"/>
        <w:rPr>
          <w:rFonts w:hint="eastAsia"/>
        </w:rPr>
      </w:pPr>
      <w:r>
        <w:rPr>
          <w:rFonts w:cs="Times New Roman" w:eastAsia="Times New Roman" w:hAnsi="Times New Roman" w:ascii="Times New Roman"/>
          <w:lang w:bidi="ar-SA" w:eastAsia="hr-HR" w:val="hr-HR"/>
        </w:rPr>
        <w:t>Stečajna upraviteljica</w:t>
      </w:r>
    </w:p>
    <w:p w:rsidRDefault="00AE6EB4" w:rsidR="00DF2444">
      <w:pPr>
        <w:widowControl/>
        <w:suppressAutoHyphens w:val="false"/>
        <w:ind w:left="6480"/>
        <w:jc w:val="both"/>
        <w:rPr>
          <w:rFonts w:hint="eastAsia"/>
        </w:rPr>
      </w:pPr>
      <w:r>
        <w:rPr>
          <w:rFonts w:cs="Times New Roman" w:eastAsia="Times New Roman" w:hAnsi="Times New Roman" w:ascii="Times New Roman"/>
          <w:lang w:bidi="ar-SA" w:eastAsia="hr-HR" w:val="hr-HR"/>
        </w:rPr>
        <w:t xml:space="preserve">    Irena Kelava</w:t>
      </w:r>
    </w:p>
    <w:p w:rsidRDefault="00DF2444" w:rsidR="00DF2444">
      <w:pPr>
        <w:widowControl/>
        <w:suppressAutoHyphens w:val="false"/>
        <w:jc w:val="both"/>
        <w:rPr>
          <w:rFonts w:cs="Times New Roman" w:eastAsia="Times New Roman" w:hAnsi="Times New Roman" w:ascii="Times New Roman"/>
          <w:lang w:bidi="ar-SA" w:eastAsia="hr-HR" w:val="hr-HR"/>
        </w:rPr>
      </w:pPr>
    </w:p>
    <w:p w:rsidRDefault="00DF2444" w:rsidR="00DF2444">
      <w:pPr>
        <w:widowControl/>
        <w:suppressAutoHyphens w:val="false"/>
        <w:jc w:val="both"/>
        <w:rPr>
          <w:rFonts w:cs="Times New Roman" w:eastAsia="Times New Roman" w:hAnsi="Times New Roman" w:ascii="Times New Roman"/>
          <w:lang w:bidi="ar-SA" w:eastAsia="hr-HR" w:val="hr-HR"/>
        </w:rPr>
      </w:pPr>
    </w:p>
    <w:p w:rsidRDefault="00DF2444" w:rsidR="00DF2444">
      <w:pPr>
        <w:widowControl/>
        <w:suppressAutoHyphens w:val="false"/>
        <w:jc w:val="both"/>
        <w:rPr>
          <w:rFonts w:cs="Times New Roman" w:eastAsia="Times New Roman" w:hAnsi="Times New Roman" w:ascii="Times New Roman"/>
          <w:lang w:bidi="ar-SA" w:eastAsia="hr-HR" w:val="hr-HR"/>
        </w:rPr>
      </w:pPr>
    </w:p>
    <w:p w:rsidRDefault="00DF2444" w:rsidR="00DF2444">
      <w:pPr>
        <w:widowControl/>
        <w:suppressAutoHyphens w:val="false"/>
        <w:jc w:val="both"/>
        <w:rPr>
          <w:rFonts w:cs="Times New Roman" w:eastAsia="Times New Roman" w:hAnsi="Times New Roman" w:ascii="Times New Roman"/>
          <w:lang w:bidi="ar-SA" w:eastAsia="hr-HR" w:val="hr-HR"/>
        </w:rPr>
      </w:pPr>
    </w:p>
    <w:p w:rsidRDefault="00DF2444" w:rsidR="00DF2444">
      <w:pPr>
        <w:widowControl/>
        <w:suppressAutoHyphens w:val="false"/>
        <w:jc w:val="both"/>
        <w:rPr>
          <w:rFonts w:cs="Times New Roman" w:eastAsia="Times New Roman" w:hAnsi="Times New Roman" w:ascii="Times New Roman"/>
          <w:lang w:bidi="ar-SA" w:eastAsia="hr-HR" w:val="hr-HR"/>
        </w:rPr>
      </w:pPr>
    </w:p>
    <w:p w:rsidRDefault="00DF2444" w:rsidR="00DF2444">
      <w:pPr>
        <w:widowControl/>
        <w:suppressAutoHyphens w:val="false"/>
        <w:jc w:val="both"/>
        <w:rPr>
          <w:rFonts w:cs="Times New Roman" w:eastAsia="Times New Roman" w:hAnsi="Times New Roman" w:ascii="Times New Roman"/>
          <w:lang w:bidi="ar-SA" w:eastAsia="hr-HR" w:val="hr-HR"/>
        </w:rPr>
      </w:pPr>
    </w:p>
    <w:p w:rsidRDefault="00DF2444" w:rsidR="00DF2444">
      <w:pPr>
        <w:widowControl/>
        <w:suppressAutoHyphens w:val="false"/>
        <w:jc w:val="both"/>
        <w:rPr>
          <w:rFonts w:cs="Times New Roman" w:eastAsia="Times New Roman" w:hAnsi="Times New Roman" w:ascii="Times New Roman"/>
          <w:lang w:bidi="ar-SA" w:eastAsia="hr-HR" w:val="hr-HR"/>
        </w:rPr>
      </w:pPr>
    </w:p>
    <w:p w:rsidRDefault="00DF2444" w:rsidR="00DF2444">
      <w:pPr>
        <w:widowControl/>
        <w:suppressAutoHyphens w:val="false"/>
        <w:jc w:val="both"/>
        <w:rPr>
          <w:rFonts w:cs="Times New Roman" w:eastAsia="Times New Roman" w:hAnsi="Times New Roman" w:ascii="Times New Roman"/>
          <w:lang w:bidi="ar-SA" w:eastAsia="hr-HR" w:val="hr-HR"/>
        </w:rPr>
      </w:pPr>
    </w:p>
    <w:p w:rsidRDefault="00DF2444" w:rsidR="00DF2444">
      <w:pPr>
        <w:widowControl/>
        <w:suppressAutoHyphens w:val="false"/>
        <w:jc w:val="both"/>
        <w:rPr>
          <w:rFonts w:cs="Times New Roman" w:eastAsia="Times New Roman" w:hAnsi="Times New Roman" w:ascii="Times New Roman"/>
          <w:lang w:bidi="ar-SA" w:eastAsia="hr-HR" w:val="hr-HR"/>
        </w:rPr>
      </w:pPr>
    </w:p>
    <w:p w:rsidRDefault="00DF2444" w:rsidR="00DF2444">
      <w:pPr>
        <w:widowControl/>
        <w:suppressAutoHyphens w:val="false"/>
        <w:jc w:val="both"/>
        <w:rPr>
          <w:rFonts w:cs="Times New Roman" w:eastAsia="Times New Roman" w:hAnsi="Times New Roman" w:ascii="Times New Roman"/>
          <w:lang w:bidi="ar-SA" w:eastAsia="hr-HR" w:val="hr-HR"/>
        </w:rPr>
      </w:pPr>
    </w:p>
    <w:p w:rsidRDefault="00AE6EB4" w:rsidR="00DF2444">
      <w:pPr>
        <w:widowControl/>
        <w:suppressAutoHyphens w:val="false"/>
        <w:jc w:val="both"/>
        <w:rPr>
          <w:rFonts w:hint="eastAsia"/>
        </w:rPr>
      </w:pPr>
      <w:r>
        <w:rPr>
          <w:rFonts w:cs="Times New Roman" w:eastAsia="Times New Roman" w:hAnsi="Times New Roman" w:ascii="Times New Roman"/>
          <w:lang w:bidi="ar-SA" w:eastAsia="hr-HR" w:val="hr-HR"/>
        </w:rPr>
        <w:t>Privitak:</w:t>
      </w:r>
    </w:p>
    <w:p w:rsidRDefault="00AE6EB4" w:rsidR="00DF2444">
      <w:pPr>
        <w:widowControl/>
        <w:suppressAutoHyphens w:val="false"/>
        <w:jc w:val="both"/>
        <w:rPr>
          <w:rFonts w:hint="eastAsia"/>
        </w:rPr>
      </w:pPr>
      <w:r>
        <w:rPr>
          <w:rFonts w:cs="Times New Roman" w:eastAsia="Times New Roman" w:hAnsi="Times New Roman" w:ascii="Times New Roman"/>
          <w:lang w:bidi="ar-SA" w:eastAsia="hr-HR" w:val="hr-HR"/>
        </w:rPr>
        <w:t xml:space="preserve"> 1. Potvrda Centra za vozila Hrvatske</w:t>
      </w:r>
    </w:p>
    <w:p w:rsidRDefault="00AE6EB4" w:rsidR="00DF2444">
      <w:pPr>
        <w:pStyle w:val="Zaglavlje"/>
        <w:shd w:fill="FFFFFF" w:color="auto" w:val="clear"/>
        <w:tabs>
          <w:tab w:pos="4153" w:val="clear"/>
          <w:tab w:pos="8306" w:val="clear"/>
          <w:tab w:pos="746" w:val="left"/>
          <w:tab w:pos="4191" w:val="center"/>
          <w:tab w:pos="8344" w:val="right"/>
        </w:tabs>
        <w:autoSpaceDE w:val="false"/>
        <w:spacing w:lineRule="exact" w:line="295"/>
        <w:ind w:left="38"/>
        <w:jc w:val="both"/>
        <w:rPr>
          <w:rFonts w:hint="eastAsia"/>
        </w:rPr>
      </w:pPr>
      <w:r>
        <w:rPr>
          <w:rFonts w:cs="Times New Roman" w:hAnsi="Times New Roman" w:ascii="Times New Roman"/>
          <w:lang w:val="hr-HR"/>
        </w:rPr>
        <w:t>2. Potvrda Hrvatskog zavoda za zdravstveno osiguranje</w:t>
      </w:r>
    </w:p>
    <w:p w:rsidRDefault="00AE6EB4" w:rsidR="00DF2444">
      <w:pPr>
        <w:pStyle w:val="Zaglavlje"/>
        <w:shd w:fill="FFFFFF" w:color="auto" w:val="clear"/>
        <w:tabs>
          <w:tab w:pos="4153" w:val="clear"/>
          <w:tab w:pos="8306" w:val="clear"/>
          <w:tab w:pos="746" w:val="left"/>
          <w:tab w:pos="4191" w:val="center"/>
          <w:tab w:pos="8344" w:val="right"/>
        </w:tabs>
        <w:autoSpaceDE w:val="false"/>
        <w:spacing w:lineRule="exact" w:line="295"/>
        <w:jc w:val="both"/>
        <w:rPr>
          <w:rFonts w:hint="eastAsia"/>
        </w:rPr>
      </w:pPr>
      <w:r>
        <w:rPr>
          <w:rFonts w:cs="Times New Roman" w:eastAsia="Times New Roman" w:hAnsi="Times New Roman" w:ascii="Times New Roman"/>
          <w:lang w:val="hr-HR"/>
        </w:rPr>
        <w:t xml:space="preserve"> </w:t>
      </w:r>
      <w:r>
        <w:rPr>
          <w:rFonts w:cs="Times New Roman" w:hAnsi="Times New Roman" w:ascii="Times New Roman"/>
          <w:lang w:val="hr-HR"/>
        </w:rPr>
        <w:t>3. Uvjerenje Državne geodetske uprave</w:t>
      </w:r>
    </w:p>
    <w:p w:rsidRDefault="00AE6EB4" w:rsidR="00DF2444">
      <w:pPr>
        <w:pStyle w:val="Zaglavlje"/>
        <w:shd w:fill="FFFFFF" w:color="auto" w:val="clear"/>
        <w:tabs>
          <w:tab w:pos="4153" w:val="clear"/>
          <w:tab w:pos="8306" w:val="clear"/>
          <w:tab w:pos="746" w:val="left"/>
          <w:tab w:pos="4191" w:val="center"/>
          <w:tab w:pos="8344" w:val="right"/>
        </w:tabs>
        <w:autoSpaceDE w:val="false"/>
        <w:spacing w:lineRule="exact" w:line="295"/>
        <w:ind w:left="38"/>
        <w:jc w:val="both"/>
        <w:rPr>
          <w:rFonts w:hint="eastAsia"/>
        </w:rPr>
      </w:pPr>
      <w:r>
        <w:rPr>
          <w:rFonts w:cs="Times New Roman" w:hAnsi="Times New Roman" w:ascii="Times New Roman"/>
          <w:lang w:val="hr-HR"/>
        </w:rPr>
        <w:t>4. Uvjerenje Gradskog ureda za katastar i geodetske poslove</w:t>
      </w:r>
    </w:p>
    <w:p w:rsidRDefault="00DF2444" w:rsidR="00DF2444">
      <w:pPr>
        <w:pStyle w:val="Zaglavlje"/>
        <w:shd w:fill="FFFFFF" w:color="auto" w:val="clear"/>
        <w:tabs>
          <w:tab w:pos="4153" w:val="clear"/>
          <w:tab w:pos="8306" w:val="clear"/>
          <w:tab w:pos="746" w:val="left"/>
          <w:tab w:pos="4191" w:val="center"/>
          <w:tab w:pos="8344" w:val="right"/>
        </w:tabs>
        <w:autoSpaceDE w:val="false"/>
        <w:spacing w:lineRule="exact" w:line="295"/>
        <w:ind w:left="38"/>
        <w:jc w:val="both"/>
        <w:rPr>
          <w:rFonts w:hint="eastAsia"/>
        </w:rPr>
      </w:pPr>
    </w:p>
    <w:sectPr w:rsidR="00DF2444">
      <w:headerReference w:type="default" r:id="rId9"/>
      <w:footerReference w:type="default" r:id="rId10"/>
      <w:headerReference w:type="first" r:id="rId11"/>
      <w:footerReference w:type="first" r:id="rId12"/>
      <w:pgSz w:h="15840" w:w="12240"/>
      <w:pgMar w:gutter="0" w:footer="720" w:header="720" w:left="1134" w:bottom="1843" w:right="1325" w:top="1134"/>
      <w:cols w:space="720"/>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E6EB4" w:rsidR="00DF2444">
      <w:pPr>
        <w:rPr>
          <w:rFonts w:hint="eastAsia"/>
        </w:rPr>
      </w:pPr>
      <w:r>
        <w:separator/>
      </w:r>
    </w:p>
  </w:endnote>
  <w:endnote w:id="0" w:type="continuationSeparator">
    <w:p w:rsidRDefault="00AE6EB4" w:rsidR="00DF2444">
      <w:pPr>
        <w:rPr>
          <w:rFonts w:hint="eastAsia"/>
        </w:rPr>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Liberation Serif">
    <w:altName w:val="Times New Roman"/>
    <w:charset w:val="EE"/>
    <w:family w:val="roman"/>
    <w:pitch w:val="variable"/>
  </w:font>
  <w:font w:name="SimSun">
    <w:altName w:val="宋体"/>
    <w:panose1 w:val="02010600030101010101"/>
    <w:charset w:val="86"/>
    <w:family w:val="auto"/>
    <w:pitch w:val="variable"/>
    <w:sig w:csb1="00000000" w:csb0="00040001" w:usb3="00000000" w:usb2="00000016" w:usb1="288F0000" w:usb0="00000003"/>
  </w:font>
  <w:font w:name="Mangal">
    <w:panose1 w:val="02040503050203030202"/>
    <w:charset w:val="00"/>
    <w:family w:val="roman"/>
    <w:pitch w:val="variable"/>
    <w:sig w:csb1="00000000" w:csb0="00000001" w:usb3="00000000" w:usb2="00000000" w:usb1="00000000" w:usb0="00008003"/>
  </w:font>
  <w:font w:name="Bookman Old Style">
    <w:panose1 w:val="02050604050505020204"/>
    <w:charset w:val="EE"/>
    <w:family w:val="roman"/>
    <w:pitch w:val="variable"/>
    <w:sig w:csb1="00000000" w:csb0="0000009F" w:usb3="00000000" w:usb2="00000000" w:usb1="00000000" w:usb0="00000287"/>
  </w:font>
  <w:font w:name="Tahoma">
    <w:panose1 w:val="020B0604030504040204"/>
    <w:charset w:val="EE"/>
    <w:family w:val="swiss"/>
    <w:pitch w:val="variable"/>
    <w:sig w:csb1="00000000" w:csb0="000101FF" w:usb3="00000000" w:usb2="00000029" w:usb1="C000605B" w:usb0="E1002EFF"/>
  </w:font>
  <w:font w:name="Liberation Sans">
    <w:altName w:val="Arial"/>
    <w:charset w:val="EE"/>
    <w:family w:val="swiss"/>
    <w:pitch w:val="variable"/>
  </w:font>
  <w:font w:name="Microsoft YaHei">
    <w:panose1 w:val="020B0503020204020204"/>
    <w:charset w:val="86"/>
    <w:family w:val="swiss"/>
    <w:pitch w:val="variable"/>
    <w:sig w:csb1="00000000" w:csb0="0004001F" w:usb3="00000000" w:usb2="00000016" w:usb1="280F3C52" w:usb0="80000287"/>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E6EB4" w:rsidR="00DF2444">
    <w:pPr>
      <w:widowControl/>
      <w:pBdr>
        <w:top w:space="1" w:sz="4" w:color="000000" w:val="single"/>
        <w:left w:space="0" w:sz="0" w:color="000000" w:val="none"/>
        <w:bottom w:space="0" w:sz="0" w:color="000000" w:val="none"/>
        <w:right w:space="0" w:sz="0" w:color="000000" w:val="none"/>
      </w:pBdr>
      <w:tabs>
        <w:tab w:pos="4153" w:val="center"/>
        <w:tab w:pos="8306" w:val="right"/>
      </w:tabs>
      <w:suppressAutoHyphens w:val="false"/>
      <w:ind w:right="360"/>
      <w:rPr>
        <w:rFonts w:hint="eastAsia"/>
      </w:rPr>
    </w:pPr>
    <w:r>
      <w:rPr>
        <w:rFonts w:cs="Times New Roman" w:eastAsia="Times New Roman" w:hAnsi="Times New Roman" w:ascii="Times New Roman"/>
        <w:i/>
        <w:sz w:val="18"/>
        <w:szCs w:val="18"/>
        <w:lang w:bidi="ar-SA" w:eastAsia="hr-HR" w:val="hr-HR"/>
      </w:rPr>
      <w:t>Zagreb, lipanj 2019. godine</w:t>
    </w:r>
  </w:p>
  <w:p w:rsidRDefault="00AE6EB4" w:rsidR="00DF2444">
    <w:pPr>
      <w:pStyle w:val="Podnoje"/>
      <w:jc w:val="right"/>
      <w:rPr>
        <w:rFonts w:hint="eastAsia"/>
      </w:rPr>
    </w:pPr>
    <w:r>
      <w:fldChar w:fldCharType="begin"/>
    </w:r>
    <w:r>
      <w:instrText xml:space="preserve"> PAGE </w:instrText>
    </w:r>
    <w:r>
      <w:fldChar w:fldCharType="separate"/>
    </w:r>
    <w:r w:rsidR="00947F0E">
      <w:rPr>
        <w:rFonts w:hint="eastAsia"/>
        <w:noProof/>
      </w:rPr>
      <w:t>18</w:t>
    </w:r>
    <w:r>
      <w:fldChar w:fldCharType="end"/>
    </w:r>
  </w:p>
  <w:p w:rsidRDefault="00DF2444" w:rsidR="00DF2444">
    <w:pPr>
      <w:pStyle w:val="Podnoje"/>
      <w:rPr>
        <w:rFonts w:hint="eastAsia"/>
      </w:rPr>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2444" w:rsidR="00DF2444">
    <w:pPr>
      <w:rPr>
        <w:rFonts w:hint="eastAsia"/>
      </w:rPr>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E6EB4" w:rsidR="00DF2444">
      <w:pPr>
        <w:rPr>
          <w:rFonts w:hint="eastAsia"/>
        </w:rPr>
      </w:pPr>
      <w:r>
        <w:separator/>
      </w:r>
    </w:p>
  </w:footnote>
  <w:footnote w:id="0" w:type="continuationSeparator">
    <w:p w:rsidRDefault="00AE6EB4" w:rsidR="00DF2444">
      <w:pPr>
        <w:rPr>
          <w:rFonts w:hint="eastAsia"/>
        </w:rPr>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E6EB4" w:rsidR="00DF2444">
    <w:pPr>
      <w:pStyle w:val="Zaglavlje"/>
      <w:pBdr>
        <w:top w:space="0" w:sz="0" w:color="000000" w:val="none"/>
        <w:left w:space="0" w:sz="0" w:color="000000" w:val="none"/>
        <w:bottom w:space="1" w:sz="4" w:color="000000" w:val="single"/>
        <w:right w:space="0" w:sz="0" w:color="000000" w:val="none"/>
      </w:pBdr>
      <w:rPr>
        <w:rFonts w:hint="eastAsia"/>
      </w:rPr>
    </w:pPr>
    <w:r>
      <w:rPr>
        <w:rFonts w:cs="Times New Roman" w:eastAsia="Times New Roman" w:hAnsi="Times New Roman" w:ascii="Times New Roman"/>
        <w:i/>
        <w:sz w:val="18"/>
        <w:szCs w:val="18"/>
        <w:lang w:bidi="ar-SA" w:eastAsia="hr-HR" w:val="hr-HR"/>
      </w:rPr>
      <w:t>Izvješće o gospodarskom položaju stečajnog dužnika i njegovim uzrocima</w:t>
    </w:r>
  </w:p>
  <w:p w:rsidRDefault="00DF2444" w:rsidR="00DF2444">
    <w:pPr>
      <w:pStyle w:val="Zaglavlje"/>
      <w:rPr>
        <w:rFonts w:hint="eastAsia"/>
      </w:rPr>
    </w:pPr>
  </w:p>
  <w:p w:rsidRDefault="00DF2444" w:rsidR="00DF2444">
    <w:pPr>
      <w:pStyle w:val="Zaglavlje"/>
      <w:rPr>
        <w:rFonts w:hint="eastAsia"/>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2444" w:rsidR="00DF2444">
    <w:pPr>
      <w:rPr>
        <w:rFonts w:hint="eastAsia"/>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2"/>
    <w:lvl w:ilvl="0">
      <w:start w:val="6"/>
      <w:numFmt w:val="decimal"/>
      <w:lvlText w:val="%1."/>
      <w:lvlJc w:val="left"/>
      <w:pPr>
        <w:tabs>
          <w:tab w:pos="495" w:val="num"/>
        </w:tabs>
        <w:ind w:hanging="495" w:left="495"/>
      </w:pPr>
    </w:lvl>
    <w:lvl w:ilvl="1">
      <w:start w:val="1"/>
      <w:numFmt w:val="decimal"/>
      <w:lvlText w:val="%1.%2."/>
      <w:lvlJc w:val="left"/>
      <w:pPr>
        <w:tabs>
          <w:tab w:pos="1080" w:val="num"/>
        </w:tabs>
        <w:ind w:hanging="720" w:left="1080"/>
      </w:pPr>
      <w:rPr>
        <w:b w:val="false"/>
      </w:rPr>
    </w:lvl>
    <w:lvl w:ilvl="2">
      <w:start w:val="1"/>
      <w:numFmt w:val="decimal"/>
      <w:lvlText w:val="%1.%2.%3."/>
      <w:lvlJc w:val="left"/>
      <w:pPr>
        <w:tabs>
          <w:tab w:pos="708" w:val="num"/>
        </w:tabs>
        <w:ind w:hanging="720" w:left="1440"/>
      </w:pPr>
    </w:lvl>
    <w:lvl w:ilvl="3">
      <w:start w:val="1"/>
      <w:numFmt w:val="decimal"/>
      <w:lvlText w:val="%1.%2.%3.%4."/>
      <w:lvlJc w:val="left"/>
      <w:pPr>
        <w:tabs>
          <w:tab w:pos="2160" w:val="num"/>
        </w:tabs>
        <w:ind w:hanging="1080" w:left="2160"/>
      </w:pPr>
    </w:lvl>
    <w:lvl w:ilvl="4">
      <w:start w:val="1"/>
      <w:numFmt w:val="decimal"/>
      <w:lvlText w:val="%1.%2.%3.%4.%5."/>
      <w:lvlJc w:val="left"/>
      <w:pPr>
        <w:tabs>
          <w:tab w:pos="2880" w:val="num"/>
        </w:tabs>
        <w:ind w:hanging="1440" w:left="2880"/>
      </w:pPr>
    </w:lvl>
    <w:lvl w:ilvl="5">
      <w:start w:val="1"/>
      <w:numFmt w:val="decimal"/>
      <w:lvlText w:val="%1.%2.%3.%4.%5.%6."/>
      <w:lvlJc w:val="left"/>
      <w:pPr>
        <w:tabs>
          <w:tab w:pos="3240" w:val="num"/>
        </w:tabs>
        <w:ind w:hanging="1440" w:left="3240"/>
      </w:pPr>
    </w:lvl>
    <w:lvl w:ilvl="6">
      <w:start w:val="1"/>
      <w:numFmt w:val="decimal"/>
      <w:lvlText w:val="%1.%2.%3.%4.%5.%6.%7."/>
      <w:lvlJc w:val="left"/>
      <w:pPr>
        <w:tabs>
          <w:tab w:pos="3960" w:val="num"/>
        </w:tabs>
        <w:ind w:hanging="1800" w:left="3960"/>
      </w:pPr>
    </w:lvl>
    <w:lvl w:ilvl="7">
      <w:start w:val="1"/>
      <w:numFmt w:val="decimal"/>
      <w:lvlText w:val="%1.%2.%3.%4.%5.%6.%7.%8."/>
      <w:lvlJc w:val="left"/>
      <w:pPr>
        <w:tabs>
          <w:tab w:pos="4680" w:val="num"/>
        </w:tabs>
        <w:ind w:hanging="2160" w:left="4680"/>
      </w:pPr>
    </w:lvl>
    <w:lvl w:ilvl="8">
      <w:start w:val="1"/>
      <w:numFmt w:val="decimal"/>
      <w:lvlText w:val="%1.%2.%3.%4.%5.%6.%7.%8.%9."/>
      <w:lvlJc w:val="left"/>
      <w:pPr>
        <w:tabs>
          <w:tab w:pos="5040" w:val="num"/>
        </w:tabs>
        <w:ind w:hanging="2160" w:left="5040"/>
      </w:pPr>
    </w:lvl>
  </w:abstractNum>
  <w:abstractNum w:abstractNumId="1">
    <w:nsid w:val="00000002"/>
    <w:multiLevelType w:val="multilevel"/>
    <w:tmpl w:val="00000002"/>
    <w:name w:val="WW8Num4"/>
    <w:lvl w:ilvl="0">
      <w:start w:val="1"/>
      <w:numFmt w:val="decimal"/>
      <w:lvlText w:val="%1."/>
      <w:lvlJc w:val="left"/>
      <w:pPr>
        <w:tabs>
          <w:tab w:pos="750" w:val="num"/>
        </w:tabs>
        <w:ind w:hanging="390" w:left="750"/>
      </w:pPr>
    </w:lvl>
    <w:lvl w:ilvl="1">
      <w:start w:val="1"/>
      <w:numFmt w:val="decimal"/>
      <w:lvlText w:val="%2."/>
      <w:lvlJc w:val="left"/>
      <w:pPr>
        <w:tabs>
          <w:tab w:pos="1440" w:val="num"/>
        </w:tabs>
        <w:ind w:hanging="360" w:left="1440"/>
      </w:pPr>
      <w:rPr>
        <w:rFonts w:cs="Courier New" w:hAnsi="Courier New" w:ascii="Courier New"/>
        <w:color w:val="000000"/>
        <w:spacing w:val="6"/>
        <w:szCs w:val="24"/>
      </w:rPr>
    </w:lvl>
    <w:lvl w:ilvl="2">
      <w:start w:val="1"/>
      <w:numFmt w:val="decimal"/>
      <w:lvlText w:val="%3."/>
      <w:lvlJc w:val="left"/>
      <w:pPr>
        <w:tabs>
          <w:tab w:pos="2160" w:val="num"/>
        </w:tabs>
        <w:ind w:hanging="360" w:left="2160"/>
      </w:pPr>
      <w:rPr>
        <w:rFonts w:cs="Wingdings" w:hAnsi="Wingdings" w:ascii="Wingdings"/>
      </w:rPr>
    </w:lvl>
    <w:lvl w:ilvl="3">
      <w:start w:val="1"/>
      <w:numFmt w:val="decimal"/>
      <w:lvlText w:val="%4."/>
      <w:lvlJc w:val="left"/>
      <w:pPr>
        <w:tabs>
          <w:tab w:pos="2880" w:val="num"/>
        </w:tabs>
        <w:ind w:hanging="360" w:left="2880"/>
      </w:pPr>
      <w:rPr>
        <w:rFonts w:cs="Symbol" w:hAnsi="Symbol" w:ascii="Symbol"/>
      </w:rPr>
    </w:lvl>
    <w:lvl w:ilvl="4">
      <w:start w:val="1"/>
      <w:numFmt w:val="decimal"/>
      <w:lvlText w:val="%5."/>
      <w:lvlJc w:val="left"/>
      <w:pPr>
        <w:tabs>
          <w:tab w:pos="3600" w:val="num"/>
        </w:tabs>
        <w:ind w:hanging="360" w:left="3600"/>
      </w:pPr>
    </w:lvl>
    <w:lvl w:ilvl="5">
      <w:start w:val="1"/>
      <w:numFmt w:val="decimal"/>
      <w:lvlText w:val="%6."/>
      <w:lvlJc w:val="left"/>
      <w:pPr>
        <w:tabs>
          <w:tab w:pos="4320" w:val="num"/>
        </w:tabs>
        <w:ind w:hanging="360" w:left="4320"/>
      </w:pPr>
    </w:lvl>
    <w:lvl w:ilvl="6">
      <w:start w:val="1"/>
      <w:numFmt w:val="decimal"/>
      <w:lvlText w:val="%7."/>
      <w:lvlJc w:val="left"/>
      <w:pPr>
        <w:tabs>
          <w:tab w:pos="5040" w:val="num"/>
        </w:tabs>
        <w:ind w:hanging="360" w:left="5040"/>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abstractNum w:abstractNumId="2">
    <w:nsid w:val="00000003"/>
    <w:multiLevelType w:val="singleLevel"/>
    <w:tmpl w:val="00000003"/>
    <w:name w:val="WW8Num6"/>
    <w:lvl w:ilvl="0">
      <w:start w:val="1"/>
      <w:numFmt w:val="bullet"/>
      <w:lvlText w:val=""/>
      <w:lvlJc w:val="left"/>
      <w:pPr>
        <w:tabs>
          <w:tab w:pos="0" w:val="num"/>
        </w:tabs>
        <w:ind w:hanging="360" w:left="780"/>
      </w:pPr>
      <w:rPr>
        <w:rFonts w:cs="Symbol" w:hAnsi="Symbol" w:ascii="Symbol" w:hint="default"/>
      </w:rPr>
    </w:lvl>
  </w:abstractNum>
  <w:abstractNum w:abstractNumId="3">
    <w:nsid w:val="00000004"/>
    <w:multiLevelType w:val="singleLevel"/>
    <w:tmpl w:val="00000004"/>
    <w:name w:val="WW8Num7"/>
    <w:lvl w:ilvl="0">
      <w:start w:val="1"/>
      <w:numFmt w:val="bullet"/>
      <w:lvlText w:val=""/>
      <w:lvlJc w:val="left"/>
      <w:pPr>
        <w:tabs>
          <w:tab w:pos="0" w:val="num"/>
        </w:tabs>
        <w:ind w:hanging="360" w:left="780"/>
      </w:pPr>
      <w:rPr>
        <w:rFonts w:cs="Symbol" w:hAnsi="Symbol" w:ascii="Symbol" w:hint="default"/>
      </w:rPr>
    </w:lvl>
  </w:abstractNum>
  <w:abstractNum w:abstractNumId="4">
    <w:nsid w:val="00000005"/>
    <w:multiLevelType w:val="singleLevel"/>
    <w:tmpl w:val="00000005"/>
    <w:name w:val="WW8Num8"/>
    <w:lvl w:ilvl="0">
      <w:start w:val="1"/>
      <w:numFmt w:val="bullet"/>
      <w:lvlText w:val=""/>
      <w:lvlJc w:val="left"/>
      <w:pPr>
        <w:tabs>
          <w:tab w:pos="0" w:val="num"/>
        </w:tabs>
        <w:ind w:hanging="360" w:left="780"/>
      </w:pPr>
      <w:rPr>
        <w:rFonts w:cs="Symbol" w:hAnsi="Symbol" w:ascii="Symbol" w:hint="default"/>
      </w:rPr>
    </w:lvl>
  </w:abstractNum>
  <w:abstractNum w:abstractNumId="5">
    <w:nsid w:val="00000006"/>
    <w:multiLevelType w:val="singleLevel"/>
    <w:tmpl w:val="00000006"/>
    <w:name w:val="WW8Num9"/>
    <w:lvl w:ilvl="0">
      <w:start w:val="1"/>
      <w:numFmt w:val="bullet"/>
      <w:lvlText w:val=""/>
      <w:lvlJc w:val="left"/>
      <w:pPr>
        <w:tabs>
          <w:tab w:pos="0" w:val="num"/>
        </w:tabs>
        <w:ind w:hanging="360" w:left="780"/>
      </w:pPr>
      <w:rPr>
        <w:rFonts w:cs="Symbol" w:hAnsi="Symbol" w:ascii="Symbol" w:hint="default"/>
      </w:rPr>
    </w:lvl>
  </w:abstractNum>
  <w:abstractNum w:abstractNumId="6">
    <w:nsid w:val="00000007"/>
    <w:multiLevelType w:val="singleLevel"/>
    <w:tmpl w:val="00000007"/>
    <w:name w:val="WW8Num10"/>
    <w:lvl w:ilvl="0">
      <w:start w:val="1"/>
      <w:numFmt w:val="bullet"/>
      <w:lvlText w:val=""/>
      <w:lvlJc w:val="left"/>
      <w:pPr>
        <w:tabs>
          <w:tab w:pos="0" w:val="num"/>
        </w:tabs>
        <w:ind w:hanging="360" w:left="780"/>
      </w:pPr>
      <w:rPr>
        <w:rFonts w:cs="Symbol" w:hAnsi="Symbol" w:ascii="Symbol" w:hint="default"/>
      </w:rPr>
    </w:lvl>
  </w:abstractNum>
  <w:abstractNum w:abstractNumId="7">
    <w:nsid w:val="00000008"/>
    <w:multiLevelType w:val="singleLevel"/>
    <w:tmpl w:val="00000008"/>
    <w:name w:val="WW8Num11"/>
    <w:lvl w:ilvl="0">
      <w:start w:val="1"/>
      <w:numFmt w:val="bullet"/>
      <w:lvlText w:val=""/>
      <w:lvlJc w:val="left"/>
      <w:pPr>
        <w:tabs>
          <w:tab w:pos="0" w:val="num"/>
        </w:tabs>
        <w:ind w:hanging="360" w:left="780"/>
      </w:pPr>
      <w:rPr>
        <w:rFonts w:cs="Symbol" w:hAnsi="Symbol" w:ascii="Symbol" w:hint="default"/>
      </w:rPr>
    </w:lvl>
  </w:abstractNum>
  <w:abstractNum w:abstractNumId="8">
    <w:nsid w:val="00000009"/>
    <w:multiLevelType w:val="singleLevel"/>
    <w:tmpl w:val="00000009"/>
    <w:name w:val="WW8Num12"/>
    <w:lvl w:ilvl="0">
      <w:start w:val="1"/>
      <w:numFmt w:val="bullet"/>
      <w:lvlText w:val=""/>
      <w:lvlJc w:val="left"/>
      <w:pPr>
        <w:tabs>
          <w:tab w:pos="0" w:val="num"/>
        </w:tabs>
        <w:ind w:hanging="360" w:left="780"/>
      </w:pPr>
      <w:rPr>
        <w:rFonts w:cs="Symbol" w:hAnsi="Symbol" w:ascii="Symbol" w:hint="default"/>
      </w:rPr>
    </w:lvl>
  </w:abstractNum>
  <w:abstractNum w:abstractNumId="9">
    <w:nsid w:val="0000000A"/>
    <w:multiLevelType w:val="singleLevel"/>
    <w:tmpl w:val="0000000A"/>
    <w:name w:val="WW8Num13"/>
    <w:lvl w:ilvl="0">
      <w:start w:val="1"/>
      <w:numFmt w:val="bullet"/>
      <w:lvlText w:val=""/>
      <w:lvlJc w:val="left"/>
      <w:pPr>
        <w:tabs>
          <w:tab w:pos="0" w:val="num"/>
        </w:tabs>
        <w:ind w:hanging="360" w:left="780"/>
      </w:pPr>
      <w:rPr>
        <w:rFonts w:cs="Symbol" w:hAnsi="Symbol" w:ascii="Symbol" w:hint="default"/>
      </w:rPr>
    </w:lvl>
  </w:abstractNum>
  <w:abstractNum w:abstractNumId="10">
    <w:nsid w:val="0000000B"/>
    <w:multiLevelType w:val="singleLevel"/>
    <w:tmpl w:val="0000000B"/>
    <w:name w:val="WW8Num14"/>
    <w:lvl w:ilvl="0">
      <w:start w:val="1"/>
      <w:numFmt w:val="bullet"/>
      <w:lvlText w:val=""/>
      <w:lvlJc w:val="left"/>
      <w:pPr>
        <w:tabs>
          <w:tab w:pos="0" w:val="num"/>
        </w:tabs>
        <w:ind w:hanging="360" w:left="780"/>
      </w:pPr>
      <w:rPr>
        <w:rFonts w:cs="Symbol" w:hAnsi="Symbol" w:ascii="Symbol" w:hint="default"/>
      </w:rPr>
    </w:lvl>
  </w:abstractNum>
  <w:abstractNum w:abstractNumId="11">
    <w:nsid w:val="0000000C"/>
    <w:multiLevelType w:val="singleLevel"/>
    <w:tmpl w:val="0000000C"/>
    <w:name w:val="WW8Num15"/>
    <w:lvl w:ilvl="0">
      <w:start w:val="1"/>
      <w:numFmt w:val="bullet"/>
      <w:lvlText w:val=""/>
      <w:lvlJc w:val="left"/>
      <w:pPr>
        <w:tabs>
          <w:tab w:pos="0" w:val="num"/>
        </w:tabs>
        <w:ind w:hanging="360" w:left="780"/>
      </w:pPr>
      <w:rPr>
        <w:rFonts w:cs="Symbol" w:hAnsi="Symbol" w:ascii="Symbol" w:hint="default"/>
      </w:rPr>
    </w:lvl>
  </w:abstractNum>
  <w:abstractNum w:abstractNumId="12">
    <w:nsid w:val="0000000D"/>
    <w:multiLevelType w:val="singleLevel"/>
    <w:tmpl w:val="0000000D"/>
    <w:name w:val="WW8Num16"/>
    <w:lvl w:ilvl="0">
      <w:start w:val="1"/>
      <w:numFmt w:val="bullet"/>
      <w:lvlText w:val=""/>
      <w:lvlJc w:val="left"/>
      <w:pPr>
        <w:tabs>
          <w:tab w:pos="0" w:val="num"/>
        </w:tabs>
        <w:ind w:hanging="360" w:left="780"/>
      </w:pPr>
      <w:rPr>
        <w:rFonts w:cs="Symbol" w:hAnsi="Symbol" w:ascii="Symbol" w:hint="default"/>
      </w:rPr>
    </w:lvl>
  </w:abstractNum>
  <w:abstractNum w:abstractNumId="13">
    <w:nsid w:val="0000000E"/>
    <w:multiLevelType w:val="singleLevel"/>
    <w:tmpl w:val="0000000E"/>
    <w:name w:val="WW8Num18"/>
    <w:lvl w:ilvl="0">
      <w:start w:val="1"/>
      <w:numFmt w:val="bullet"/>
      <w:lvlText w:val=""/>
      <w:lvlJc w:val="left"/>
      <w:pPr>
        <w:tabs>
          <w:tab w:pos="0" w:val="num"/>
        </w:tabs>
        <w:ind w:hanging="360" w:left="780"/>
      </w:pPr>
      <w:rPr>
        <w:rFonts w:cs="Symbol" w:hAnsi="Symbol" w:ascii="Symbol" w:hint="default"/>
      </w:rPr>
    </w:lvl>
  </w:abstractNum>
  <w:abstractNum w:abstractNumId="14">
    <w:nsid w:val="0000000F"/>
    <w:multiLevelType w:val="singleLevel"/>
    <w:tmpl w:val="0000000F"/>
    <w:name w:val="WW8Num19"/>
    <w:lvl w:ilvl="0">
      <w:start w:val="1"/>
      <w:numFmt w:val="bullet"/>
      <w:lvlText w:val=""/>
      <w:lvlJc w:val="left"/>
      <w:pPr>
        <w:tabs>
          <w:tab w:pos="0" w:val="num"/>
        </w:tabs>
        <w:ind w:hanging="360" w:left="780"/>
      </w:pPr>
      <w:rPr>
        <w:rFonts w:cs="Symbol" w:hAnsi="Symbol" w:ascii="Symbol" w:hint="default"/>
      </w:rPr>
    </w:lvl>
  </w:abstractNum>
  <w:abstractNum w:abstractNumId="15">
    <w:nsid w:val="00000010"/>
    <w:multiLevelType w:val="singleLevel"/>
    <w:tmpl w:val="00000010"/>
    <w:name w:val="WW8Num20"/>
    <w:lvl w:ilvl="0">
      <w:start w:val="1"/>
      <w:numFmt w:val="bullet"/>
      <w:lvlText w:val=""/>
      <w:lvlJc w:val="left"/>
      <w:pPr>
        <w:tabs>
          <w:tab w:pos="0" w:val="num"/>
        </w:tabs>
        <w:ind w:hanging="360" w:left="780"/>
      </w:pPr>
      <w:rPr>
        <w:rFonts w:cs="Symbol" w:hAnsi="Symbol" w:ascii="Symbol" w:hint="default"/>
      </w:rPr>
    </w:lvl>
  </w:abstractNum>
  <w:abstractNum w:abstractNumId="16">
    <w:nsid w:val="00000011"/>
    <w:multiLevelType w:val="singleLevel"/>
    <w:tmpl w:val="00000011"/>
    <w:name w:val="WW8Num21"/>
    <w:lvl w:ilvl="0">
      <w:start w:val="1"/>
      <w:numFmt w:val="bullet"/>
      <w:lvlText w:val=""/>
      <w:lvlJc w:val="left"/>
      <w:pPr>
        <w:tabs>
          <w:tab w:pos="0" w:val="num"/>
        </w:tabs>
        <w:ind w:hanging="360" w:left="780"/>
      </w:pPr>
      <w:rPr>
        <w:rFonts w:cs="Symbol" w:hAnsi="Symbol" w:ascii="Symbol" w:hint="default"/>
      </w:rPr>
    </w:lvl>
  </w:abstractNum>
  <w:abstractNum w:abstractNumId="17">
    <w:nsid w:val="00000012"/>
    <w:multiLevelType w:val="multilevel"/>
    <w:tmpl w:val="00000012"/>
    <w:lvl w:ilvl="0">
      <w:start w:val="1"/>
      <w:numFmt w:val="none"/>
      <w:suff w:val="nothing"/>
      <w:lvlText w:val=""/>
      <w:lvlJc w:val="left"/>
      <w:pPr>
        <w:tabs>
          <w:tab w:pos="0" w:val="num"/>
        </w:tabs>
        <w:ind w:firstLine="0" w:left="0"/>
      </w:pPr>
    </w:lvl>
    <w:lvl w:ilvl="1">
      <w:start w:val="1"/>
      <w:numFmt w:val="none"/>
      <w:suff w:val="nothing"/>
      <w:lvlText w:val=""/>
      <w:lvlJc w:val="left"/>
      <w:pPr>
        <w:tabs>
          <w:tab w:pos="0" w:val="num"/>
        </w:tabs>
        <w:ind w:firstLine="0" w:left="0"/>
      </w:pPr>
    </w:lvl>
    <w:lvl w:ilvl="2">
      <w:start w:val="1"/>
      <w:numFmt w:val="none"/>
      <w:suff w:val="nothing"/>
      <w:lvlText w:val=""/>
      <w:lvlJc w:val="left"/>
      <w:pPr>
        <w:tabs>
          <w:tab w:pos="0" w:val="num"/>
        </w:tabs>
        <w:ind w:firstLine="0" w:left="0"/>
      </w:pPr>
    </w:lvl>
    <w:lvl w:ilvl="3">
      <w:start w:val="1"/>
      <w:numFmt w:val="none"/>
      <w:suff w:val="nothing"/>
      <w:lvlText w:val=""/>
      <w:lvlJc w:val="left"/>
      <w:pPr>
        <w:tabs>
          <w:tab w:pos="0" w:val="num"/>
        </w:tabs>
        <w:ind w:firstLine="0" w:left="0"/>
      </w:pPr>
    </w:lvl>
    <w:lvl w:ilvl="4">
      <w:start w:val="1"/>
      <w:numFmt w:val="none"/>
      <w:suff w:val="nothing"/>
      <w:lvlText w:val=""/>
      <w:lvlJc w:val="left"/>
      <w:pPr>
        <w:tabs>
          <w:tab w:pos="0" w:val="num"/>
        </w:tabs>
        <w:ind w:firstLine="0" w:left="0"/>
      </w:pPr>
    </w:lvl>
    <w:lvl w:ilvl="5">
      <w:start w:val="1"/>
      <w:numFmt w:val="none"/>
      <w:suff w:val="nothing"/>
      <w:lvlText w:val=""/>
      <w:lvlJc w:val="left"/>
      <w:pPr>
        <w:tabs>
          <w:tab w:pos="0" w:val="num"/>
        </w:tabs>
        <w:ind w:firstLine="0" w:left="0"/>
      </w:pPr>
    </w:lvl>
    <w:lvl w:ilvl="6">
      <w:start w:val="1"/>
      <w:numFmt w:val="none"/>
      <w:suff w:val="nothing"/>
      <w:lvlText w:val=""/>
      <w:lvlJc w:val="left"/>
      <w:pPr>
        <w:tabs>
          <w:tab w:pos="0" w:val="num"/>
        </w:tabs>
        <w:ind w:firstLine="0" w:left="0"/>
      </w:pPr>
    </w:lvl>
    <w:lvl w:ilvl="7">
      <w:start w:val="1"/>
      <w:numFmt w:val="none"/>
      <w:suff w:val="nothing"/>
      <w:lvlText w:val=""/>
      <w:lvlJc w:val="left"/>
      <w:pPr>
        <w:tabs>
          <w:tab w:pos="0" w:val="num"/>
        </w:tabs>
        <w:ind w:firstLine="0" w:left="0"/>
      </w:pPr>
    </w:lvl>
    <w:lvl w:ilvl="8">
      <w:start w:val="1"/>
      <w:numFmt w:val="none"/>
      <w:suff w:val="nothing"/>
      <w:lvlText w:val=""/>
      <w:lvlJc w:val="left"/>
      <w:pPr>
        <w:tabs>
          <w:tab w:pos="0" w:val="num"/>
        </w:tabs>
        <w:ind w:firstLine="0" w:left="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E6EB4"/>
    <w:rsid w:val="00947F0E"/>
    <w:rsid w:val="00AE6EB4"/>
    <w:rsid w:val="00DF24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colormenu v:ext="edit" shadowcolor="none [2]" fillcolor="none [4]" strokecolor="none [1]"/>
    </o:shapedefaults>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nhideWhenUsed="false" w:semiHidden="fals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widowControl w:val="false"/>
      <w:suppressAutoHyphens/>
    </w:pPr>
    <w:rPr>
      <w:rFonts w:cs="Mangal" w:eastAsia="SimSun" w:hAnsi="Liberation Serif" w:ascii="Liberation Serif"/>
      <w:kern w:val="1"/>
      <w:sz w:val="24"/>
      <w:szCs w:val="24"/>
      <w:lang w:bidi="hi-IN" w:eastAsia="zh-CN"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WW8Num1z0" w:type="character">
    <w:name w:val="WW8Num1z0"/>
    <w:rPr>
      <w:rFonts w:cs="Bookman Old Style" w:hAnsi="Times New Roman" w:ascii="Times New Roman"/>
      <w:color w:val="000000"/>
      <w:spacing w:val="10"/>
      <w:lang w:val="hr-HR"/>
    </w:rPr>
  </w:style>
  <w:style w:customStyle="true" w:styleId="WW8Num1z1" w:type="character">
    <w:name w:val="WW8Num1z1"/>
    <w:rPr>
      <w:rFonts w:cs="Courier New" w:hAnsi="Courier New" w:ascii="Courier New"/>
    </w:rPr>
  </w:style>
  <w:style w:customStyle="true" w:styleId="WW8Num1z2" w:type="character">
    <w:name w:val="WW8Num1z2"/>
    <w:rPr>
      <w:rFonts w:cs="Bookman Old Style" w:hAnsi="Wingdings" w:ascii="Wingdings"/>
      <w:color w:val="000000"/>
      <w:spacing w:val="10"/>
      <w:szCs w:val="24"/>
      <w:lang w:val="pl-PL"/>
    </w:rPr>
  </w:style>
  <w:style w:customStyle="true" w:styleId="WW8Num1z3" w:type="character">
    <w:name w:val="WW8Num1z3"/>
    <w:rPr>
      <w:rFonts w:cs="Symbol" w:hAnsi="Symbol" w:ascii="Symbol"/>
    </w:rPr>
  </w:style>
  <w:style w:customStyle="true" w:styleId="WW8Num2z0" w:type="character">
    <w:name w:val="WW8Num2z0"/>
  </w:style>
  <w:style w:customStyle="true" w:styleId="WW8Num2z1" w:type="character">
    <w:name w:val="WW8Num2z1"/>
    <w:rPr>
      <w:b w:val="false"/>
    </w:rPr>
  </w:style>
  <w:style w:customStyle="true" w:styleId="WW8Num2z2" w:type="character">
    <w:name w:val="WW8Num2z2"/>
  </w:style>
  <w:style w:customStyle="true" w:styleId="WW8Num2z3" w:type="character">
    <w:name w:val="WW8Num2z3"/>
  </w:style>
  <w:style w:customStyle="true" w:styleId="WW8Num2z4" w:type="character">
    <w:name w:val="WW8Num2z4"/>
  </w:style>
  <w:style w:customStyle="true" w:styleId="WW8Num2z5" w:type="character">
    <w:name w:val="WW8Num2z5"/>
  </w:style>
  <w:style w:customStyle="true" w:styleId="WW8Num2z6" w:type="character">
    <w:name w:val="WW8Num2z6"/>
  </w:style>
  <w:style w:customStyle="true" w:styleId="WW8Num2z7" w:type="character">
    <w:name w:val="WW8Num2z7"/>
  </w:style>
  <w:style w:customStyle="true" w:styleId="WW8Num2z8" w:type="character">
    <w:name w:val="WW8Num2z8"/>
  </w:style>
  <w:style w:customStyle="true" w:styleId="WW8Num3z0" w:type="character">
    <w:name w:val="WW8Num3z0"/>
    <w:rPr>
      <w:rFonts w:cs="Bookman Old Style" w:hAnsi="Bookman Old Style" w:ascii="Bookman Old Style"/>
      <w:shd w:fill="FFFF00" w:color="auto" w:val="clear"/>
      <w:lang w:val="hr-HR"/>
    </w:rPr>
  </w:style>
  <w:style w:customStyle="true" w:styleId="WW8Num3z1" w:type="character">
    <w:name w:val="WW8Num3z1"/>
  </w:style>
  <w:style w:customStyle="true" w:styleId="WW8Num3z2" w:type="character">
    <w:name w:val="WW8Num3z2"/>
  </w:style>
  <w:style w:customStyle="true" w:styleId="WW8Num3z3" w:type="character">
    <w:name w:val="WW8Num3z3"/>
  </w:style>
  <w:style w:customStyle="true" w:styleId="WW8Num3z4" w:type="character">
    <w:name w:val="WW8Num3z4"/>
  </w:style>
  <w:style w:customStyle="true" w:styleId="WW8Num3z5" w:type="character">
    <w:name w:val="WW8Num3z5"/>
  </w:style>
  <w:style w:customStyle="true" w:styleId="WW8Num3z6" w:type="character">
    <w:name w:val="WW8Num3z6"/>
  </w:style>
  <w:style w:customStyle="true" w:styleId="WW8Num3z7" w:type="character">
    <w:name w:val="WW8Num3z7"/>
  </w:style>
  <w:style w:customStyle="true" w:styleId="WW8Num3z8" w:type="character">
    <w:name w:val="WW8Num3z8"/>
  </w:style>
  <w:style w:customStyle="true" w:styleId="WW8Num4z0" w:type="character">
    <w:name w:val="WW8Num4z0"/>
  </w:style>
  <w:style w:customStyle="true" w:styleId="WW8Num4z1" w:type="character">
    <w:name w:val="WW8Num4z1"/>
    <w:rPr>
      <w:rFonts w:cs="Courier New" w:hAnsi="Courier New" w:ascii="Courier New"/>
      <w:color w:val="000000"/>
      <w:spacing w:val="6"/>
      <w:szCs w:val="24"/>
    </w:rPr>
  </w:style>
  <w:style w:customStyle="true" w:styleId="WW8Num4z2" w:type="character">
    <w:name w:val="WW8Num4z2"/>
    <w:rPr>
      <w:rFonts w:cs="Wingdings" w:hAnsi="Wingdings" w:ascii="Wingdings"/>
    </w:rPr>
  </w:style>
  <w:style w:customStyle="true" w:styleId="WW8Num4z3" w:type="character">
    <w:name w:val="WW8Num4z3"/>
    <w:rPr>
      <w:rFonts w:cs="Symbol" w:hAnsi="Symbol" w:ascii="Symbol"/>
    </w:rPr>
  </w:style>
  <w:style w:customStyle="true" w:styleId="WW8Num4z4" w:type="character">
    <w:name w:val="WW8Num4z4"/>
  </w:style>
  <w:style w:customStyle="true" w:styleId="WW8Num4z5" w:type="character">
    <w:name w:val="WW8Num4z5"/>
  </w:style>
  <w:style w:customStyle="true" w:styleId="WW8Num4z6" w:type="character">
    <w:name w:val="WW8Num4z6"/>
  </w:style>
  <w:style w:customStyle="true" w:styleId="WW8Num4z7" w:type="character">
    <w:name w:val="WW8Num4z7"/>
  </w:style>
  <w:style w:customStyle="true" w:styleId="WW8Num4z8" w:type="character">
    <w:name w:val="WW8Num4z8"/>
  </w:style>
  <w:style w:customStyle="true" w:styleId="WW8Num5z0" w:type="character">
    <w:name w:val="WW8Num5z0"/>
  </w:style>
  <w:style w:customStyle="true" w:styleId="WW8Num5z1" w:type="character">
    <w:name w:val="WW8Num5z1"/>
  </w:style>
  <w:style w:customStyle="true" w:styleId="WW8Num5z2" w:type="character">
    <w:name w:val="WW8Num5z2"/>
  </w:style>
  <w:style w:customStyle="true" w:styleId="WW8Num5z3" w:type="character">
    <w:name w:val="WW8Num5z3"/>
  </w:style>
  <w:style w:customStyle="true" w:styleId="WW8Num5z4" w:type="character">
    <w:name w:val="WW8Num5z4"/>
  </w:style>
  <w:style w:customStyle="true" w:styleId="WW8Num5z5" w:type="character">
    <w:name w:val="WW8Num5z5"/>
  </w:style>
  <w:style w:customStyle="true" w:styleId="WW8Num5z6" w:type="character">
    <w:name w:val="WW8Num5z6"/>
  </w:style>
  <w:style w:customStyle="true" w:styleId="WW8Num5z7" w:type="character">
    <w:name w:val="WW8Num5z7"/>
  </w:style>
  <w:style w:customStyle="true" w:styleId="WW8Num5z8" w:type="character">
    <w:name w:val="WW8Num5z8"/>
  </w:style>
  <w:style w:customStyle="true" w:styleId="WW8Num6z0" w:type="character">
    <w:name w:val="WW8Num6z0"/>
    <w:rPr>
      <w:rFonts w:cs="Symbol" w:hAnsi="Symbol" w:ascii="Symbol" w:hint="default"/>
    </w:rPr>
  </w:style>
  <w:style w:customStyle="true" w:styleId="WW8Num6z1" w:type="character">
    <w:name w:val="WW8Num6z1"/>
    <w:rPr>
      <w:rFonts w:cs="Courier New" w:hAnsi="Courier New" w:ascii="Courier New" w:hint="default"/>
    </w:rPr>
  </w:style>
  <w:style w:customStyle="true" w:styleId="WW8Num6z2" w:type="character">
    <w:name w:val="WW8Num6z2"/>
    <w:rPr>
      <w:rFonts w:cs="Wingdings" w:hAnsi="Wingdings" w:ascii="Wingdings" w:hint="default"/>
    </w:rPr>
  </w:style>
  <w:style w:customStyle="true" w:styleId="WW8Num7z0" w:type="character">
    <w:name w:val="WW8Num7z0"/>
    <w:rPr>
      <w:rFonts w:cs="Symbol" w:hAnsi="Symbol" w:ascii="Symbol" w:hint="default"/>
    </w:rPr>
  </w:style>
  <w:style w:customStyle="true" w:styleId="WW8Num7z1" w:type="character">
    <w:name w:val="WW8Num7z1"/>
    <w:rPr>
      <w:rFonts w:cs="Courier New" w:hAnsi="Courier New" w:ascii="Courier New" w:hint="default"/>
    </w:rPr>
  </w:style>
  <w:style w:customStyle="true" w:styleId="WW8Num7z2" w:type="character">
    <w:name w:val="WW8Num7z2"/>
    <w:rPr>
      <w:rFonts w:cs="Wingdings" w:hAnsi="Wingdings" w:ascii="Wingdings" w:hint="default"/>
    </w:rPr>
  </w:style>
  <w:style w:customStyle="true" w:styleId="WW8Num8z0" w:type="character">
    <w:name w:val="WW8Num8z0"/>
    <w:rPr>
      <w:rFonts w:cs="Symbol" w:hAnsi="Symbol" w:ascii="Symbol" w:hint="default"/>
    </w:rPr>
  </w:style>
  <w:style w:customStyle="true" w:styleId="WW8Num8z1" w:type="character">
    <w:name w:val="WW8Num8z1"/>
    <w:rPr>
      <w:rFonts w:cs="Courier New" w:hAnsi="Courier New" w:ascii="Courier New" w:hint="default"/>
    </w:rPr>
  </w:style>
  <w:style w:customStyle="true" w:styleId="WW8Num8z2" w:type="character">
    <w:name w:val="WW8Num8z2"/>
    <w:rPr>
      <w:rFonts w:cs="Wingdings" w:hAnsi="Wingdings" w:ascii="Wingdings" w:hint="default"/>
    </w:rPr>
  </w:style>
  <w:style w:customStyle="true" w:styleId="WW8Num9z0" w:type="character">
    <w:name w:val="WW8Num9z0"/>
    <w:rPr>
      <w:rFonts w:cs="Symbol" w:hAnsi="Symbol" w:ascii="Symbol" w:hint="default"/>
    </w:rPr>
  </w:style>
  <w:style w:customStyle="true" w:styleId="WW8Num9z1" w:type="character">
    <w:name w:val="WW8Num9z1"/>
    <w:rPr>
      <w:rFonts w:cs="Courier New" w:hAnsi="Courier New" w:ascii="Courier New" w:hint="default"/>
    </w:rPr>
  </w:style>
  <w:style w:customStyle="true" w:styleId="WW8Num9z2" w:type="character">
    <w:name w:val="WW8Num9z2"/>
    <w:rPr>
      <w:rFonts w:cs="Wingdings" w:hAnsi="Wingdings" w:ascii="Wingdings" w:hint="default"/>
    </w:rPr>
  </w:style>
  <w:style w:customStyle="true" w:styleId="WW8Num10z0" w:type="character">
    <w:name w:val="WW8Num10z0"/>
    <w:rPr>
      <w:rFonts w:cs="Symbol" w:hAnsi="Symbol" w:ascii="Symbol" w:hint="default"/>
    </w:rPr>
  </w:style>
  <w:style w:customStyle="true" w:styleId="WW8Num10z1" w:type="character">
    <w:name w:val="WW8Num10z1"/>
    <w:rPr>
      <w:rFonts w:cs="Courier New" w:hAnsi="Courier New" w:ascii="Courier New" w:hint="default"/>
    </w:rPr>
  </w:style>
  <w:style w:customStyle="true" w:styleId="WW8Num10z2" w:type="character">
    <w:name w:val="WW8Num10z2"/>
    <w:rPr>
      <w:rFonts w:cs="Wingdings" w:hAnsi="Wingdings" w:ascii="Wingdings" w:hint="default"/>
    </w:rPr>
  </w:style>
  <w:style w:customStyle="true" w:styleId="WW8Num11z0" w:type="character">
    <w:name w:val="WW8Num11z0"/>
    <w:rPr>
      <w:rFonts w:cs="Symbol" w:hAnsi="Symbol" w:ascii="Symbol" w:hint="default"/>
    </w:rPr>
  </w:style>
  <w:style w:customStyle="true" w:styleId="WW8Num11z1" w:type="character">
    <w:name w:val="WW8Num11z1"/>
    <w:rPr>
      <w:rFonts w:cs="Courier New" w:hAnsi="Courier New" w:ascii="Courier New" w:hint="default"/>
    </w:rPr>
  </w:style>
  <w:style w:customStyle="true" w:styleId="WW8Num11z2" w:type="character">
    <w:name w:val="WW8Num11z2"/>
    <w:rPr>
      <w:rFonts w:cs="Wingdings" w:hAnsi="Wingdings" w:ascii="Wingdings" w:hint="default"/>
    </w:rPr>
  </w:style>
  <w:style w:customStyle="true" w:styleId="WW8Num12z0" w:type="character">
    <w:name w:val="WW8Num12z0"/>
    <w:rPr>
      <w:rFonts w:cs="Symbol" w:hAnsi="Symbol" w:ascii="Symbol" w:hint="default"/>
    </w:rPr>
  </w:style>
  <w:style w:customStyle="true" w:styleId="WW8Num12z1" w:type="character">
    <w:name w:val="WW8Num12z1"/>
    <w:rPr>
      <w:rFonts w:cs="Courier New" w:hAnsi="Courier New" w:ascii="Courier New" w:hint="default"/>
    </w:rPr>
  </w:style>
  <w:style w:customStyle="true" w:styleId="WW8Num12z2" w:type="character">
    <w:name w:val="WW8Num12z2"/>
    <w:rPr>
      <w:rFonts w:cs="Wingdings" w:hAnsi="Wingdings" w:ascii="Wingdings" w:hint="default"/>
    </w:rPr>
  </w:style>
  <w:style w:customStyle="true" w:styleId="WW8Num13z0" w:type="character">
    <w:name w:val="WW8Num13z0"/>
    <w:rPr>
      <w:rFonts w:cs="Symbol" w:hAnsi="Symbol" w:ascii="Symbol" w:hint="default"/>
    </w:rPr>
  </w:style>
  <w:style w:customStyle="true" w:styleId="WW8Num13z1" w:type="character">
    <w:name w:val="WW8Num13z1"/>
    <w:rPr>
      <w:rFonts w:cs="Courier New" w:hAnsi="Courier New" w:ascii="Courier New" w:hint="default"/>
    </w:rPr>
  </w:style>
  <w:style w:customStyle="true" w:styleId="WW8Num13z2" w:type="character">
    <w:name w:val="WW8Num13z2"/>
    <w:rPr>
      <w:rFonts w:cs="Wingdings" w:hAnsi="Wingdings" w:ascii="Wingdings" w:hint="default"/>
    </w:rPr>
  </w:style>
  <w:style w:customStyle="true" w:styleId="WW8Num14z0" w:type="character">
    <w:name w:val="WW8Num14z0"/>
    <w:rPr>
      <w:rFonts w:cs="Symbol" w:hAnsi="Symbol" w:ascii="Symbol" w:hint="default"/>
    </w:rPr>
  </w:style>
  <w:style w:customStyle="true" w:styleId="WW8Num14z1" w:type="character">
    <w:name w:val="WW8Num14z1"/>
    <w:rPr>
      <w:rFonts w:cs="Courier New" w:hAnsi="Courier New" w:ascii="Courier New" w:hint="default"/>
    </w:rPr>
  </w:style>
  <w:style w:customStyle="true" w:styleId="WW8Num14z2" w:type="character">
    <w:name w:val="WW8Num14z2"/>
    <w:rPr>
      <w:rFonts w:cs="Wingdings" w:hAnsi="Wingdings" w:ascii="Wingdings" w:hint="default"/>
    </w:rPr>
  </w:style>
  <w:style w:customStyle="true" w:styleId="WW8Num15z0" w:type="character">
    <w:name w:val="WW8Num15z0"/>
    <w:rPr>
      <w:rFonts w:cs="Symbol" w:hAnsi="Symbol" w:ascii="Symbol" w:hint="default"/>
    </w:rPr>
  </w:style>
  <w:style w:customStyle="true" w:styleId="WW8Num15z1" w:type="character">
    <w:name w:val="WW8Num15z1"/>
    <w:rPr>
      <w:rFonts w:cs="Courier New" w:hAnsi="Courier New" w:ascii="Courier New" w:hint="default"/>
    </w:rPr>
  </w:style>
  <w:style w:customStyle="true" w:styleId="WW8Num15z2" w:type="character">
    <w:name w:val="WW8Num15z2"/>
    <w:rPr>
      <w:rFonts w:cs="Wingdings" w:hAnsi="Wingdings" w:ascii="Wingdings" w:hint="default"/>
    </w:rPr>
  </w:style>
  <w:style w:customStyle="true" w:styleId="WW8Num16z0" w:type="character">
    <w:name w:val="WW8Num16z0"/>
    <w:rPr>
      <w:rFonts w:cs="Symbol" w:hAnsi="Symbol" w:ascii="Symbol" w:hint="default"/>
    </w:rPr>
  </w:style>
  <w:style w:customStyle="true" w:styleId="WW8Num16z1" w:type="character">
    <w:name w:val="WW8Num16z1"/>
    <w:rPr>
      <w:rFonts w:cs="Courier New" w:hAnsi="Courier New" w:ascii="Courier New" w:hint="default"/>
    </w:rPr>
  </w:style>
  <w:style w:customStyle="true" w:styleId="WW8Num16z2" w:type="character">
    <w:name w:val="WW8Num16z2"/>
    <w:rPr>
      <w:rFonts w:cs="Wingdings" w:hAnsi="Wingdings" w:ascii="Wingdings" w:hint="default"/>
    </w:rPr>
  </w:style>
  <w:style w:customStyle="true" w:styleId="WW8Num17z0" w:type="character">
    <w:name w:val="WW8Num17z0"/>
  </w:style>
  <w:style w:customStyle="true" w:styleId="WW8Num17z1" w:type="character">
    <w:name w:val="WW8Num17z1"/>
  </w:style>
  <w:style w:customStyle="true" w:styleId="WW8Num17z2" w:type="character">
    <w:name w:val="WW8Num17z2"/>
  </w:style>
  <w:style w:customStyle="true" w:styleId="WW8Num17z3" w:type="character">
    <w:name w:val="WW8Num17z3"/>
  </w:style>
  <w:style w:customStyle="true" w:styleId="WW8Num17z4" w:type="character">
    <w:name w:val="WW8Num17z4"/>
  </w:style>
  <w:style w:customStyle="true" w:styleId="WW8Num17z5" w:type="character">
    <w:name w:val="WW8Num17z5"/>
  </w:style>
  <w:style w:customStyle="true" w:styleId="WW8Num17z6" w:type="character">
    <w:name w:val="WW8Num17z6"/>
  </w:style>
  <w:style w:customStyle="true" w:styleId="WW8Num17z7" w:type="character">
    <w:name w:val="WW8Num17z7"/>
  </w:style>
  <w:style w:customStyle="true" w:styleId="WW8Num17z8" w:type="character">
    <w:name w:val="WW8Num17z8"/>
  </w:style>
  <w:style w:customStyle="true" w:styleId="WW8Num18z0" w:type="character">
    <w:name w:val="WW8Num18z0"/>
    <w:rPr>
      <w:rFonts w:cs="Symbol" w:hAnsi="Symbol" w:ascii="Symbol" w:hint="default"/>
    </w:rPr>
  </w:style>
  <w:style w:customStyle="true" w:styleId="WW8Num18z1" w:type="character">
    <w:name w:val="WW8Num18z1"/>
    <w:rPr>
      <w:rFonts w:cs="Courier New" w:hAnsi="Courier New" w:ascii="Courier New" w:hint="default"/>
    </w:rPr>
  </w:style>
  <w:style w:customStyle="true" w:styleId="WW8Num18z2" w:type="character">
    <w:name w:val="WW8Num18z2"/>
    <w:rPr>
      <w:rFonts w:cs="Wingdings" w:hAnsi="Wingdings" w:ascii="Wingdings" w:hint="default"/>
    </w:rPr>
  </w:style>
  <w:style w:customStyle="true" w:styleId="WW8Num19z0" w:type="character">
    <w:name w:val="WW8Num19z0"/>
    <w:rPr>
      <w:rFonts w:cs="Symbol" w:hAnsi="Symbol" w:ascii="Symbol" w:hint="default"/>
    </w:rPr>
  </w:style>
  <w:style w:customStyle="true" w:styleId="WW8Num19z1" w:type="character">
    <w:name w:val="WW8Num19z1"/>
    <w:rPr>
      <w:rFonts w:cs="Courier New" w:hAnsi="Courier New" w:ascii="Courier New" w:hint="default"/>
    </w:rPr>
  </w:style>
  <w:style w:customStyle="true" w:styleId="WW8Num19z2" w:type="character">
    <w:name w:val="WW8Num19z2"/>
    <w:rPr>
      <w:rFonts w:cs="Wingdings" w:hAnsi="Wingdings" w:ascii="Wingdings" w:hint="default"/>
    </w:rPr>
  </w:style>
  <w:style w:customStyle="true" w:styleId="WW8Num20z0" w:type="character">
    <w:name w:val="WW8Num20z0"/>
    <w:rPr>
      <w:rFonts w:cs="Symbol" w:hAnsi="Symbol" w:ascii="Symbol" w:hint="default"/>
    </w:rPr>
  </w:style>
  <w:style w:customStyle="true" w:styleId="WW8Num20z1" w:type="character">
    <w:name w:val="WW8Num20z1"/>
    <w:rPr>
      <w:rFonts w:cs="Courier New" w:hAnsi="Courier New" w:ascii="Courier New" w:hint="default"/>
    </w:rPr>
  </w:style>
  <w:style w:customStyle="true" w:styleId="WW8Num20z2" w:type="character">
    <w:name w:val="WW8Num20z2"/>
    <w:rPr>
      <w:rFonts w:cs="Wingdings" w:hAnsi="Wingdings" w:ascii="Wingdings" w:hint="default"/>
    </w:rPr>
  </w:style>
  <w:style w:customStyle="true" w:styleId="WW8Num21z0" w:type="character">
    <w:name w:val="WW8Num21z0"/>
    <w:rPr>
      <w:rFonts w:cs="Symbol" w:hAnsi="Symbol" w:ascii="Symbol" w:hint="default"/>
    </w:rPr>
  </w:style>
  <w:style w:customStyle="true" w:styleId="WW8Num21z1" w:type="character">
    <w:name w:val="WW8Num21z1"/>
    <w:rPr>
      <w:rFonts w:cs="Courier New" w:hAnsi="Courier New" w:ascii="Courier New" w:hint="default"/>
    </w:rPr>
  </w:style>
  <w:style w:customStyle="true" w:styleId="WW8Num21z2" w:type="character">
    <w:name w:val="WW8Num21z2"/>
    <w:rPr>
      <w:rFonts w:cs="Wingdings" w:hAnsi="Wingdings" w:ascii="Wingdings" w:hint="default"/>
    </w:rPr>
  </w:style>
  <w:style w:customStyle="true" w:styleId="Zadanifontodlomka1" w:type="character">
    <w:name w:val="Zadani font odlomka1"/>
  </w:style>
  <w:style w:customStyle="true" w:styleId="WW8Num6z3" w:type="character">
    <w:name w:val="WW8Num6z3"/>
    <w:rPr>
      <w:rFonts w:cs="Symbol" w:hAnsi="Symbol" w:ascii="Symbol"/>
    </w:rPr>
  </w:style>
  <w:style w:customStyle="true" w:styleId="WW8Num6z4" w:type="character">
    <w:name w:val="WW8Num6z4"/>
  </w:style>
  <w:style w:customStyle="true" w:styleId="WW8Num6z5" w:type="character">
    <w:name w:val="WW8Num6z5"/>
  </w:style>
  <w:style w:customStyle="true" w:styleId="WW8Num6z6" w:type="character">
    <w:name w:val="WW8Num6z6"/>
  </w:style>
  <w:style w:customStyle="true" w:styleId="WW8Num6z7" w:type="character">
    <w:name w:val="WW8Num6z7"/>
  </w:style>
  <w:style w:customStyle="true" w:styleId="WW8Num6z8" w:type="character">
    <w:name w:val="WW8Num6z8"/>
  </w:style>
  <w:style w:customStyle="true" w:styleId="WW8Num7z3" w:type="character">
    <w:name w:val="WW8Num7z3"/>
  </w:style>
  <w:style w:customStyle="true" w:styleId="WW8Num7z4" w:type="character">
    <w:name w:val="WW8Num7z4"/>
  </w:style>
  <w:style w:customStyle="true" w:styleId="WW8Num7z5" w:type="character">
    <w:name w:val="WW8Num7z5"/>
  </w:style>
  <w:style w:customStyle="true" w:styleId="WW8Num7z6" w:type="character">
    <w:name w:val="WW8Num7z6"/>
  </w:style>
  <w:style w:customStyle="true" w:styleId="WW8Num7z7" w:type="character">
    <w:name w:val="WW8Num7z7"/>
  </w:style>
  <w:style w:customStyle="true" w:styleId="WW8Num7z8" w:type="character">
    <w:name w:val="WW8Num7z8"/>
  </w:style>
  <w:style w:customStyle="true" w:styleId="WW8Num8z3" w:type="character">
    <w:name w:val="WW8Num8z3"/>
  </w:style>
  <w:style w:customStyle="true" w:styleId="WW8Num8z4" w:type="character">
    <w:name w:val="WW8Num8z4"/>
  </w:style>
  <w:style w:customStyle="true" w:styleId="WW8Num8z5" w:type="character">
    <w:name w:val="WW8Num8z5"/>
  </w:style>
  <w:style w:customStyle="true" w:styleId="WW8Num8z6" w:type="character">
    <w:name w:val="WW8Num8z6"/>
  </w:style>
  <w:style w:customStyle="true" w:styleId="WW8Num8z7" w:type="character">
    <w:name w:val="WW8Num8z7"/>
  </w:style>
  <w:style w:customStyle="true" w:styleId="WW8Num8z8" w:type="character">
    <w:name w:val="WW8Num8z8"/>
  </w:style>
  <w:style w:customStyle="true" w:styleId="WW-DefaultParagraphFont" w:type="character">
    <w:name w:val="WW-Default Paragraph Font"/>
  </w:style>
  <w:style w:customStyle="true" w:styleId="WW8Num9z3" w:type="character">
    <w:name w:val="WW8Num9z3"/>
  </w:style>
  <w:style w:customStyle="true" w:styleId="WW8Num9z4" w:type="character">
    <w:name w:val="WW8Num9z4"/>
  </w:style>
  <w:style w:customStyle="true" w:styleId="WW8Num9z5" w:type="character">
    <w:name w:val="WW8Num9z5"/>
  </w:style>
  <w:style w:customStyle="true" w:styleId="WW8Num9z6" w:type="character">
    <w:name w:val="WW8Num9z6"/>
  </w:style>
  <w:style w:customStyle="true" w:styleId="WW8Num9z7" w:type="character">
    <w:name w:val="WW8Num9z7"/>
  </w:style>
  <w:style w:customStyle="true" w:styleId="WW8Num9z8" w:type="character">
    <w:name w:val="WW8Num9z8"/>
  </w:style>
  <w:style w:customStyle="true" w:styleId="WW8Num10z3" w:type="character">
    <w:name w:val="WW8Num10z3"/>
    <w:rPr>
      <w:rFonts w:cs="Symbol" w:hAnsi="Symbol" w:ascii="Symbol"/>
    </w:rPr>
  </w:style>
  <w:style w:customStyle="true" w:styleId="WW8Num10z4" w:type="character">
    <w:name w:val="WW8Num10z4"/>
  </w:style>
  <w:style w:customStyle="true" w:styleId="WW8Num10z5" w:type="character">
    <w:name w:val="WW8Num10z5"/>
  </w:style>
  <w:style w:customStyle="true" w:styleId="WW8Num10z6" w:type="character">
    <w:name w:val="WW8Num10z6"/>
  </w:style>
  <w:style w:customStyle="true" w:styleId="WW8Num10z7" w:type="character">
    <w:name w:val="WW8Num10z7"/>
  </w:style>
  <w:style w:customStyle="true" w:styleId="WW8Num10z8" w:type="character">
    <w:name w:val="WW8Num10z8"/>
  </w:style>
  <w:style w:customStyle="true" w:styleId="WW8Num11z3" w:type="character">
    <w:name w:val="WW8Num11z3"/>
  </w:style>
  <w:style w:customStyle="true" w:styleId="WW8Num11z4" w:type="character">
    <w:name w:val="WW8Num11z4"/>
  </w:style>
  <w:style w:customStyle="true" w:styleId="WW8Num11z5" w:type="character">
    <w:name w:val="WW8Num11z5"/>
  </w:style>
  <w:style w:customStyle="true" w:styleId="WW8Num11z6" w:type="character">
    <w:name w:val="WW8Num11z6"/>
  </w:style>
  <w:style w:customStyle="true" w:styleId="WW8Num11z7" w:type="character">
    <w:name w:val="WW8Num11z7"/>
  </w:style>
  <w:style w:customStyle="true" w:styleId="WW8Num11z8" w:type="character">
    <w:name w:val="WW8Num11z8"/>
  </w:style>
  <w:style w:customStyle="true" w:styleId="WW8Num12z3" w:type="character">
    <w:name w:val="WW8Num12z3"/>
  </w:style>
  <w:style w:customStyle="true" w:styleId="WW8Num12z4" w:type="character">
    <w:name w:val="WW8Num12z4"/>
  </w:style>
  <w:style w:customStyle="true" w:styleId="WW8Num12z5" w:type="character">
    <w:name w:val="WW8Num12z5"/>
  </w:style>
  <w:style w:customStyle="true" w:styleId="WW8Num12z6" w:type="character">
    <w:name w:val="WW8Num12z6"/>
  </w:style>
  <w:style w:customStyle="true" w:styleId="WW8Num12z7" w:type="character">
    <w:name w:val="WW8Num12z7"/>
  </w:style>
  <w:style w:customStyle="true" w:styleId="WW8Num12z8" w:type="character">
    <w:name w:val="WW8Num12z8"/>
  </w:style>
  <w:style w:customStyle="true" w:styleId="WW-DefaultParagraphFont1" w:type="character">
    <w:name w:val="WW-Default Paragraph Font1"/>
  </w:style>
  <w:style w:customStyle="true" w:styleId="WW8Num13z3" w:type="character">
    <w:name w:val="WW8Num13z3"/>
  </w:style>
  <w:style w:customStyle="true" w:styleId="WW8Num13z4" w:type="character">
    <w:name w:val="WW8Num13z4"/>
  </w:style>
  <w:style w:customStyle="true" w:styleId="WW8Num13z5" w:type="character">
    <w:name w:val="WW8Num13z5"/>
  </w:style>
  <w:style w:customStyle="true" w:styleId="WW8Num13z6" w:type="character">
    <w:name w:val="WW8Num13z6"/>
  </w:style>
  <w:style w:customStyle="true" w:styleId="WW8Num13z7" w:type="character">
    <w:name w:val="WW8Num13z7"/>
  </w:style>
  <w:style w:customStyle="true" w:styleId="WW8Num13z8" w:type="character">
    <w:name w:val="WW8Num13z8"/>
  </w:style>
  <w:style w:customStyle="true" w:styleId="WW-DefaultParagraphFont11" w:type="character">
    <w:name w:val="WW-Default Paragraph Font11"/>
  </w:style>
  <w:style w:styleId="Hiperveza" w:type="character">
    <w:name w:val="Hyperlink"/>
    <w:rPr>
      <w:color w:val="0000FF"/>
      <w:u w:val="single"/>
    </w:rPr>
  </w:style>
  <w:style w:customStyle="true" w:styleId="WW8Num1z4" w:type="character">
    <w:name w:val="WW8Num1z4"/>
  </w:style>
  <w:style w:customStyle="true" w:styleId="WW8Num1z5" w:type="character">
    <w:name w:val="WW8Num1z5"/>
  </w:style>
  <w:style w:customStyle="true" w:styleId="WW8Num1z6" w:type="character">
    <w:name w:val="WW8Num1z6"/>
  </w:style>
  <w:style w:customStyle="true" w:styleId="WW8Num1z7" w:type="character">
    <w:name w:val="WW8Num1z7"/>
  </w:style>
  <w:style w:customStyle="true" w:styleId="WW8Num1z8" w:type="character">
    <w:name w:val="WW8Num1z8"/>
  </w:style>
  <w:style w:customStyle="true" w:styleId="FooterChar" w:type="character">
    <w:name w:val="Footer Char"/>
    <w:rPr>
      <w:rFonts w:cs="Mangal" w:eastAsia="SimSun" w:hAnsi="Liberation Serif" w:ascii="Liberation Serif"/>
      <w:kern w:val="1"/>
      <w:sz w:val="24"/>
      <w:szCs w:val="21"/>
      <w:lang w:bidi="hi-IN" w:eastAsia="zh-CN" w:val="en-US"/>
    </w:rPr>
  </w:style>
  <w:style w:customStyle="true" w:styleId="HeaderChar" w:type="character">
    <w:name w:val="Header Char"/>
    <w:rPr>
      <w:rFonts w:cs="Mangal" w:eastAsia="SimSun" w:hAnsi="Liberation Serif" w:ascii="Liberation Serif"/>
      <w:kern w:val="1"/>
      <w:sz w:val="24"/>
      <w:szCs w:val="24"/>
      <w:lang w:bidi="hi-IN" w:eastAsia="zh-CN" w:val="en-US"/>
    </w:rPr>
  </w:style>
  <w:style w:customStyle="true" w:styleId="BalloonTextChar" w:type="character">
    <w:name w:val="Balloon Text Char"/>
    <w:rPr>
      <w:rFonts w:cs="Mangal" w:eastAsia="SimSun" w:hAnsi="Tahoma" w:ascii="Tahoma"/>
      <w:kern w:val="1"/>
      <w:sz w:val="16"/>
      <w:szCs w:val="14"/>
      <w:lang w:bidi="hi-IN" w:eastAsia="zh-CN" w:val="en-US"/>
    </w:rPr>
  </w:style>
  <w:style w:customStyle="true" w:styleId="UnresolvedMention" w:type="character">
    <w:name w:val="Unresolved Mention"/>
    <w:rPr>
      <w:color w:val="605E5C"/>
      <w:shd w:fill="E1DFDD" w:color="auto" w:val="clear"/>
    </w:rPr>
  </w:style>
  <w:style w:customStyle="true" w:styleId="Heading" w:type="paragraph">
    <w:name w:val="Heading"/>
    <w:basedOn w:val="Normal"/>
    <w:next w:val="Tijeloteksta"/>
    <w:pPr>
      <w:keepNext/>
      <w:spacing w:after="120" w:before="240"/>
    </w:pPr>
    <w:rPr>
      <w:rFonts w:eastAsia="Microsoft YaHei" w:hAnsi="Liberation Sans" w:ascii="Liberation Sans"/>
      <w:sz w:val="28"/>
      <w:szCs w:val="28"/>
    </w:rPr>
  </w:style>
  <w:style w:styleId="Tijeloteksta" w:type="paragraph">
    <w:name w:val="Body Text"/>
    <w:basedOn w:val="Normal"/>
    <w:pPr>
      <w:spacing w:lineRule="auto" w:line="288" w:after="140"/>
    </w:pPr>
  </w:style>
  <w:style w:styleId="Popis" w:type="paragraph">
    <w:name w:val="List"/>
    <w:basedOn w:val="Tijeloteksta"/>
  </w:style>
  <w:style w:styleId="Opisslike" w:type="paragraph">
    <w:name w:val="caption"/>
    <w:basedOn w:val="Normal"/>
    <w:qFormat/>
    <w:pPr>
      <w:suppressLineNumbers/>
      <w:spacing w:after="120" w:before="120"/>
    </w:pPr>
    <w:rPr>
      <w:i/>
      <w:iCs/>
    </w:rPr>
  </w:style>
  <w:style w:customStyle="true" w:styleId="Index" w:type="paragraph">
    <w:name w:val="Index"/>
    <w:basedOn w:val="Normal"/>
    <w:pPr>
      <w:suppressLineNumbers/>
    </w:pPr>
  </w:style>
  <w:style w:customStyle="true" w:styleId="TableContents" w:type="paragraph">
    <w:name w:val="Table Contents"/>
    <w:basedOn w:val="Normal"/>
    <w:pPr>
      <w:suppressLineNumbers/>
    </w:pPr>
  </w:style>
  <w:style w:customStyle="true" w:styleId="TableHeading" w:type="paragraph">
    <w:name w:val="Table Heading"/>
    <w:basedOn w:val="TableContents"/>
    <w:pPr>
      <w:jc w:val="center"/>
    </w:pPr>
    <w:rPr>
      <w:b/>
      <w:bCs/>
    </w:rPr>
  </w:style>
  <w:style w:styleId="Zaglavlje" w:type="paragraph">
    <w:name w:val="header"/>
    <w:basedOn w:val="Normal"/>
    <w:pPr>
      <w:tabs>
        <w:tab w:pos="4153" w:val="center"/>
        <w:tab w:pos="8306" w:val="right"/>
      </w:tabs>
    </w:pPr>
  </w:style>
  <w:style w:styleId="Podnoje" w:type="paragraph">
    <w:name w:val="footer"/>
    <w:basedOn w:val="Normal"/>
    <w:pPr>
      <w:tabs>
        <w:tab w:pos="4536" w:val="center"/>
        <w:tab w:pos="9072" w:val="right"/>
      </w:tabs>
    </w:pPr>
    <w:rPr>
      <w:szCs w:val="21"/>
    </w:rPr>
  </w:style>
  <w:style w:customStyle="true" w:styleId="Tekstbalonia1" w:type="paragraph">
    <w:name w:val="Tekst balončića1"/>
    <w:basedOn w:val="Normal"/>
    <w:rPr>
      <w:rFonts w:cs="Tahoma" w:hAnsi="Tahoma" w:ascii="Tahoma"/>
      <w:sz w:val="16"/>
      <w:szCs w:val="14"/>
    </w:rPr>
  </w:style>
  <w:style w:customStyle="true" w:styleId="Odlomakpopisa1" w:type="paragraph">
    <w:name w:val="Odlomak popisa1"/>
    <w:basedOn w:val="Normal"/>
    <w:pPr>
      <w:ind w:left="708"/>
    </w:pPr>
    <w:rPr>
      <w:szCs w:val="21"/>
    </w:rPr>
  </w:style>
  <w:style w:styleId="Tekstrezerviranogmjesta" w:type="character">
    <w:name w:val="Placeholder Text"/>
    <w:basedOn w:val="Zadanifontodlomka"/>
    <w:uiPriority w:val="99"/>
    <w:semiHidden/>
    <w:rsid w:val="00947F0E"/>
    <w:rPr>
      <w:color w:val="808080"/>
      <w:bdr w:space="0" w:sz="0" w:color="auto" w:val="none"/>
      <w:shd w:fill="auto" w:color="auto" w:val="clear"/>
    </w:rPr>
  </w:style>
  <w:style w:customStyle="true" w:styleId="eSPISCCParagraphDefaultFont" w:type="character">
    <w:name w:val="eSPIS_CC_Paragraph Default Font"/>
    <w:basedOn w:val="Zadanifontodlomka"/>
    <w:rsid w:val="00947F0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47F0E"/>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947F0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47F0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semiHidden="0" w:uiPriority="35" w:unhideWhenUsed="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widowControl w:val="0"/>
      <w:suppressAutoHyphens/>
    </w:pPr>
    <w:rPr>
      <w:rFonts w:ascii="Liberation Serif" w:cs="Mangal" w:eastAsia="SimSun" w:hAnsi="Liberation Serif"/>
      <w:kern w:val="1"/>
      <w:sz w:val="24"/>
      <w:szCs w:val="24"/>
      <w:lang w:bidi="hi-IN" w:eastAsia="zh-CN"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WW8Num1z0" w:type="character">
    <w:name w:val="WW8Num1z0"/>
    <w:rPr>
      <w:rFonts w:ascii="Times New Roman" w:cs="Bookman Old Style" w:hAnsi="Times New Roman"/>
      <w:color w:val="000000"/>
      <w:spacing w:val="10"/>
      <w:lang w:val="hr-HR"/>
    </w:rPr>
  </w:style>
  <w:style w:customStyle="1" w:styleId="WW8Num1z1" w:type="character">
    <w:name w:val="WW8Num1z1"/>
    <w:rPr>
      <w:rFonts w:ascii="Courier New" w:cs="Courier New" w:hAnsi="Courier New"/>
    </w:rPr>
  </w:style>
  <w:style w:customStyle="1" w:styleId="WW8Num1z2" w:type="character">
    <w:name w:val="WW8Num1z2"/>
    <w:rPr>
      <w:rFonts w:ascii="Wingdings" w:cs="Bookman Old Style" w:hAnsi="Wingdings"/>
      <w:color w:val="000000"/>
      <w:spacing w:val="10"/>
      <w:szCs w:val="24"/>
      <w:lang w:val="pl-PL"/>
    </w:rPr>
  </w:style>
  <w:style w:customStyle="1" w:styleId="WW8Num1z3" w:type="character">
    <w:name w:val="WW8Num1z3"/>
    <w:rPr>
      <w:rFonts w:ascii="Symbol" w:cs="Symbol" w:hAnsi="Symbol"/>
    </w:rPr>
  </w:style>
  <w:style w:customStyle="1" w:styleId="WW8Num2z0" w:type="character">
    <w:name w:val="WW8Num2z0"/>
  </w:style>
  <w:style w:customStyle="1" w:styleId="WW8Num2z1" w:type="character">
    <w:name w:val="WW8Num2z1"/>
    <w:rPr>
      <w:b w:val="0"/>
    </w:rPr>
  </w:style>
  <w:style w:customStyle="1" w:styleId="WW8Num2z2" w:type="character">
    <w:name w:val="WW8Num2z2"/>
  </w:style>
  <w:style w:customStyle="1" w:styleId="WW8Num2z3" w:type="character">
    <w:name w:val="WW8Num2z3"/>
  </w:style>
  <w:style w:customStyle="1" w:styleId="WW8Num2z4" w:type="character">
    <w:name w:val="WW8Num2z4"/>
  </w:style>
  <w:style w:customStyle="1" w:styleId="WW8Num2z5" w:type="character">
    <w:name w:val="WW8Num2z5"/>
  </w:style>
  <w:style w:customStyle="1" w:styleId="WW8Num2z6" w:type="character">
    <w:name w:val="WW8Num2z6"/>
  </w:style>
  <w:style w:customStyle="1" w:styleId="WW8Num2z7" w:type="character">
    <w:name w:val="WW8Num2z7"/>
  </w:style>
  <w:style w:customStyle="1" w:styleId="WW8Num2z8" w:type="character">
    <w:name w:val="WW8Num2z8"/>
  </w:style>
  <w:style w:customStyle="1" w:styleId="WW8Num3z0" w:type="character">
    <w:name w:val="WW8Num3z0"/>
    <w:rPr>
      <w:rFonts w:ascii="Bookman Old Style" w:cs="Bookman Old Style" w:hAnsi="Bookman Old Style"/>
      <w:shd w:color="auto" w:fill="FFFF00" w:val="clear"/>
      <w:lang w:val="hr-HR"/>
    </w:rPr>
  </w:style>
  <w:style w:customStyle="1" w:styleId="WW8Num3z1" w:type="character">
    <w:name w:val="WW8Num3z1"/>
  </w:style>
  <w:style w:customStyle="1" w:styleId="WW8Num3z2" w:type="character">
    <w:name w:val="WW8Num3z2"/>
  </w:style>
  <w:style w:customStyle="1" w:styleId="WW8Num3z3" w:type="character">
    <w:name w:val="WW8Num3z3"/>
  </w:style>
  <w:style w:customStyle="1" w:styleId="WW8Num3z4" w:type="character">
    <w:name w:val="WW8Num3z4"/>
  </w:style>
  <w:style w:customStyle="1" w:styleId="WW8Num3z5" w:type="character">
    <w:name w:val="WW8Num3z5"/>
  </w:style>
  <w:style w:customStyle="1" w:styleId="WW8Num3z6" w:type="character">
    <w:name w:val="WW8Num3z6"/>
  </w:style>
  <w:style w:customStyle="1" w:styleId="WW8Num3z7" w:type="character">
    <w:name w:val="WW8Num3z7"/>
  </w:style>
  <w:style w:customStyle="1" w:styleId="WW8Num3z8" w:type="character">
    <w:name w:val="WW8Num3z8"/>
  </w:style>
  <w:style w:customStyle="1" w:styleId="WW8Num4z0" w:type="character">
    <w:name w:val="WW8Num4z0"/>
  </w:style>
  <w:style w:customStyle="1" w:styleId="WW8Num4z1" w:type="character">
    <w:name w:val="WW8Num4z1"/>
    <w:rPr>
      <w:rFonts w:ascii="Courier New" w:cs="Courier New" w:hAnsi="Courier New"/>
      <w:color w:val="000000"/>
      <w:spacing w:val="6"/>
      <w:szCs w:val="24"/>
    </w:rPr>
  </w:style>
  <w:style w:customStyle="1" w:styleId="WW8Num4z2" w:type="character">
    <w:name w:val="WW8Num4z2"/>
    <w:rPr>
      <w:rFonts w:ascii="Wingdings" w:cs="Wingdings" w:hAnsi="Wingdings"/>
    </w:rPr>
  </w:style>
  <w:style w:customStyle="1" w:styleId="WW8Num4z3" w:type="character">
    <w:name w:val="WW8Num4z3"/>
    <w:rPr>
      <w:rFonts w:ascii="Symbol" w:cs="Symbol" w:hAnsi="Symbol"/>
    </w:rPr>
  </w:style>
  <w:style w:customStyle="1" w:styleId="WW8Num4z4" w:type="character">
    <w:name w:val="WW8Num4z4"/>
  </w:style>
  <w:style w:customStyle="1" w:styleId="WW8Num4z5" w:type="character">
    <w:name w:val="WW8Num4z5"/>
  </w:style>
  <w:style w:customStyle="1" w:styleId="WW8Num4z6" w:type="character">
    <w:name w:val="WW8Num4z6"/>
  </w:style>
  <w:style w:customStyle="1" w:styleId="WW8Num4z7" w:type="character">
    <w:name w:val="WW8Num4z7"/>
  </w:style>
  <w:style w:customStyle="1" w:styleId="WW8Num4z8" w:type="character">
    <w:name w:val="WW8Num4z8"/>
  </w:style>
  <w:style w:customStyle="1" w:styleId="WW8Num5z0" w:type="character">
    <w:name w:val="WW8Num5z0"/>
  </w:style>
  <w:style w:customStyle="1" w:styleId="WW8Num5z1" w:type="character">
    <w:name w:val="WW8Num5z1"/>
  </w:style>
  <w:style w:customStyle="1" w:styleId="WW8Num5z2" w:type="character">
    <w:name w:val="WW8Num5z2"/>
  </w:style>
  <w:style w:customStyle="1" w:styleId="WW8Num5z3" w:type="character">
    <w:name w:val="WW8Num5z3"/>
  </w:style>
  <w:style w:customStyle="1" w:styleId="WW8Num5z4" w:type="character">
    <w:name w:val="WW8Num5z4"/>
  </w:style>
  <w:style w:customStyle="1" w:styleId="WW8Num5z5" w:type="character">
    <w:name w:val="WW8Num5z5"/>
  </w:style>
  <w:style w:customStyle="1" w:styleId="WW8Num5z6" w:type="character">
    <w:name w:val="WW8Num5z6"/>
  </w:style>
  <w:style w:customStyle="1" w:styleId="WW8Num5z7" w:type="character">
    <w:name w:val="WW8Num5z7"/>
  </w:style>
  <w:style w:customStyle="1" w:styleId="WW8Num5z8" w:type="character">
    <w:name w:val="WW8Num5z8"/>
  </w:style>
  <w:style w:customStyle="1" w:styleId="WW8Num6z0" w:type="character">
    <w:name w:val="WW8Num6z0"/>
    <w:rPr>
      <w:rFonts w:ascii="Symbol" w:cs="Symbol" w:hAnsi="Symbol" w:hint="default"/>
    </w:rPr>
  </w:style>
  <w:style w:customStyle="1" w:styleId="WW8Num6z1" w:type="character">
    <w:name w:val="WW8Num6z1"/>
    <w:rPr>
      <w:rFonts w:ascii="Courier New" w:cs="Courier New" w:hAnsi="Courier New" w:hint="default"/>
    </w:rPr>
  </w:style>
  <w:style w:customStyle="1" w:styleId="WW8Num6z2" w:type="character">
    <w:name w:val="WW8Num6z2"/>
    <w:rPr>
      <w:rFonts w:ascii="Wingdings" w:cs="Wingdings" w:hAnsi="Wingdings" w:hint="default"/>
    </w:rPr>
  </w:style>
  <w:style w:customStyle="1" w:styleId="WW8Num7z0" w:type="character">
    <w:name w:val="WW8Num7z0"/>
    <w:rPr>
      <w:rFonts w:ascii="Symbol" w:cs="Symbol" w:hAnsi="Symbol" w:hint="default"/>
    </w:rPr>
  </w:style>
  <w:style w:customStyle="1" w:styleId="WW8Num7z1" w:type="character">
    <w:name w:val="WW8Num7z1"/>
    <w:rPr>
      <w:rFonts w:ascii="Courier New" w:cs="Courier New" w:hAnsi="Courier New" w:hint="default"/>
    </w:rPr>
  </w:style>
  <w:style w:customStyle="1" w:styleId="WW8Num7z2" w:type="character">
    <w:name w:val="WW8Num7z2"/>
    <w:rPr>
      <w:rFonts w:ascii="Wingdings" w:cs="Wingdings" w:hAnsi="Wingdings" w:hint="default"/>
    </w:rPr>
  </w:style>
  <w:style w:customStyle="1" w:styleId="WW8Num8z0" w:type="character">
    <w:name w:val="WW8Num8z0"/>
    <w:rPr>
      <w:rFonts w:ascii="Symbol" w:cs="Symbol" w:hAnsi="Symbol" w:hint="default"/>
    </w:rPr>
  </w:style>
  <w:style w:customStyle="1" w:styleId="WW8Num8z1" w:type="character">
    <w:name w:val="WW8Num8z1"/>
    <w:rPr>
      <w:rFonts w:ascii="Courier New" w:cs="Courier New" w:hAnsi="Courier New" w:hint="default"/>
    </w:rPr>
  </w:style>
  <w:style w:customStyle="1" w:styleId="WW8Num8z2" w:type="character">
    <w:name w:val="WW8Num8z2"/>
    <w:rPr>
      <w:rFonts w:ascii="Wingdings" w:cs="Wingdings" w:hAnsi="Wingdings" w:hint="default"/>
    </w:rPr>
  </w:style>
  <w:style w:customStyle="1" w:styleId="WW8Num9z0" w:type="character">
    <w:name w:val="WW8Num9z0"/>
    <w:rPr>
      <w:rFonts w:ascii="Symbol" w:cs="Symbol" w:hAnsi="Symbol" w:hint="default"/>
    </w:rPr>
  </w:style>
  <w:style w:customStyle="1" w:styleId="WW8Num9z1" w:type="character">
    <w:name w:val="WW8Num9z1"/>
    <w:rPr>
      <w:rFonts w:ascii="Courier New" w:cs="Courier New" w:hAnsi="Courier New" w:hint="default"/>
    </w:rPr>
  </w:style>
  <w:style w:customStyle="1" w:styleId="WW8Num9z2" w:type="character">
    <w:name w:val="WW8Num9z2"/>
    <w:rPr>
      <w:rFonts w:ascii="Wingdings" w:cs="Wingdings" w:hAnsi="Wingdings" w:hint="default"/>
    </w:rPr>
  </w:style>
  <w:style w:customStyle="1" w:styleId="WW8Num10z0" w:type="character">
    <w:name w:val="WW8Num10z0"/>
    <w:rPr>
      <w:rFonts w:ascii="Symbol" w:cs="Symbol" w:hAnsi="Symbol" w:hint="default"/>
    </w:rPr>
  </w:style>
  <w:style w:customStyle="1" w:styleId="WW8Num10z1" w:type="character">
    <w:name w:val="WW8Num10z1"/>
    <w:rPr>
      <w:rFonts w:ascii="Courier New" w:cs="Courier New" w:hAnsi="Courier New" w:hint="default"/>
    </w:rPr>
  </w:style>
  <w:style w:customStyle="1" w:styleId="WW8Num10z2" w:type="character">
    <w:name w:val="WW8Num10z2"/>
    <w:rPr>
      <w:rFonts w:ascii="Wingdings" w:cs="Wingdings" w:hAnsi="Wingdings" w:hint="default"/>
    </w:rPr>
  </w:style>
  <w:style w:customStyle="1" w:styleId="WW8Num11z0" w:type="character">
    <w:name w:val="WW8Num11z0"/>
    <w:rPr>
      <w:rFonts w:ascii="Symbol" w:cs="Symbol" w:hAnsi="Symbol" w:hint="default"/>
    </w:rPr>
  </w:style>
  <w:style w:customStyle="1" w:styleId="WW8Num11z1" w:type="character">
    <w:name w:val="WW8Num11z1"/>
    <w:rPr>
      <w:rFonts w:ascii="Courier New" w:cs="Courier New" w:hAnsi="Courier New" w:hint="default"/>
    </w:rPr>
  </w:style>
  <w:style w:customStyle="1" w:styleId="WW8Num11z2" w:type="character">
    <w:name w:val="WW8Num11z2"/>
    <w:rPr>
      <w:rFonts w:ascii="Wingdings" w:cs="Wingdings" w:hAnsi="Wingdings" w:hint="default"/>
    </w:rPr>
  </w:style>
  <w:style w:customStyle="1" w:styleId="WW8Num12z0" w:type="character">
    <w:name w:val="WW8Num12z0"/>
    <w:rPr>
      <w:rFonts w:ascii="Symbol" w:cs="Symbol" w:hAnsi="Symbol" w:hint="default"/>
    </w:rPr>
  </w:style>
  <w:style w:customStyle="1" w:styleId="WW8Num12z1" w:type="character">
    <w:name w:val="WW8Num12z1"/>
    <w:rPr>
      <w:rFonts w:ascii="Courier New" w:cs="Courier New" w:hAnsi="Courier New" w:hint="default"/>
    </w:rPr>
  </w:style>
  <w:style w:customStyle="1" w:styleId="WW8Num12z2" w:type="character">
    <w:name w:val="WW8Num12z2"/>
    <w:rPr>
      <w:rFonts w:ascii="Wingdings" w:cs="Wingdings" w:hAnsi="Wingdings" w:hint="default"/>
    </w:rPr>
  </w:style>
  <w:style w:customStyle="1" w:styleId="WW8Num13z0" w:type="character">
    <w:name w:val="WW8Num13z0"/>
    <w:rPr>
      <w:rFonts w:ascii="Symbol" w:cs="Symbol" w:hAnsi="Symbol" w:hint="default"/>
    </w:rPr>
  </w:style>
  <w:style w:customStyle="1" w:styleId="WW8Num13z1" w:type="character">
    <w:name w:val="WW8Num13z1"/>
    <w:rPr>
      <w:rFonts w:ascii="Courier New" w:cs="Courier New" w:hAnsi="Courier New" w:hint="default"/>
    </w:rPr>
  </w:style>
  <w:style w:customStyle="1" w:styleId="WW8Num13z2" w:type="character">
    <w:name w:val="WW8Num13z2"/>
    <w:rPr>
      <w:rFonts w:ascii="Wingdings" w:cs="Wingdings" w:hAnsi="Wingdings" w:hint="default"/>
    </w:rPr>
  </w:style>
  <w:style w:customStyle="1" w:styleId="WW8Num14z0" w:type="character">
    <w:name w:val="WW8Num14z0"/>
    <w:rPr>
      <w:rFonts w:ascii="Symbol" w:cs="Symbol" w:hAnsi="Symbol" w:hint="default"/>
    </w:rPr>
  </w:style>
  <w:style w:customStyle="1" w:styleId="WW8Num14z1" w:type="character">
    <w:name w:val="WW8Num14z1"/>
    <w:rPr>
      <w:rFonts w:ascii="Courier New" w:cs="Courier New" w:hAnsi="Courier New" w:hint="default"/>
    </w:rPr>
  </w:style>
  <w:style w:customStyle="1" w:styleId="WW8Num14z2" w:type="character">
    <w:name w:val="WW8Num14z2"/>
    <w:rPr>
      <w:rFonts w:ascii="Wingdings" w:cs="Wingdings" w:hAnsi="Wingdings" w:hint="default"/>
    </w:rPr>
  </w:style>
  <w:style w:customStyle="1" w:styleId="WW8Num15z0" w:type="character">
    <w:name w:val="WW8Num15z0"/>
    <w:rPr>
      <w:rFonts w:ascii="Symbol" w:cs="Symbol" w:hAnsi="Symbol" w:hint="default"/>
    </w:rPr>
  </w:style>
  <w:style w:customStyle="1" w:styleId="WW8Num15z1" w:type="character">
    <w:name w:val="WW8Num15z1"/>
    <w:rPr>
      <w:rFonts w:ascii="Courier New" w:cs="Courier New" w:hAnsi="Courier New" w:hint="default"/>
    </w:rPr>
  </w:style>
  <w:style w:customStyle="1" w:styleId="WW8Num15z2" w:type="character">
    <w:name w:val="WW8Num15z2"/>
    <w:rPr>
      <w:rFonts w:ascii="Wingdings" w:cs="Wingdings" w:hAnsi="Wingdings" w:hint="default"/>
    </w:rPr>
  </w:style>
  <w:style w:customStyle="1" w:styleId="WW8Num16z0" w:type="character">
    <w:name w:val="WW8Num16z0"/>
    <w:rPr>
      <w:rFonts w:ascii="Symbol" w:cs="Symbol" w:hAnsi="Symbol" w:hint="default"/>
    </w:rPr>
  </w:style>
  <w:style w:customStyle="1" w:styleId="WW8Num16z1" w:type="character">
    <w:name w:val="WW8Num16z1"/>
    <w:rPr>
      <w:rFonts w:ascii="Courier New" w:cs="Courier New" w:hAnsi="Courier New" w:hint="default"/>
    </w:rPr>
  </w:style>
  <w:style w:customStyle="1" w:styleId="WW8Num16z2" w:type="character">
    <w:name w:val="WW8Num16z2"/>
    <w:rPr>
      <w:rFonts w:ascii="Wingdings" w:cs="Wingdings" w:hAnsi="Wingdings" w:hint="default"/>
    </w:rPr>
  </w:style>
  <w:style w:customStyle="1" w:styleId="WW8Num17z0" w:type="character">
    <w:name w:val="WW8Num17z0"/>
  </w:style>
  <w:style w:customStyle="1" w:styleId="WW8Num17z1" w:type="character">
    <w:name w:val="WW8Num17z1"/>
  </w:style>
  <w:style w:customStyle="1" w:styleId="WW8Num17z2" w:type="character">
    <w:name w:val="WW8Num17z2"/>
  </w:style>
  <w:style w:customStyle="1" w:styleId="WW8Num17z3" w:type="character">
    <w:name w:val="WW8Num17z3"/>
  </w:style>
  <w:style w:customStyle="1" w:styleId="WW8Num17z4" w:type="character">
    <w:name w:val="WW8Num17z4"/>
  </w:style>
  <w:style w:customStyle="1" w:styleId="WW8Num17z5" w:type="character">
    <w:name w:val="WW8Num17z5"/>
  </w:style>
  <w:style w:customStyle="1" w:styleId="WW8Num17z6" w:type="character">
    <w:name w:val="WW8Num17z6"/>
  </w:style>
  <w:style w:customStyle="1" w:styleId="WW8Num17z7" w:type="character">
    <w:name w:val="WW8Num17z7"/>
  </w:style>
  <w:style w:customStyle="1" w:styleId="WW8Num17z8" w:type="character">
    <w:name w:val="WW8Num17z8"/>
  </w:style>
  <w:style w:customStyle="1" w:styleId="WW8Num18z0" w:type="character">
    <w:name w:val="WW8Num18z0"/>
    <w:rPr>
      <w:rFonts w:ascii="Symbol" w:cs="Symbol" w:hAnsi="Symbol" w:hint="default"/>
    </w:rPr>
  </w:style>
  <w:style w:customStyle="1" w:styleId="WW8Num18z1" w:type="character">
    <w:name w:val="WW8Num18z1"/>
    <w:rPr>
      <w:rFonts w:ascii="Courier New" w:cs="Courier New" w:hAnsi="Courier New" w:hint="default"/>
    </w:rPr>
  </w:style>
  <w:style w:customStyle="1" w:styleId="WW8Num18z2" w:type="character">
    <w:name w:val="WW8Num18z2"/>
    <w:rPr>
      <w:rFonts w:ascii="Wingdings" w:cs="Wingdings" w:hAnsi="Wingdings" w:hint="default"/>
    </w:rPr>
  </w:style>
  <w:style w:customStyle="1" w:styleId="WW8Num19z0" w:type="character">
    <w:name w:val="WW8Num19z0"/>
    <w:rPr>
      <w:rFonts w:ascii="Symbol" w:cs="Symbol" w:hAnsi="Symbol" w:hint="default"/>
    </w:rPr>
  </w:style>
  <w:style w:customStyle="1" w:styleId="WW8Num19z1" w:type="character">
    <w:name w:val="WW8Num19z1"/>
    <w:rPr>
      <w:rFonts w:ascii="Courier New" w:cs="Courier New" w:hAnsi="Courier New" w:hint="default"/>
    </w:rPr>
  </w:style>
  <w:style w:customStyle="1" w:styleId="WW8Num19z2" w:type="character">
    <w:name w:val="WW8Num19z2"/>
    <w:rPr>
      <w:rFonts w:ascii="Wingdings" w:cs="Wingdings" w:hAnsi="Wingdings" w:hint="default"/>
    </w:rPr>
  </w:style>
  <w:style w:customStyle="1" w:styleId="WW8Num20z0" w:type="character">
    <w:name w:val="WW8Num20z0"/>
    <w:rPr>
      <w:rFonts w:ascii="Symbol" w:cs="Symbol" w:hAnsi="Symbol" w:hint="default"/>
    </w:rPr>
  </w:style>
  <w:style w:customStyle="1" w:styleId="WW8Num20z1" w:type="character">
    <w:name w:val="WW8Num20z1"/>
    <w:rPr>
      <w:rFonts w:ascii="Courier New" w:cs="Courier New" w:hAnsi="Courier New" w:hint="default"/>
    </w:rPr>
  </w:style>
  <w:style w:customStyle="1" w:styleId="WW8Num20z2" w:type="character">
    <w:name w:val="WW8Num20z2"/>
    <w:rPr>
      <w:rFonts w:ascii="Wingdings" w:cs="Wingdings" w:hAnsi="Wingdings" w:hint="default"/>
    </w:rPr>
  </w:style>
  <w:style w:customStyle="1" w:styleId="WW8Num21z0" w:type="character">
    <w:name w:val="WW8Num21z0"/>
    <w:rPr>
      <w:rFonts w:ascii="Symbol" w:cs="Symbol" w:hAnsi="Symbol" w:hint="default"/>
    </w:rPr>
  </w:style>
  <w:style w:customStyle="1" w:styleId="WW8Num21z1" w:type="character">
    <w:name w:val="WW8Num21z1"/>
    <w:rPr>
      <w:rFonts w:ascii="Courier New" w:cs="Courier New" w:hAnsi="Courier New" w:hint="default"/>
    </w:rPr>
  </w:style>
  <w:style w:customStyle="1" w:styleId="WW8Num21z2" w:type="character">
    <w:name w:val="WW8Num21z2"/>
    <w:rPr>
      <w:rFonts w:ascii="Wingdings" w:cs="Wingdings" w:hAnsi="Wingdings" w:hint="default"/>
    </w:rPr>
  </w:style>
  <w:style w:customStyle="1" w:styleId="Zadanifontodlomka1" w:type="character">
    <w:name w:val="Zadani font odlomka1"/>
  </w:style>
  <w:style w:customStyle="1" w:styleId="WW8Num6z3" w:type="character">
    <w:name w:val="WW8Num6z3"/>
    <w:rPr>
      <w:rFonts w:ascii="Symbol" w:cs="Symbol" w:hAnsi="Symbol"/>
    </w:rPr>
  </w:style>
  <w:style w:customStyle="1" w:styleId="WW8Num6z4" w:type="character">
    <w:name w:val="WW8Num6z4"/>
  </w:style>
  <w:style w:customStyle="1" w:styleId="WW8Num6z5" w:type="character">
    <w:name w:val="WW8Num6z5"/>
  </w:style>
  <w:style w:customStyle="1" w:styleId="WW8Num6z6" w:type="character">
    <w:name w:val="WW8Num6z6"/>
  </w:style>
  <w:style w:customStyle="1" w:styleId="WW8Num6z7" w:type="character">
    <w:name w:val="WW8Num6z7"/>
  </w:style>
  <w:style w:customStyle="1" w:styleId="WW8Num6z8" w:type="character">
    <w:name w:val="WW8Num6z8"/>
  </w:style>
  <w:style w:customStyle="1" w:styleId="WW8Num7z3" w:type="character">
    <w:name w:val="WW8Num7z3"/>
  </w:style>
  <w:style w:customStyle="1" w:styleId="WW8Num7z4" w:type="character">
    <w:name w:val="WW8Num7z4"/>
  </w:style>
  <w:style w:customStyle="1" w:styleId="WW8Num7z5" w:type="character">
    <w:name w:val="WW8Num7z5"/>
  </w:style>
  <w:style w:customStyle="1" w:styleId="WW8Num7z6" w:type="character">
    <w:name w:val="WW8Num7z6"/>
  </w:style>
  <w:style w:customStyle="1" w:styleId="WW8Num7z7" w:type="character">
    <w:name w:val="WW8Num7z7"/>
  </w:style>
  <w:style w:customStyle="1" w:styleId="WW8Num7z8" w:type="character">
    <w:name w:val="WW8Num7z8"/>
  </w:style>
  <w:style w:customStyle="1" w:styleId="WW8Num8z3" w:type="character">
    <w:name w:val="WW8Num8z3"/>
  </w:style>
  <w:style w:customStyle="1" w:styleId="WW8Num8z4" w:type="character">
    <w:name w:val="WW8Num8z4"/>
  </w:style>
  <w:style w:customStyle="1" w:styleId="WW8Num8z5" w:type="character">
    <w:name w:val="WW8Num8z5"/>
  </w:style>
  <w:style w:customStyle="1" w:styleId="WW8Num8z6" w:type="character">
    <w:name w:val="WW8Num8z6"/>
  </w:style>
  <w:style w:customStyle="1" w:styleId="WW8Num8z7" w:type="character">
    <w:name w:val="WW8Num8z7"/>
  </w:style>
  <w:style w:customStyle="1" w:styleId="WW8Num8z8" w:type="character">
    <w:name w:val="WW8Num8z8"/>
  </w:style>
  <w:style w:customStyle="1" w:styleId="WW-DefaultParagraphFont" w:type="character">
    <w:name w:val="WW-Default Paragraph Font"/>
  </w:style>
  <w:style w:customStyle="1" w:styleId="WW8Num9z3" w:type="character">
    <w:name w:val="WW8Num9z3"/>
  </w:style>
  <w:style w:customStyle="1" w:styleId="WW8Num9z4" w:type="character">
    <w:name w:val="WW8Num9z4"/>
  </w:style>
  <w:style w:customStyle="1" w:styleId="WW8Num9z5" w:type="character">
    <w:name w:val="WW8Num9z5"/>
  </w:style>
  <w:style w:customStyle="1" w:styleId="WW8Num9z6" w:type="character">
    <w:name w:val="WW8Num9z6"/>
  </w:style>
  <w:style w:customStyle="1" w:styleId="WW8Num9z7" w:type="character">
    <w:name w:val="WW8Num9z7"/>
  </w:style>
  <w:style w:customStyle="1" w:styleId="WW8Num9z8" w:type="character">
    <w:name w:val="WW8Num9z8"/>
  </w:style>
  <w:style w:customStyle="1" w:styleId="WW8Num10z3" w:type="character">
    <w:name w:val="WW8Num10z3"/>
    <w:rPr>
      <w:rFonts w:ascii="Symbol" w:cs="Symbol" w:hAnsi="Symbol"/>
    </w:rPr>
  </w:style>
  <w:style w:customStyle="1" w:styleId="WW8Num10z4" w:type="character">
    <w:name w:val="WW8Num10z4"/>
  </w:style>
  <w:style w:customStyle="1" w:styleId="WW8Num10z5" w:type="character">
    <w:name w:val="WW8Num10z5"/>
  </w:style>
  <w:style w:customStyle="1" w:styleId="WW8Num10z6" w:type="character">
    <w:name w:val="WW8Num10z6"/>
  </w:style>
  <w:style w:customStyle="1" w:styleId="WW8Num10z7" w:type="character">
    <w:name w:val="WW8Num10z7"/>
  </w:style>
  <w:style w:customStyle="1" w:styleId="WW8Num10z8" w:type="character">
    <w:name w:val="WW8Num10z8"/>
  </w:style>
  <w:style w:customStyle="1" w:styleId="WW8Num11z3" w:type="character">
    <w:name w:val="WW8Num11z3"/>
  </w:style>
  <w:style w:customStyle="1" w:styleId="WW8Num11z4" w:type="character">
    <w:name w:val="WW8Num11z4"/>
  </w:style>
  <w:style w:customStyle="1" w:styleId="WW8Num11z5" w:type="character">
    <w:name w:val="WW8Num11z5"/>
  </w:style>
  <w:style w:customStyle="1" w:styleId="WW8Num11z6" w:type="character">
    <w:name w:val="WW8Num11z6"/>
  </w:style>
  <w:style w:customStyle="1" w:styleId="WW8Num11z7" w:type="character">
    <w:name w:val="WW8Num11z7"/>
  </w:style>
  <w:style w:customStyle="1" w:styleId="WW8Num11z8" w:type="character">
    <w:name w:val="WW8Num11z8"/>
  </w:style>
  <w:style w:customStyle="1" w:styleId="WW8Num12z3" w:type="character">
    <w:name w:val="WW8Num12z3"/>
  </w:style>
  <w:style w:customStyle="1" w:styleId="WW8Num12z4" w:type="character">
    <w:name w:val="WW8Num12z4"/>
  </w:style>
  <w:style w:customStyle="1" w:styleId="WW8Num12z5" w:type="character">
    <w:name w:val="WW8Num12z5"/>
  </w:style>
  <w:style w:customStyle="1" w:styleId="WW8Num12z6" w:type="character">
    <w:name w:val="WW8Num12z6"/>
  </w:style>
  <w:style w:customStyle="1" w:styleId="WW8Num12z7" w:type="character">
    <w:name w:val="WW8Num12z7"/>
  </w:style>
  <w:style w:customStyle="1" w:styleId="WW8Num12z8" w:type="character">
    <w:name w:val="WW8Num12z8"/>
  </w:style>
  <w:style w:customStyle="1" w:styleId="WW-DefaultParagraphFont1" w:type="character">
    <w:name w:val="WW-Default Paragraph Font1"/>
  </w:style>
  <w:style w:customStyle="1" w:styleId="WW8Num13z3" w:type="character">
    <w:name w:val="WW8Num13z3"/>
  </w:style>
  <w:style w:customStyle="1" w:styleId="WW8Num13z4" w:type="character">
    <w:name w:val="WW8Num13z4"/>
  </w:style>
  <w:style w:customStyle="1" w:styleId="WW8Num13z5" w:type="character">
    <w:name w:val="WW8Num13z5"/>
  </w:style>
  <w:style w:customStyle="1" w:styleId="WW8Num13z6" w:type="character">
    <w:name w:val="WW8Num13z6"/>
  </w:style>
  <w:style w:customStyle="1" w:styleId="WW8Num13z7" w:type="character">
    <w:name w:val="WW8Num13z7"/>
  </w:style>
  <w:style w:customStyle="1" w:styleId="WW8Num13z8" w:type="character">
    <w:name w:val="WW8Num13z8"/>
  </w:style>
  <w:style w:customStyle="1" w:styleId="WW-DefaultParagraphFont11" w:type="character">
    <w:name w:val="WW-Default Paragraph Font11"/>
  </w:style>
  <w:style w:styleId="Hiperveza" w:type="character">
    <w:name w:val="Hyperlink"/>
    <w:rPr>
      <w:color w:val="0000FF"/>
      <w:u w:val="single"/>
    </w:rPr>
  </w:style>
  <w:style w:customStyle="1" w:styleId="WW8Num1z4" w:type="character">
    <w:name w:val="WW8Num1z4"/>
  </w:style>
  <w:style w:customStyle="1" w:styleId="WW8Num1z5" w:type="character">
    <w:name w:val="WW8Num1z5"/>
  </w:style>
  <w:style w:customStyle="1" w:styleId="WW8Num1z6" w:type="character">
    <w:name w:val="WW8Num1z6"/>
  </w:style>
  <w:style w:customStyle="1" w:styleId="WW8Num1z7" w:type="character">
    <w:name w:val="WW8Num1z7"/>
  </w:style>
  <w:style w:customStyle="1" w:styleId="WW8Num1z8" w:type="character">
    <w:name w:val="WW8Num1z8"/>
  </w:style>
  <w:style w:customStyle="1" w:styleId="FooterChar" w:type="character">
    <w:name w:val="Footer Char"/>
    <w:rPr>
      <w:rFonts w:ascii="Liberation Serif" w:cs="Mangal" w:eastAsia="SimSun" w:hAnsi="Liberation Serif"/>
      <w:kern w:val="1"/>
      <w:sz w:val="24"/>
      <w:szCs w:val="21"/>
      <w:lang w:bidi="hi-IN" w:eastAsia="zh-CN" w:val="en-US"/>
    </w:rPr>
  </w:style>
  <w:style w:customStyle="1" w:styleId="HeaderChar" w:type="character">
    <w:name w:val="Header Char"/>
    <w:rPr>
      <w:rFonts w:ascii="Liberation Serif" w:cs="Mangal" w:eastAsia="SimSun" w:hAnsi="Liberation Serif"/>
      <w:kern w:val="1"/>
      <w:sz w:val="24"/>
      <w:szCs w:val="24"/>
      <w:lang w:bidi="hi-IN" w:eastAsia="zh-CN" w:val="en-US"/>
    </w:rPr>
  </w:style>
  <w:style w:customStyle="1" w:styleId="BalloonTextChar" w:type="character">
    <w:name w:val="Balloon Text Char"/>
    <w:rPr>
      <w:rFonts w:ascii="Tahoma" w:cs="Mangal" w:eastAsia="SimSun" w:hAnsi="Tahoma"/>
      <w:kern w:val="1"/>
      <w:sz w:val="16"/>
      <w:szCs w:val="14"/>
      <w:lang w:bidi="hi-IN" w:eastAsia="zh-CN" w:val="en-US"/>
    </w:rPr>
  </w:style>
  <w:style w:customStyle="1" w:styleId="UnresolvedMention" w:type="character">
    <w:name w:val="Unresolved Mention"/>
    <w:rPr>
      <w:color w:val="605E5C"/>
      <w:shd w:color="auto" w:fill="E1DFDD" w:val="clear"/>
    </w:rPr>
  </w:style>
  <w:style w:customStyle="1" w:styleId="Heading" w:type="paragraph">
    <w:name w:val="Heading"/>
    <w:basedOn w:val="Normal"/>
    <w:next w:val="Tijeloteksta"/>
    <w:pPr>
      <w:keepNext/>
      <w:spacing w:after="120" w:before="240"/>
    </w:pPr>
    <w:rPr>
      <w:rFonts w:ascii="Liberation Sans" w:eastAsia="Microsoft YaHei" w:hAnsi="Liberation Sans"/>
      <w:sz w:val="28"/>
      <w:szCs w:val="28"/>
    </w:rPr>
  </w:style>
  <w:style w:styleId="Tijeloteksta" w:type="paragraph">
    <w:name w:val="Body Text"/>
    <w:basedOn w:val="Normal"/>
    <w:pPr>
      <w:spacing w:after="140" w:line="288" w:lineRule="auto"/>
    </w:pPr>
  </w:style>
  <w:style w:styleId="Popis" w:type="paragraph">
    <w:name w:val="List"/>
    <w:basedOn w:val="Tijeloteksta"/>
  </w:style>
  <w:style w:styleId="Opisslike" w:type="paragraph">
    <w:name w:val="caption"/>
    <w:basedOn w:val="Normal"/>
    <w:qFormat/>
    <w:pPr>
      <w:suppressLineNumbers/>
      <w:spacing w:after="120" w:before="120"/>
    </w:pPr>
    <w:rPr>
      <w:i/>
      <w:iCs/>
    </w:rPr>
  </w:style>
  <w:style w:customStyle="1" w:styleId="Index" w:type="paragraph">
    <w:name w:val="Index"/>
    <w:basedOn w:val="Normal"/>
    <w:pPr>
      <w:suppressLineNumbers/>
    </w:pPr>
  </w:style>
  <w:style w:customStyle="1" w:styleId="TableContents" w:type="paragraph">
    <w:name w:val="Table Contents"/>
    <w:basedOn w:val="Normal"/>
    <w:pPr>
      <w:suppressLineNumbers/>
    </w:pPr>
  </w:style>
  <w:style w:customStyle="1" w:styleId="TableHeading" w:type="paragraph">
    <w:name w:val="Table Heading"/>
    <w:basedOn w:val="TableContents"/>
    <w:pPr>
      <w:jc w:val="center"/>
    </w:pPr>
    <w:rPr>
      <w:b/>
      <w:bCs/>
    </w:rPr>
  </w:style>
  <w:style w:styleId="Zaglavlje" w:type="paragraph">
    <w:name w:val="header"/>
    <w:basedOn w:val="Normal"/>
    <w:pPr>
      <w:tabs>
        <w:tab w:pos="4153" w:val="center"/>
        <w:tab w:pos="8306" w:val="right"/>
      </w:tabs>
    </w:pPr>
  </w:style>
  <w:style w:styleId="Podnoje" w:type="paragraph">
    <w:name w:val="footer"/>
    <w:basedOn w:val="Normal"/>
    <w:pPr>
      <w:tabs>
        <w:tab w:pos="4536" w:val="center"/>
        <w:tab w:pos="9072" w:val="right"/>
      </w:tabs>
    </w:pPr>
    <w:rPr>
      <w:szCs w:val="21"/>
    </w:rPr>
  </w:style>
  <w:style w:customStyle="1" w:styleId="Tekstbalonia1" w:type="paragraph">
    <w:name w:val="Tekst balončića1"/>
    <w:basedOn w:val="Normal"/>
    <w:rPr>
      <w:rFonts w:ascii="Tahoma" w:cs="Tahoma" w:hAnsi="Tahoma"/>
      <w:sz w:val="16"/>
      <w:szCs w:val="14"/>
    </w:rPr>
  </w:style>
  <w:style w:customStyle="1" w:styleId="Odlomakpopisa1" w:type="paragraph">
    <w:name w:val="Odlomak popisa1"/>
    <w:basedOn w:val="Normal"/>
    <w:pPr>
      <w:ind w:left="708"/>
    </w:pPr>
    <w:rPr>
      <w:szCs w:val="21"/>
    </w:rPr>
  </w:style>
  <w:style w:styleId="Tekstrezerviranogmjesta" w:type="character">
    <w:name w:val="Placeholder Text"/>
    <w:basedOn w:val="Zadanifontodlomka"/>
    <w:uiPriority w:val="99"/>
    <w:semiHidden/>
    <w:rsid w:val="00947F0E"/>
    <w:rPr>
      <w:color w:val="808080"/>
      <w:bdr w:color="auto" w:space="0" w:sz="0" w:val="none"/>
      <w:shd w:color="auto" w:fill="auto" w:val="clear"/>
    </w:rPr>
  </w:style>
  <w:style w:customStyle="1" w:styleId="eSPISCCParagraphDefaultFont" w:type="character">
    <w:name w:val="eSPIS_CC_Paragraph Default Font"/>
    <w:basedOn w:val="Zadanifontodlomka"/>
    <w:rsid w:val="00947F0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47F0E"/>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947F0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47F0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18</properties:Pages>
  <properties:Words>5782</properties:Words>
  <properties:Characters>32330</properties:Characters>
  <properties:Lines>820</properties:Lines>
  <properties:Paragraphs>391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38475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2019-06-18T07:11:00Z</dcterms:created>
  <dc:creator>irena</dc:creator>
  <cp:lastModifiedBy>Valentina Gabud</cp:lastModifiedBy>
  <cp:lastPrinted>2019-06-16T11:51:00Z</cp:lastPrinted>
  <dcterms:modified xmlns:xsi="http://www.w3.org/2001/XMLSchema-instance" xsi:type="dcterms:W3CDTF">2019-06-18T07:12:00Z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St-2410/2017-66 / Podnesak - Izvješće stečajnog upravitelja (Kaligrafija-izvješće o gospodarskom stanju.docx)</vt:lpwstr>
  </prop:property>
  <prop:property name="CC_coloring" pid="4" fmtid="{D5CDD505-2E9C-101B-9397-08002B2CF9AE}">
    <vt:bool>false</vt:bool>
  </prop:property>
  <prop:property name="BrojStranica" pid="5" fmtid="{D5CDD505-2E9C-101B-9397-08002B2CF9AE}">
    <vt:i4>18</vt:i4>
  </prop:property>
</prop:Properties>
</file>