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4fd8e" w14:paraId="464fd8e" w:rsidRDefault="00F92D0D" w:rsidR="00C00699">
      <w:pPr>
        <w15:collapsed w:val="false"/>
        <w:rPr>
          <w:sz w:val="20"/>
        </w:rPr>
      </w:pPr>
      <w:bookmarkStart w:name="_GoBack" w:id="0"/>
      <w:bookmarkEnd w:id="0"/>
      <w:r>
        <w:rPr>
          <w:noProof/>
          <w:sz w:val="20"/>
          <w:lang w:eastAsia="hr-HR"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margin">
              <wp:posOffset>960755</wp:posOffset>
            </wp:positionH>
            <wp:positionV relativeFrom="margin">
              <wp:posOffset>-412115</wp:posOffset>
            </wp:positionV>
            <wp:extent cy="600075" cx="476250"/>
            <wp:effectExtent b="9525" r="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0075" cx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pPr w:tblpY="315" w:horzAnchor="margin" w:rightFromText="180" w:leftFromText="180"/>
        <w:tblW w:type="auto" w:w="0"/>
        <w:tblLook w:val="04A0" w:noVBand="1" w:noHBand="0" w:lastColumn="0" w:firstColumn="1" w:lastRow="0" w:firstRow="1"/>
      </w:tblPr>
      <w:tblGrid>
        <w:gridCol w:w="4077"/>
      </w:tblGrid>
      <w:tr w:rsidTr="00AA2546" w:rsidR="00467BFD" w:rsidRPr="00781313">
        <w:tc>
          <w:tcPr>
            <w:tcW w:type="dxa" w:w="4077"/>
          </w:tcPr>
          <w:p w:rsidRDefault="00467BFD" w:rsidP="00AA2546" w:rsidR="00467BFD" w:rsidRPr="00781313">
            <w:pPr>
              <w:spacing w:before="120"/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REPUBLIKA HRVATSKA</w:t>
            </w:r>
          </w:p>
          <w:p w:rsidRDefault="00467BFD" w:rsidP="00AA2546" w:rsidR="00467BFD" w:rsidRPr="00781313">
            <w:pPr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VRHOVNI SUD REPUBLIKE HRVATSKE</w:t>
            </w:r>
          </w:p>
          <w:p w:rsidRDefault="00467BFD" w:rsidP="00AA2546" w:rsidR="00467BFD" w:rsidRPr="00781313">
            <w:pPr>
              <w:jc w:val="center"/>
            </w:pPr>
            <w:r w:rsidRPr="00781313">
              <w:rPr>
                <w:b/>
                <w:sz w:val="20"/>
              </w:rPr>
              <w:t>Z A G R E B</w:t>
            </w:r>
          </w:p>
        </w:tc>
      </w:tr>
    </w:tbl>
    <w:p w:rsidRDefault="00467BFD" w:rsidR="00467BFD">
      <w:pPr>
        <w:rPr>
          <w:sz w:val="20"/>
        </w:rPr>
      </w:pPr>
    </w:p>
    <w:p w:rsidRDefault="00467BFD" w:rsidR="00467BFD">
      <w:pPr>
        <w:rPr>
          <w:sz w:val="20"/>
        </w:rPr>
      </w:pPr>
    </w:p>
    <w:p w:rsidRDefault="00467BFD" w:rsidR="00467BFD">
      <w:pPr>
        <w:rPr>
          <w:sz w:val="20"/>
        </w:rPr>
      </w:pPr>
    </w:p>
    <w:p w:rsidRDefault="00467BFD" w:rsidR="00467BFD">
      <w:pPr>
        <w:rPr>
          <w:sz w:val="20"/>
        </w:rPr>
      </w:pPr>
    </w:p>
    <w:p w:rsidRDefault="00467BFD" w:rsidR="00467BFD">
      <w:pPr>
        <w:rPr>
          <w:sz w:val="20"/>
        </w:rPr>
      </w:pPr>
    </w:p>
    <w:p w:rsidRDefault="00C00699" w:rsidR="00C00699">
      <w:pPr>
        <w:jc w:val="right"/>
      </w:pPr>
      <w:r>
        <w:t xml:space="preserve">Broj: </w:t>
      </w:r>
      <w:bookmarkStart w:name="Broj" w:id="1"/>
      <w:bookmarkEnd w:id="1"/>
      <w:r w:rsidR="00FB5ED9">
        <w:t>Rev 2011/2019-2</w:t>
      </w:r>
    </w:p>
    <w:p w:rsidRDefault="00C00699" w:rsidR="00C00699">
      <w:pPr>
        <w:jc w:val="right"/>
      </w:pPr>
    </w:p>
    <w:p w:rsidRDefault="00C00699" w:rsidR="00C00699">
      <w:pPr>
        <w:jc w:val="right"/>
      </w:pPr>
    </w:p>
    <w:p w:rsidRDefault="00C00699" w:rsidR="00C00699">
      <w:pPr>
        <w:jc w:val="right"/>
      </w:pPr>
    </w:p>
    <w:p w:rsidRDefault="00FB5ED9" w:rsidP="00FB5ED9" w:rsidR="00FB5ED9">
      <w:pPr>
        <w:spacing w:lineRule="auto" w:line="360"/>
        <w:jc w:val="center"/>
      </w:pPr>
      <w:bookmarkStart w:name="Naslov" w:id="2"/>
      <w:bookmarkEnd w:id="2"/>
      <w:r>
        <w:t>U   I M E   R E P U B L I K E   H R V A T S K E</w:t>
      </w:r>
    </w:p>
    <w:p w:rsidRDefault="00FB5ED9" w:rsidP="00FB5ED9" w:rsidR="00C00699">
      <w:pPr>
        <w:spacing w:lineRule="auto" w:line="360"/>
        <w:jc w:val="center"/>
      </w:pPr>
      <w:r>
        <w:t>R J E Š E N J E</w:t>
      </w:r>
    </w:p>
    <w:p w:rsidRDefault="00C00699" w:rsidP="00FB5ED9" w:rsidR="00C00699">
      <w:pPr>
        <w:spacing w:lineRule="auto" w:line="360"/>
        <w:jc w:val="center"/>
      </w:pPr>
    </w:p>
    <w:p w:rsidRDefault="00FB5ED9" w:rsidP="00426F75" w:rsidR="00FB5ED9">
      <w:pPr>
        <w:ind w:firstLine="708"/>
        <w:rPr>
          <w:szCs w:val="24"/>
        </w:rPr>
      </w:pPr>
      <w:bookmarkStart w:name="Pocetak" w:id="3"/>
      <w:bookmarkEnd w:id="3"/>
      <w:r>
        <w:rPr>
          <w:szCs w:val="24"/>
        </w:rPr>
        <w:t>Vrhovni sud Republike Hrvatske u vijeću sastavljenom od sudaca Katarine Buljan predsjednice vijeća, Slavka Pavkovića člana vijeća i suca izvjestitelja, Aleksandra Peruzovića člana vijeća, Viktorije Lovrić članice vijeća i Branka Medančića člana vijeća, u stečajnom postupku nad dužnikom Kompjutorska rješenja IT d.o.o. u stečaju iz Splita, Ulica slobode 33, OIB: 32695889922, odlučujući o reviziji stečajnog dužnika protiv rješenja Visokog trgovačkog suda Republike Hrvatske posl. broj Pž-1470/19-2 od 6. ožujka 2019. kojim je potvrđeno rješenje Trgovačkog suda u Splitu posl. broj St-858/18-8 od 28. siječnja 2019., u sjednici održanoj 14. svibnja 2019.,</w:t>
      </w:r>
    </w:p>
    <w:p w:rsidRDefault="00FB5ED9" w:rsidP="00426F75" w:rsidR="00FB5ED9">
      <w:pPr>
        <w:rPr>
          <w:szCs w:val="24"/>
        </w:rPr>
      </w:pPr>
    </w:p>
    <w:p w:rsidRDefault="00426F75" w:rsidP="00426F75" w:rsidR="00426F75">
      <w:pPr>
        <w:rPr>
          <w:szCs w:val="24"/>
        </w:rPr>
      </w:pPr>
    </w:p>
    <w:p w:rsidRDefault="00FB5ED9" w:rsidP="00426F75" w:rsidR="00FB5ED9">
      <w:pPr>
        <w:jc w:val="center"/>
      </w:pPr>
      <w:r>
        <w:t>r i j e š i o   j e:</w:t>
      </w:r>
    </w:p>
    <w:p w:rsidRDefault="00FB5ED9" w:rsidP="00426F75" w:rsidR="00FB5ED9">
      <w:pPr>
        <w:pStyle w:val="Bezproreda"/>
      </w:pPr>
    </w:p>
    <w:p w:rsidRDefault="00FB5ED9" w:rsidP="00426F75" w:rsidR="00FB5ED9">
      <w:pPr>
        <w:ind w:firstLine="708"/>
        <w:rPr>
          <w:szCs w:val="24"/>
        </w:rPr>
      </w:pPr>
      <w:r>
        <w:rPr>
          <w:szCs w:val="24"/>
        </w:rPr>
        <w:t>Revizija se odbacuje kao nedopuštena.</w:t>
      </w:r>
    </w:p>
    <w:p w:rsidRDefault="00FB5ED9" w:rsidP="00426F75" w:rsidR="00FB5ED9">
      <w:pPr>
        <w:rPr>
          <w:szCs w:val="24"/>
        </w:rPr>
      </w:pPr>
    </w:p>
    <w:p w:rsidRDefault="00426F75" w:rsidP="00426F75" w:rsidR="00426F75">
      <w:pPr>
        <w:rPr>
          <w:szCs w:val="24"/>
        </w:rPr>
      </w:pPr>
    </w:p>
    <w:p w:rsidRDefault="00FB5ED9" w:rsidP="00426F75" w:rsidR="00FB5ED9">
      <w:pPr>
        <w:tabs>
          <w:tab w:pos="3969" w:val="left"/>
        </w:tabs>
        <w:jc w:val="center"/>
      </w:pPr>
      <w:r>
        <w:t>Obrazloženje</w:t>
      </w:r>
    </w:p>
    <w:p w:rsidRDefault="00FB5ED9" w:rsidP="00426F75" w:rsidR="00FB5ED9">
      <w:pPr>
        <w:pStyle w:val="Bezproreda"/>
      </w:pPr>
    </w:p>
    <w:p w:rsidRDefault="00FB5ED9" w:rsidP="00426F75" w:rsidR="00FB5ED9">
      <w:pPr>
        <w:ind w:firstLine="708"/>
        <w:rPr>
          <w:szCs w:val="24"/>
        </w:rPr>
      </w:pPr>
      <w:r>
        <w:rPr>
          <w:szCs w:val="24"/>
        </w:rPr>
        <w:t>Prvostupanjskim rješenjem odlučeno je:</w:t>
      </w:r>
    </w:p>
    <w:p w:rsidRDefault="00FB5ED9" w:rsidP="00426F75" w:rsidR="00FB5ED9">
      <w:pPr>
        <w:rPr>
          <w:szCs w:val="24"/>
        </w:rPr>
      </w:pPr>
    </w:p>
    <w:p w:rsidRDefault="00FB5ED9" w:rsidP="00426F75" w:rsidR="00FB5ED9" w:rsidRPr="00FB5ED9">
      <w:pPr>
        <w:ind w:firstLine="708"/>
        <w:rPr>
          <w:szCs w:val="24"/>
        </w:rPr>
      </w:pPr>
      <w:r>
        <w:rPr>
          <w:szCs w:val="24"/>
        </w:rPr>
        <w:t>"</w:t>
      </w:r>
      <w:r w:rsidRPr="00FB5ED9">
        <w:rPr>
          <w:szCs w:val="24"/>
        </w:rPr>
        <w:t>I. Otvara se skraćeni stečajni postupak nad dužnikom KOMPJUTORSKA RJEŠENJA IT d.o.o., Ulica slobode 33, Split, OIB: 32695889922. Skraćeni stečajni postupak je otvoren 28. siječnja 2019. u 13:00 sati, kada je ovo rješenje objavljeno na mrežnoj stranici e-Oglasna ploča sudova.</w:t>
      </w:r>
    </w:p>
    <w:p w:rsidRDefault="00FB5ED9" w:rsidP="00426F75" w:rsidR="00FB5ED9" w:rsidRPr="00FB5ED9">
      <w:pPr>
        <w:rPr>
          <w:szCs w:val="24"/>
        </w:rPr>
      </w:pPr>
    </w:p>
    <w:p w:rsidRDefault="00FB5ED9" w:rsidP="00426F75" w:rsidR="00FB5ED9" w:rsidRPr="00FB5ED9">
      <w:pPr>
        <w:ind w:firstLine="708"/>
        <w:rPr>
          <w:szCs w:val="24"/>
        </w:rPr>
      </w:pPr>
      <w:r w:rsidRPr="00FB5ED9">
        <w:rPr>
          <w:szCs w:val="24"/>
        </w:rPr>
        <w:t>II. Za stečajnog upravitelja imenuje se Snježana Vrkljan, Kralja Zvonimira 75, Zagreb, OIB: 44740101731.</w:t>
      </w:r>
    </w:p>
    <w:p w:rsidRDefault="00FB5ED9" w:rsidP="00426F75" w:rsidR="00FB5ED9" w:rsidRPr="00FB5ED9">
      <w:pPr>
        <w:rPr>
          <w:szCs w:val="24"/>
        </w:rPr>
      </w:pPr>
    </w:p>
    <w:p w:rsidRDefault="00FB5ED9" w:rsidP="00426F75" w:rsidR="00FB5ED9" w:rsidRPr="00FB5ED9">
      <w:pPr>
        <w:ind w:firstLine="708"/>
        <w:rPr>
          <w:szCs w:val="24"/>
        </w:rPr>
      </w:pPr>
      <w:r w:rsidRPr="00FB5ED9">
        <w:rPr>
          <w:szCs w:val="24"/>
        </w:rPr>
        <w:t xml:space="preserve">III. Zaključuje se skraćeni stečajni postupak nad dužnikom KOMPJUTORSKA RJEŠENJA IT d.o.o., Ulica slobode 33, Split, OIB: 32695889922. </w:t>
      </w:r>
    </w:p>
    <w:p w:rsidRDefault="00FB5ED9" w:rsidP="00426F75" w:rsidR="00FB5ED9" w:rsidRPr="00FB5ED9">
      <w:pPr>
        <w:rPr>
          <w:szCs w:val="24"/>
        </w:rPr>
      </w:pPr>
    </w:p>
    <w:p w:rsidRDefault="00FB5ED9" w:rsidP="00426F75" w:rsidR="00FB5ED9">
      <w:pPr>
        <w:ind w:firstLine="708"/>
        <w:rPr>
          <w:szCs w:val="24"/>
        </w:rPr>
      </w:pPr>
      <w:r w:rsidRPr="00FB5ED9">
        <w:rPr>
          <w:szCs w:val="24"/>
        </w:rPr>
        <w:t>IV. Nakon pravomoćnosti ovog rješenja, dužnik će se brisati iz sudskog registra.</w:t>
      </w:r>
      <w:r>
        <w:rPr>
          <w:szCs w:val="24"/>
        </w:rPr>
        <w:t>"</w:t>
      </w:r>
    </w:p>
    <w:p w:rsidRDefault="00FB5ED9" w:rsidP="00426F75" w:rsidR="00FB5ED9">
      <w:pPr>
        <w:rPr>
          <w:szCs w:val="24"/>
        </w:rPr>
      </w:pPr>
    </w:p>
    <w:p w:rsidRDefault="00FB5ED9" w:rsidP="00426F75" w:rsidR="00FB5ED9">
      <w:pPr>
        <w:ind w:firstLine="708"/>
        <w:rPr>
          <w:szCs w:val="24"/>
        </w:rPr>
      </w:pPr>
      <w:r>
        <w:rPr>
          <w:szCs w:val="24"/>
        </w:rPr>
        <w:t>Drugostupanjskim rješenjem odlučeno je:</w:t>
      </w:r>
    </w:p>
    <w:p w:rsidRDefault="00FB5ED9" w:rsidP="00426F75" w:rsidR="00FB5ED9">
      <w:pPr>
        <w:rPr>
          <w:szCs w:val="24"/>
        </w:rPr>
      </w:pPr>
    </w:p>
    <w:p w:rsidRDefault="00FB5ED9" w:rsidP="00426F75" w:rsidR="00FB5ED9" w:rsidRPr="00FB5ED9">
      <w:pPr>
        <w:ind w:firstLine="708"/>
        <w:rPr>
          <w:szCs w:val="24"/>
        </w:rPr>
      </w:pPr>
      <w:r>
        <w:rPr>
          <w:szCs w:val="24"/>
        </w:rPr>
        <w:lastRenderedPageBreak/>
        <w:t>"</w:t>
      </w:r>
      <w:r w:rsidRPr="00FB5ED9">
        <w:rPr>
          <w:szCs w:val="24"/>
        </w:rPr>
        <w:t>I. Odbija se dužnikova žalba kao neosnovana i potvrđuje rješenje Trgovačkog suda u Splitu poslovni broj St-858/2018-8 od 28. siječnja 2019.</w:t>
      </w:r>
    </w:p>
    <w:p w:rsidRDefault="00FB5ED9" w:rsidP="00426F75" w:rsidR="00FB5ED9" w:rsidRPr="00FB5ED9">
      <w:pPr>
        <w:rPr>
          <w:szCs w:val="24"/>
        </w:rPr>
      </w:pPr>
    </w:p>
    <w:p w:rsidRDefault="00FB5ED9" w:rsidP="00426F75" w:rsidR="00FB5ED9">
      <w:pPr>
        <w:ind w:firstLine="708"/>
        <w:rPr>
          <w:szCs w:val="24"/>
        </w:rPr>
      </w:pPr>
      <w:r w:rsidRPr="00FB5ED9">
        <w:rPr>
          <w:szCs w:val="24"/>
        </w:rPr>
        <w:t>II. Odbacuje se žalba Marice Zuanić protiv rješenja Trgovačkog suda u Splitu poslovni broj St-858/2018-8 od 28. siječnja 2019. kao nedopuštena.</w:t>
      </w:r>
      <w:r>
        <w:rPr>
          <w:szCs w:val="24"/>
        </w:rPr>
        <w:t>"</w:t>
      </w:r>
    </w:p>
    <w:p w:rsidRDefault="00FB5ED9" w:rsidP="00426F75" w:rsidR="00FB5ED9">
      <w:pPr>
        <w:rPr>
          <w:szCs w:val="24"/>
        </w:rPr>
      </w:pPr>
    </w:p>
    <w:p w:rsidRDefault="00FB5ED9" w:rsidP="00426F75" w:rsidR="00FB5ED9">
      <w:pPr>
        <w:ind w:firstLine="708"/>
      </w:pPr>
      <w:r>
        <w:rPr>
          <w:szCs w:val="24"/>
        </w:rPr>
        <w:t xml:space="preserve">Protiv drugostupanjskog rješenja u dijelu pod st. I. izreke reviziju je u smislu odredbe čl. 382. st. 2. </w:t>
      </w:r>
      <w:r>
        <w:t>Zakona o parničnom postupku ("Narodne novine", broj</w:t>
      </w:r>
      <w:r>
        <w:rPr>
          <w:szCs w:val="24"/>
        </w:rPr>
        <w:t xml:space="preserve"> </w:t>
      </w:r>
      <w:r>
        <w:t>53/91, 91/92, 112/99, 88/01, 117/03, 88/05, 2/07, 84/08, 96/08, 123/08, 57/11, 148/11, 25/13 i 28/13 – dalje: ZPP) podnio stečajni dužnik naznačivši sljedeća pravna pitanja za koja smatra da su važna za osiguranje jedinstvene primjene prava i ravnopravnosti svih u njegovoj primjeni:</w:t>
      </w:r>
    </w:p>
    <w:p w:rsidRDefault="00FB5ED9" w:rsidP="00426F75" w:rsidR="00FB5ED9"/>
    <w:p w:rsidRDefault="00FB5ED9" w:rsidP="00426F75" w:rsidR="00F92D0D">
      <w:pPr>
        <w:ind w:firstLine="708"/>
      </w:pPr>
      <w:r>
        <w:t xml:space="preserve">1. Je li neistinit sadržaj Zahtjeva za provedbu skraćenog stečajnog postupka Financijske agencije (FINA) od 28. 11. 2018. </w:t>
      </w:r>
      <w:r w:rsidR="00F92D0D">
        <w:t>u dijelu u kojem FINA tvrdi da "ne raspolaže drugim podacima o imovini pravne osobe", a u postupku je utvrđeno da je FINA raspolagala podacima o imovini pravne osobe znatne vrijednosti (aktiva na dan 31.12.2017. iznosila je 5,049.639,00 kuna) i propust FINA-e da u Zahtjev za provedbu skraćenog stečajnog postupka unese obvezan propisani sadržaj iz čl. 429. st. 2. toč. 3. Stečajnog zakona i to "podatke o imovini pravnih osoba, ako podnositelj prijedloga raspolaže tim podacima, utjecao na zakonitost provođenja stečajnog postupka na način da je umjesto redovnog stečajnog postupka i donošenja rješenja o pokretanju postupka radi utvrđivanja pretpostavki za otvaranje stečajnog postupka (prethodni postupak po čl. 115. Stečajnog zakona) ili rješenja o otvaranju stečajnog postupka (po čl. 116. Stečajnog zakona), Trgovački sud u Splitu donio rješenje o otvaranju i zaključenju skraćenog stečajnog postupka po čl. 431. st. 2. Stečajnog zakona?,</w:t>
      </w:r>
    </w:p>
    <w:p w:rsidRDefault="00F92D0D" w:rsidP="00426F75" w:rsidR="00F92D0D"/>
    <w:p w:rsidRDefault="00F92D0D" w:rsidP="00426F75" w:rsidR="00F92D0D" w:rsidRPr="00F92D0D">
      <w:pPr>
        <w:ind w:firstLine="708"/>
      </w:pPr>
      <w:r>
        <w:t>2. Treba li Trgovački sud kada zaprimi zahtjev FINA-e za provedbu skraćenog stečajnog postupka u kojemu su navedeni podaci o postojanju imovine pravne osobe znatne vrijednosti donijeti rješenje po čl. 431. st. 2. Stečajnog zakona o otvaranju i istovremenom zaključenju stečajnog postupka ili rješenje o pokretanju postupka radi utvrđivanja pretpostavki za otvaranje stečajnog postupka (prethodni postupak po čl. 115. Stečajnog zakona) odnosno rješenje o otvaranju stečajnog postupka (po čl. 116. Stečajnog postupka)?.</w:t>
      </w:r>
    </w:p>
    <w:p w:rsidRDefault="00FB5ED9" w:rsidP="00426F75" w:rsidR="00FB5ED9">
      <w:pPr>
        <w:rPr>
          <w:szCs w:val="24"/>
        </w:rPr>
      </w:pPr>
    </w:p>
    <w:p w:rsidRDefault="00A90D29" w:rsidP="00426F75" w:rsidR="00FB5ED9">
      <w:pPr>
        <w:ind w:firstLine="708"/>
        <w:rPr>
          <w:szCs w:val="24"/>
        </w:rPr>
      </w:pPr>
      <w:r>
        <w:rPr>
          <w:szCs w:val="24"/>
        </w:rPr>
        <w:t>Revizija stečajnog dužnika nije dopuštena.</w:t>
      </w:r>
    </w:p>
    <w:p w:rsidRDefault="00A90D29" w:rsidP="00426F75" w:rsidR="00A90D29">
      <w:pPr>
        <w:rPr>
          <w:szCs w:val="24"/>
        </w:rPr>
      </w:pPr>
    </w:p>
    <w:p w:rsidRDefault="00A90D29" w:rsidP="00426F75" w:rsidR="00A90D29">
      <w:pPr>
        <w:ind w:firstLine="720"/>
      </w:pPr>
      <w:r>
        <w:t xml:space="preserve">Prema odredbi čl. 382. st. 2. ZPP u slučajevima u kojima je ne mogu podnijeti prema odredbi st. 1. toga članka, stranke mogu podnijeti reviziju protiv drugostupanjske </w:t>
      </w:r>
      <w:r w:rsidR="005D0E7C">
        <w:t>odluke</w:t>
      </w:r>
      <w:r>
        <w:t xml:space="preserve"> ako odluka u sporu ovisi o rješenju nekog materijalnopravnog ili postupovnopravnog pitanja važnog za osiguranje jedinstvene primjene prava i ravnopravnosti svih u njegovoj primjeni, primjerice: </w:t>
      </w:r>
    </w:p>
    <w:p w:rsidRDefault="00A90D29" w:rsidP="00426F75" w:rsidR="00A90D29"/>
    <w:p w:rsidRDefault="00A90D29" w:rsidP="00426F75" w:rsidR="00A90D29">
      <w:pPr>
        <w:ind w:firstLine="720"/>
      </w:pPr>
      <w:r>
        <w:t>1. ako o tom pitanju revizijski sud još uvijek nije zauzeo shvaćanje odlučujući u pojedinim predmetima na odjelnoj sjednici, a riječ je o pitanju o kojemu postoji različita praksa drugostupanjskih sudova,</w:t>
      </w:r>
    </w:p>
    <w:p w:rsidRDefault="00A90D29" w:rsidP="00426F75" w:rsidR="00A90D29"/>
    <w:p w:rsidRDefault="00A90D29" w:rsidP="00426F75" w:rsidR="00A90D29">
      <w:pPr>
        <w:ind w:firstLine="720"/>
      </w:pPr>
      <w:r>
        <w:t>2. ako je o tom pitanju revizijski sud već zauzeo shvaćanje, ali je odluka drugostupanjskog suda utemeljena na shvaćanju koje nije podudarno s tim shvaćanjem,</w:t>
      </w:r>
    </w:p>
    <w:p w:rsidRDefault="00A90D29" w:rsidP="00426F75" w:rsidR="00A90D29"/>
    <w:p w:rsidRDefault="00A90D29" w:rsidP="00426F75" w:rsidR="00A90D29">
      <w:pPr>
        <w:ind w:firstLine="720"/>
      </w:pPr>
      <w:r>
        <w:t>3. ako je o tom pitanju revizijski sud već zauzeo shvaćanje i presuda se drugostupanjskog suda temelji na tom shvaćanju, ali bi – osobito uvažavajući razloge iznesene tijekom prethodnog prvostupanjskog i žalbenog postupka, zbog promjene u pravnom sustavu uvjetovane novim zakonodavstvom ili međunarodnim sporazumima, te odlukom Ustavnog suda Republike Hrvatske, Europskog suda za ljudska prava ili Europskog suda – trebalo preispitati sudsku praksu.</w:t>
      </w:r>
    </w:p>
    <w:p w:rsidRDefault="00A90D29" w:rsidP="00426F75" w:rsidR="00A90D29"/>
    <w:p w:rsidRDefault="00A90D29" w:rsidP="00426F75" w:rsidR="00A90D29">
      <w:pPr>
        <w:ind w:firstLine="720"/>
      </w:pPr>
      <w:r>
        <w:t>Prema odredbi čl. 382. st. 3. ZPP u reviziji st. 2. toga članka stranka treba određeno naznačiti pravno pitanje zbog kojeg ju je podnijela uz određeno navođenje propisa i drugih važećih izvora prava koji se na njega odnose te izložiti razloge zbog kojih smatra da je ono važno za osiguranje jedinstvene primjene prava i ravnopravnosti svih u njegovoj primjeni.</w:t>
      </w:r>
    </w:p>
    <w:p w:rsidRDefault="005D0E7C" w:rsidP="00426F75" w:rsidR="00A90D29">
      <w:pPr>
        <w:ind w:firstLine="720"/>
      </w:pPr>
      <w:r>
        <w:t>U reviziji stečajnog dužnika naznačena pravna pitanja nisu važna za osiguranje jedinstvene primjene prava i ravnopravnosti svih u njegovoj primjeni.</w:t>
      </w:r>
    </w:p>
    <w:p w:rsidRDefault="005D0E7C" w:rsidP="00426F75" w:rsidR="005D0E7C">
      <w:pPr>
        <w:ind w:firstLine="720"/>
      </w:pPr>
    </w:p>
    <w:p w:rsidRDefault="005D0E7C" w:rsidP="00426F75" w:rsidR="005D0E7C">
      <w:pPr>
        <w:ind w:firstLine="720"/>
      </w:pPr>
      <w:r>
        <w:t xml:space="preserve">Kao razlog važnosti predmetnih pravnih pitanja stečajni dužnik navodi da o tim pravnim pitanjima Vrhovni sud Republike Hrvatske još nije zauzeo shvaćanje, </w:t>
      </w:r>
      <w:r w:rsidR="00426F75">
        <w:t xml:space="preserve">a </w:t>
      </w:r>
      <w:r>
        <w:t>da je riječ o pitanjima o kojima zbog nejasnoće pravne norme treba preispitati praksu Visokog trgovačkog suda Republike Hrvatske jer da u Republici Hrvatskoj ima na desetine i stotine pravnih osoba koje su izbrisane iz sudskog registra o skraćenom postupku i bez provođenja stečajnog postupka iako imaju znatnu imovinu iz koje se mogu namiriti svi vjerovnici.</w:t>
      </w:r>
    </w:p>
    <w:p w:rsidRDefault="005D0E7C" w:rsidP="00426F75" w:rsidR="005D0E7C">
      <w:pPr>
        <w:ind w:firstLine="720"/>
      </w:pPr>
    </w:p>
    <w:p w:rsidRDefault="005D0E7C" w:rsidP="00426F75" w:rsidR="005D0E7C">
      <w:pPr>
        <w:ind w:firstLine="720"/>
      </w:pPr>
      <w:r>
        <w:t>Navedeni razlozi ne predstavljaju razlog važnosti predmetnih pravnih pitanja za osiguranje jedinstvene primjene prava i ravnopravnosti svih u njegovoj primjeni. Naime, okolnost da o određenim pitanju Vrhovni sud Republike Hrvatske još ne bi zauzeo shvaćanje, sama po sebi ne predstavlja razlog važnosti određenog pitanja za osiguranje jedinstvene primjene prava i ravnopravnosti svih u njegovoj primjeni</w:t>
      </w:r>
      <w:r w:rsidR="002D6309">
        <w:t>. Ovdje je za ukazati da stečajni dužnik u reviziji niti ne ukazuje da bi o predmetnim pravnim pitanjima postojala različita praksa Visokog trgovačkog suda Republike Hrvatske.</w:t>
      </w:r>
    </w:p>
    <w:p w:rsidRDefault="002D6309" w:rsidP="00426F75" w:rsidR="002D6309"/>
    <w:p w:rsidRDefault="002D6309" w:rsidP="00426F75" w:rsidR="002D6309">
      <w:pPr>
        <w:ind w:firstLine="720"/>
      </w:pPr>
      <w:r>
        <w:t>S obzirom da se stečajni dužnik u reviziji poziva i na pravno shvaćanje izraženo u rješenju Trgovačkog suda u Splitu posl. broj Stž-36/16 od 6. veljače 2017., ovdje je za ukazati na sljedeće. Pravno shvaćanje izraženo u tom rješenju ne odnosi se na činjeničnu i pravnu situaciju koja je istovjetna situaciji u ovom slučaju. Naime, to rješenje odnosi se na situaciju kada dužnik na dan donošenja rješenja o otvaranju i zaključenju skraćenog stečajnog postupka u očevidniku redoslijeda osnova za plaćanja nije imao evidentirane neizvršene osnove za plaćanje, dok je u ovom postupku drugostupanjski sud utvrdio da je stečajni dužnik u trenutku donošenja rješenja o otvaranju i zaključenju skraćenog stečajnog postupka u očevidniku redoslijeda osnova za plaćanje imao evidentirane neizvršene osnove za plaćanje u neprekidnom razdoblju od 120 dana.</w:t>
      </w:r>
    </w:p>
    <w:p w:rsidRDefault="002D6309" w:rsidP="00426F75" w:rsidR="002D6309"/>
    <w:p w:rsidRDefault="002D6309" w:rsidP="00426F75" w:rsidR="002D6309">
      <w:pPr>
        <w:ind w:firstLine="720"/>
      </w:pPr>
      <w:r>
        <w:t>K tome, navedeno rješenje na koje se poziva stečajni dužnik nije rješenje drugostupanjskog suda pa niti iz tog razloga u reviziji naznačena pravna pitanja ne bi bila važna za osiguranje jedinstvene primjene prava i ravnopravnosti svih u njegovoj primjeni (sve u smislu odredbe čl. 382. st. 2. i st. 3. ZPP).</w:t>
      </w:r>
    </w:p>
    <w:p w:rsidRDefault="00E43BBC" w:rsidP="00426F75" w:rsidR="00E43BBC"/>
    <w:p w:rsidRDefault="00E43BBC" w:rsidP="00426F75" w:rsidR="00E43BBC">
      <w:pPr>
        <w:ind w:firstLine="720"/>
      </w:pPr>
      <w:r>
        <w:t>Konačno, za ukazati je da u reviziji stečajnog dužnika naznačeno pravno pitanje pod red. brojem 1 nije važno za osiguranje jedinstvene primjene prava i ravnopravnosti svih u njegovoj primjeni jer po samoj logici stvari to pitanje niti ne može biti važno za osiguranje jedinstvene primjene prava i ravnopravnosti svih u njegovoj primjeni jer se osniva isključivo na okolnostima konkretnog slučaja.</w:t>
      </w:r>
    </w:p>
    <w:p w:rsidRDefault="00E43BBC" w:rsidP="00426F75" w:rsidR="00E43BBC"/>
    <w:p w:rsidRDefault="00E43BBC" w:rsidP="00426F75" w:rsidR="00E43BBC">
      <w:pPr>
        <w:ind w:firstLine="720"/>
      </w:pPr>
      <w:r>
        <w:t>S obzirom na izneseno predmetnu reviziju stečajnog dužnika valjalo je odbaciti kao nedopuštenu i to na temelju odredbe čl. 392. b. st.3. ZPP u vezi s odredbom čl. 400. st. 3. ZPP, a sve u vezi s odredbom čl. 10. Stečajnog zakona ("Narodne novine", broj 71/15 i 104/17).</w:t>
      </w:r>
    </w:p>
    <w:p w:rsidRDefault="00C00699" w:rsidP="00426F75" w:rsidR="00C00699"/>
    <w:p w:rsidRDefault="00426F75" w:rsidP="00426F75" w:rsidR="00426F75"/>
    <w:p w:rsidRDefault="00C00699" w:rsidP="00426F75" w:rsidR="00C00699">
      <w:pPr>
        <w:jc w:val="center"/>
      </w:pPr>
      <w:r>
        <w:t xml:space="preserve">Zagreb, </w:t>
      </w:r>
      <w:bookmarkStart w:name="Datum" w:id="4"/>
      <w:bookmarkEnd w:id="4"/>
      <w:r w:rsidR="00FB5ED9">
        <w:t>14. svibnja 2019.</w:t>
      </w:r>
    </w:p>
    <w:p w:rsidRDefault="00C00699" w:rsidP="00426F75" w:rsidR="00C00699"/>
    <w:p w:rsidRDefault="00426F75" w:rsidR="00426F75">
      <w:pPr>
        <w:tabs>
          <w:tab w:pos="3969" w:val="left"/>
          <w:tab w:pos="7088" w:val="left"/>
        </w:tabs>
      </w:pPr>
      <w:bookmarkStart w:name="Potpis" w:id="5"/>
      <w:bookmarkEnd w:id="5"/>
    </w:p>
    <w:tbl>
      <w:tblPr>
        <w:tblW w:type="auto" w:w="0"/>
        <w:tblLayout w:type="fixed"/>
        <w:tblLook w:val="0000" w:noVBand="0" w:noHBand="0" w:lastColumn="0" w:firstColumn="0" w:lastRow="0" w:firstRow="0"/>
      </w:tblPr>
      <w:tblGrid>
        <w:gridCol w:w="3095"/>
        <w:gridCol w:w="2825"/>
        <w:gridCol w:w="3365"/>
      </w:tblGrid>
      <w:tr w:rsidR="00426F75">
        <w:tc>
          <w:tcPr>
            <w:tcW w:type="dxa" w:w="3095"/>
          </w:tcPr>
          <w:p w:rsidRDefault="00426F75" w:rsidR="00426F75"/>
        </w:tc>
        <w:tc>
          <w:tcPr>
            <w:tcW w:type="dxa" w:w="2825"/>
          </w:tcPr>
          <w:p w:rsidRDefault="00426F75" w:rsidR="00426F75">
            <w:pPr>
              <w:jc w:val="center"/>
            </w:pPr>
          </w:p>
        </w:tc>
        <w:tc>
          <w:tcPr>
            <w:tcW w:type="dxa" w:w="3365"/>
          </w:tcPr>
          <w:p w:rsidRDefault="00426F75" w:rsidR="00426F75">
            <w:r>
              <w:t>Predsjednica vijeća:</w:t>
            </w:r>
          </w:p>
          <w:p w:rsidRDefault="00426F75" w:rsidR="00426F75">
            <w:r>
              <w:t>Katarina Buljan, v. r.</w:t>
            </w:r>
          </w:p>
        </w:tc>
      </w:tr>
    </w:tbl>
    <w:p w:rsidRDefault="00426F75" w:rsidR="00426F75"/>
    <w:tbl>
      <w:tblPr>
        <w:tblW w:type="auto" w:w="0"/>
        <w:tblInd w:type="dxa" w:w="4219"/>
        <w:tblBorders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5068"/>
      </w:tblGrid>
      <w:tr w:rsidTr="008215C8" w:rsidR="00426F75" w:rsidRPr="00C11CDE">
        <w:tc>
          <w:tcPr>
            <w:tcW w:type="dxa" w:w="5068"/>
          </w:tcPr>
          <w:p w:rsidRDefault="00426F75" w:rsidP="008215C8" w:rsidR="00426F75" w:rsidRPr="008344BD">
            <w:pPr>
              <w:jc w:val="center"/>
              <w:rPr>
                <w:szCs w:val="24"/>
              </w:rPr>
            </w:pPr>
            <w:r w:rsidRPr="008344BD">
              <w:rPr>
                <w:szCs w:val="24"/>
              </w:rPr>
              <w:t>ZA TOČNOST OTPRAVKA</w:t>
            </w:r>
          </w:p>
          <w:p w:rsidRDefault="00426F75" w:rsidP="008215C8" w:rsidR="00426F75" w:rsidRPr="008344BD">
            <w:pPr>
              <w:jc w:val="center"/>
              <w:rPr>
                <w:szCs w:val="24"/>
              </w:rPr>
            </w:pPr>
            <w:r w:rsidRPr="008344BD">
              <w:rPr>
                <w:szCs w:val="24"/>
              </w:rPr>
              <w:t>Ovlašteni službenik:</w:t>
            </w:r>
          </w:p>
        </w:tc>
      </w:tr>
      <w:tr w:rsidTr="008215C8" w:rsidR="00426F75" w:rsidRPr="00C11CDE">
        <w:tc>
          <w:tcPr>
            <w:tcW w:type="dxa" w:w="5068"/>
          </w:tcPr>
          <w:p w:rsidRDefault="00426F75" w:rsidP="008215C8" w:rsidR="00426F75" w:rsidRPr="008344BD">
            <w:pPr>
              <w:jc w:val="center"/>
              <w:rPr>
                <w:szCs w:val="24"/>
              </w:rPr>
            </w:pPr>
            <w:r w:rsidRPr="008344BD">
              <w:rPr>
                <w:szCs w:val="24"/>
              </w:rPr>
              <w:t>Voditelj Pisarnice za prijem i otpremu</w:t>
            </w:r>
          </w:p>
          <w:p w:rsidRDefault="00426F75" w:rsidP="008215C8" w:rsidR="00426F75" w:rsidRPr="008344BD">
            <w:pPr>
              <w:jc w:val="center"/>
              <w:rPr>
                <w:szCs w:val="24"/>
              </w:rPr>
            </w:pPr>
          </w:p>
          <w:p w:rsidRDefault="00426F75" w:rsidP="008215C8" w:rsidR="00426F75" w:rsidRPr="008344B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Mirko Paša</w:t>
            </w:r>
          </w:p>
        </w:tc>
      </w:tr>
    </w:tbl>
    <w:p w:rsidRDefault="00426F75" w:rsidR="00426F75"/>
    <w:sectPr w:rsidSect="00426F75" w:rsidR="00426F75">
      <w:headerReference w:type="default" r:id="rId9"/>
      <w:pgSz w:h="16838" w:w="11906"/>
      <w:pgMar w:gutter="0" w:footer="720" w:header="964" w:left="1418" w:bottom="1418" w:right="1418" w:top="1985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5ED9" w:rsidR="00FB5ED9">
      <w:r>
        <w:separator/>
      </w:r>
    </w:p>
  </w:endnote>
  <w:endnote w:id="0" w:type="continuationSeparator">
    <w:p w:rsidRDefault="00FB5ED9" w:rsidR="00FB5E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5ED9" w:rsidR="00FB5ED9">
      <w:r>
        <w:separator/>
      </w:r>
    </w:p>
  </w:footnote>
  <w:footnote w:id="0" w:type="continuationSeparator">
    <w:p w:rsidRDefault="00FB5ED9" w:rsidR="00FB5E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5ED9" w:rsidR="00FB5ED9">
    <w:pPr>
      <w:pStyle w:val="Zaglavlje"/>
    </w:pPr>
    <w:r>
      <w:tab/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145CE3">
      <w:rPr>
        <w:noProof/>
      </w:rPr>
      <w:t>4</w:t>
    </w:r>
    <w:r>
      <w:fldChar w:fldCharType="end"/>
    </w:r>
    <w:r>
      <w:t xml:space="preserve"> -</w:t>
    </w:r>
    <w:r>
      <w:tab/>
      <w:t>Rev 2011/2019-2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5ED9"/>
    <w:rsid w:val="000B1D67"/>
    <w:rsid w:val="00145CE3"/>
    <w:rsid w:val="001C5F8F"/>
    <w:rsid w:val="002776FC"/>
    <w:rsid w:val="002D4BDE"/>
    <w:rsid w:val="002D6309"/>
    <w:rsid w:val="00314C88"/>
    <w:rsid w:val="00373474"/>
    <w:rsid w:val="00426F75"/>
    <w:rsid w:val="00467BFD"/>
    <w:rsid w:val="004F1DE7"/>
    <w:rsid w:val="005B75D4"/>
    <w:rsid w:val="005D0E7C"/>
    <w:rsid w:val="006322D8"/>
    <w:rsid w:val="00690173"/>
    <w:rsid w:val="006A7398"/>
    <w:rsid w:val="007B0D20"/>
    <w:rsid w:val="009401B4"/>
    <w:rsid w:val="00A90D29"/>
    <w:rsid w:val="00AA2546"/>
    <w:rsid w:val="00C00699"/>
    <w:rsid w:val="00DB4099"/>
    <w:rsid w:val="00E43BBC"/>
    <w:rsid w:val="00EB3AD2"/>
    <w:rsid w:val="00F37BAA"/>
    <w:rsid w:val="00F825A1"/>
    <w:rsid w:val="00F92D0D"/>
    <w:rsid w:val="00FB5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jc w:val="both"/>
    </w:pPr>
    <w:rPr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0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FB5ED9"/>
    <w:pPr>
      <w:jc w:val="both"/>
    </w:pPr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5C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5C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5CE3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5CE3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5CE3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both"/>
    </w:pPr>
    <w:rPr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0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FB5ED9"/>
    <w:pPr>
      <w:jc w:val="both"/>
    </w:pPr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5C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5C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5CE3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CE3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CE3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MINIST. PRAVOSUĐA RH</properties:Company>
  <properties:Pages>4</properties:Pages>
  <properties:Words>1305</properties:Words>
  <properties:Characters>7361</properties:Characters>
  <properties:Lines>168</properties:Lines>
  <properties:Paragraphs>41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2019-05-15T07:57:00Z</dcterms:created>
  <dc:creator>Smrekar, Martina</dc:creator>
  <cp:lastModifiedBy>Katarina Mikulić</cp:lastModifiedBy>
  <cp:lastPrinted>2002-02-26T14:53:00Z</cp:lastPrinted>
  <dcterms:modified xmlns:xsi="http://www.w3.org/2001/XMLSchema-instance" xsi:type="dcterms:W3CDTF">2019-07-03T08:25:00Z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Odluka o reviziji Vrhovnog suda (Rev-2011-19-2.docx)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