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856f4" w14:paraId="71856f4" w:rsidRDefault="006B63B5" w:rsidP="006B63B5" w:rsidR="006B63B5" w:rsidRPr="006B63B5">
      <w:pPr>
        <w:spacing w:lineRule="auto" w:line="240" w:after="0"/>
        <w15:collapsed w:val="false"/>
        <w:rPr>
          <w:rFonts w:hAnsi="Cambria" w:ascii="Cambria"/>
          <w:b/>
          <w:sz w:val="26"/>
          <w:szCs w:val="26"/>
        </w:rPr>
      </w:pPr>
      <w:bookmarkStart w:name="_GoBack" w:id="0"/>
      <w:bookmarkEnd w:id="0"/>
      <w:r w:rsidRPr="006B63B5">
        <w:rPr>
          <w:rFonts w:hAnsi="Cambria" w:ascii="Cambria"/>
          <w:b/>
          <w:sz w:val="26"/>
          <w:szCs w:val="26"/>
        </w:rPr>
        <w:t xml:space="preserve">STEČAJNI UPRAVITELJ </w:t>
      </w:r>
    </w:p>
    <w:p w:rsidRDefault="006B63B5" w:rsidP="006B63B5" w:rsidR="006B63B5" w:rsidRPr="006B63B5">
      <w:pPr>
        <w:spacing w:lineRule="auto" w:line="240" w:after="0"/>
        <w:rPr>
          <w:rFonts w:hAnsi="Cambria" w:ascii="Cambria"/>
          <w:b/>
          <w:sz w:val="26"/>
          <w:szCs w:val="26"/>
        </w:rPr>
      </w:pPr>
      <w:r w:rsidRPr="006B63B5">
        <w:rPr>
          <w:rFonts w:hAnsi="Cambria" w:ascii="Cambria"/>
          <w:b/>
          <w:sz w:val="26"/>
          <w:szCs w:val="26"/>
        </w:rPr>
        <w:t>VINKO PEČANIĆ</w:t>
      </w:r>
    </w:p>
    <w:p w:rsidRDefault="006B63B5" w:rsidP="006B63B5" w:rsidR="006B63B5" w:rsidRPr="006B63B5">
      <w:pPr>
        <w:spacing w:lineRule="auto" w:line="240" w:after="0"/>
        <w:rPr>
          <w:rFonts w:hAnsi="Cambria" w:ascii="Cambria"/>
          <w:sz w:val="26"/>
          <w:szCs w:val="26"/>
        </w:rPr>
      </w:pPr>
      <w:r w:rsidRPr="006B63B5">
        <w:rPr>
          <w:rFonts w:hAnsi="Cambria" w:ascii="Cambria"/>
          <w:sz w:val="26"/>
          <w:szCs w:val="26"/>
        </w:rPr>
        <w:t>Frankopanska 17</w:t>
      </w:r>
    </w:p>
    <w:p w:rsidRDefault="006B63B5" w:rsidP="006B63B5" w:rsidR="006B63B5" w:rsidRPr="006B63B5">
      <w:pPr>
        <w:spacing w:lineRule="auto" w:line="240" w:after="0"/>
        <w:rPr>
          <w:rFonts w:hAnsi="Cambria" w:ascii="Cambria"/>
          <w:sz w:val="26"/>
          <w:szCs w:val="26"/>
        </w:rPr>
      </w:pPr>
      <w:r w:rsidRPr="006B63B5">
        <w:rPr>
          <w:rFonts w:hAnsi="Cambria" w:ascii="Cambria"/>
          <w:sz w:val="26"/>
          <w:szCs w:val="26"/>
        </w:rPr>
        <w:t>34551 Lipik</w:t>
      </w:r>
    </w:p>
    <w:p w:rsidRDefault="006B63B5" w:rsidP="006B63B5" w:rsidR="006B63B5" w:rsidRPr="006B63B5">
      <w:pPr>
        <w:spacing w:lineRule="auto" w:line="240" w:after="0"/>
        <w:rPr>
          <w:rFonts w:hAnsi="Cambria" w:ascii="Cambria"/>
          <w:sz w:val="26"/>
          <w:szCs w:val="26"/>
        </w:rPr>
      </w:pPr>
      <w:r w:rsidRPr="006B63B5">
        <w:rPr>
          <w:rFonts w:hAnsi="Cambria" w:ascii="Cambria"/>
          <w:sz w:val="26"/>
          <w:szCs w:val="26"/>
        </w:rPr>
        <w:t>m: 099/314-93-02</w:t>
      </w:r>
    </w:p>
    <w:p w:rsidRDefault="006B63B5" w:rsidP="006B63B5" w:rsidR="006B63B5">
      <w:pPr>
        <w:spacing w:lineRule="auto" w:line="240" w:after="0"/>
        <w:ind w:right="-426"/>
        <w:rPr>
          <w:rFonts w:hAnsi="Cambria" w:ascii="Cambria"/>
          <w:sz w:val="26"/>
          <w:szCs w:val="26"/>
        </w:rPr>
      </w:pPr>
      <w:r w:rsidRPr="006B63B5">
        <w:rPr>
          <w:rFonts w:hAnsi="Cambria" w:ascii="Cambria"/>
          <w:sz w:val="26"/>
          <w:szCs w:val="26"/>
        </w:rPr>
        <w:t>e: vinko@puke.hr</w:t>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t>Lipik, 21. veljače 2018. g.</w:t>
      </w:r>
    </w:p>
    <w:p w:rsidRDefault="006B63B5" w:rsidP="006B63B5" w:rsidR="006B63B5">
      <w:pPr>
        <w:pStyle w:val="Bezproreda"/>
        <w:rPr>
          <w:rFonts w:hAnsi="Cambria" w:ascii="Cambria"/>
          <w:b/>
          <w:sz w:val="26"/>
          <w:szCs w:val="26"/>
        </w:rPr>
      </w:pPr>
    </w:p>
    <w:p w:rsidRDefault="006B63B5" w:rsidP="006B63B5" w:rsidR="006B63B5">
      <w:pPr>
        <w:pStyle w:val="Bezproreda"/>
        <w:rPr>
          <w:rFonts w:hAnsi="Cambria" w:ascii="Cambria"/>
          <w:b/>
          <w:sz w:val="26"/>
          <w:szCs w:val="26"/>
        </w:rPr>
      </w:pPr>
    </w:p>
    <w:p w:rsidRDefault="006B63B5" w:rsidP="006B63B5" w:rsidR="006B63B5">
      <w:pPr>
        <w:pStyle w:val="Bezproreda"/>
        <w:spacing w:after="120"/>
        <w:ind w:hanging="2268" w:left="2268"/>
        <w:rPr>
          <w:rFonts w:hAnsi="Cambria" w:ascii="Cambria"/>
          <w:b/>
          <w:sz w:val="26"/>
          <w:szCs w:val="26"/>
        </w:rPr>
      </w:pPr>
    </w:p>
    <w:p w:rsidRDefault="006B63B5" w:rsidP="006B63B5" w:rsidR="006B63B5">
      <w:pPr>
        <w:spacing w:lineRule="auto" w:line="240" w:after="120"/>
        <w:ind w:hanging="2268" w:left="2268"/>
        <w:rPr>
          <w:rFonts w:hAnsi="Cambria" w:ascii="Cambria"/>
          <w:b/>
          <w:sz w:val="26"/>
          <w:szCs w:val="26"/>
        </w:rPr>
      </w:pPr>
      <w:r>
        <w:rPr>
          <w:rFonts w:hAnsi="Cambria" w:ascii="Cambria"/>
          <w:b/>
          <w:sz w:val="26"/>
          <w:szCs w:val="26"/>
        </w:rPr>
        <w:t>Stečajni dužnik:</w:t>
      </w:r>
      <w:r>
        <w:rPr>
          <w:rFonts w:hAnsi="Cambria" w:ascii="Cambria"/>
          <w:b/>
          <w:sz w:val="26"/>
          <w:szCs w:val="26"/>
        </w:rPr>
        <w:tab/>
        <w:t>Stečajna masa iza MESAROV d. o. o. u stečaju, Frankopanska 17, 34551 Lipik, OIB: 92200608613</w:t>
      </w:r>
    </w:p>
    <w:p w:rsidRDefault="006B63B5" w:rsidP="006B63B5" w:rsidR="006B63B5">
      <w:pPr>
        <w:spacing w:lineRule="auto" w:line="240" w:after="120"/>
        <w:ind w:hanging="2268" w:left="2268"/>
        <w:rPr>
          <w:rFonts w:hAnsi="Cambria" w:ascii="Cambria"/>
          <w:b/>
          <w:sz w:val="26"/>
          <w:szCs w:val="26"/>
        </w:rPr>
      </w:pPr>
      <w:r>
        <w:rPr>
          <w:rFonts w:hAnsi="Cambria" w:ascii="Cambria"/>
          <w:b/>
          <w:sz w:val="26"/>
          <w:szCs w:val="26"/>
        </w:rPr>
        <w:t>Stečajni sud:</w:t>
      </w:r>
      <w:r>
        <w:rPr>
          <w:rFonts w:hAnsi="Cambria" w:ascii="Cambria"/>
          <w:b/>
          <w:sz w:val="26"/>
          <w:szCs w:val="26"/>
        </w:rPr>
        <w:tab/>
        <w:t>Trgovački sud u Bjelovaru, Šetalište dr. Ivše Lebovića 42, Bjelovar</w:t>
      </w:r>
    </w:p>
    <w:p w:rsidRDefault="006B63B5" w:rsidP="006B63B5" w:rsidR="006B63B5">
      <w:pPr>
        <w:spacing w:lineRule="auto" w:line="240" w:after="120"/>
        <w:ind w:hanging="2268" w:left="2268"/>
        <w:rPr>
          <w:rFonts w:hAnsi="Cambria" w:ascii="Cambria"/>
          <w:b/>
          <w:sz w:val="26"/>
          <w:szCs w:val="26"/>
        </w:rPr>
      </w:pPr>
      <w:r>
        <w:rPr>
          <w:rFonts w:hAnsi="Cambria" w:ascii="Cambria"/>
          <w:b/>
          <w:sz w:val="26"/>
          <w:szCs w:val="26"/>
        </w:rPr>
        <w:t>Stečajna sutkinja:</w:t>
      </w:r>
      <w:r>
        <w:rPr>
          <w:rFonts w:hAnsi="Cambria" w:ascii="Cambria"/>
          <w:b/>
          <w:sz w:val="26"/>
          <w:szCs w:val="26"/>
        </w:rPr>
        <w:tab/>
        <w:t>Branka Pleskalt</w:t>
      </w:r>
    </w:p>
    <w:p w:rsidRDefault="006B63B5" w:rsidP="006B63B5" w:rsidR="006B63B5">
      <w:pPr>
        <w:spacing w:lineRule="auto" w:line="240" w:after="120"/>
        <w:ind w:hanging="2268" w:left="2268"/>
        <w:rPr>
          <w:rFonts w:hAnsi="Cambria" w:ascii="Cambria"/>
          <w:b/>
          <w:sz w:val="26"/>
          <w:szCs w:val="26"/>
        </w:rPr>
      </w:pPr>
      <w:r>
        <w:rPr>
          <w:rFonts w:hAnsi="Cambria" w:ascii="Cambria"/>
          <w:b/>
          <w:sz w:val="26"/>
          <w:szCs w:val="26"/>
        </w:rPr>
        <w:t>Broj:</w:t>
      </w:r>
      <w:r>
        <w:rPr>
          <w:rFonts w:hAnsi="Cambria" w:ascii="Cambria"/>
          <w:b/>
          <w:sz w:val="26"/>
          <w:szCs w:val="26"/>
        </w:rPr>
        <w:tab/>
        <w:t>1 St-234/2017</w:t>
      </w:r>
    </w:p>
    <w:p w:rsidRDefault="006B63B5" w:rsidP="006B63B5" w:rsidR="006B63B5">
      <w:pPr>
        <w:pStyle w:val="Bezproreda"/>
        <w:spacing w:after="120"/>
        <w:ind w:hanging="2268" w:left="2268"/>
        <w:rPr>
          <w:rFonts w:hAnsi="Cambria" w:ascii="Cambria"/>
          <w:b/>
          <w:sz w:val="26"/>
          <w:szCs w:val="26"/>
        </w:rPr>
      </w:pPr>
      <w:r>
        <w:rPr>
          <w:rFonts w:hAnsi="Cambria" w:ascii="Cambria"/>
          <w:b/>
          <w:sz w:val="26"/>
          <w:szCs w:val="26"/>
        </w:rPr>
        <w:t>Ročište:</w:t>
      </w:r>
      <w:r>
        <w:rPr>
          <w:rFonts w:hAnsi="Cambria" w:ascii="Cambria"/>
          <w:b/>
          <w:sz w:val="26"/>
          <w:szCs w:val="26"/>
        </w:rPr>
        <w:tab/>
        <w:t>Ispitno i izvještajno ročište 8. ožujka 2018. g.</w:t>
      </w:r>
    </w:p>
    <w:p w:rsidRDefault="006B63B5" w:rsidP="006B63B5" w:rsidR="006B63B5">
      <w:pPr>
        <w:pStyle w:val="Bezproreda"/>
        <w:spacing w:after="120"/>
        <w:ind w:hanging="2268" w:left="2268"/>
        <w:rPr>
          <w:rFonts w:hAnsi="Cambria" w:ascii="Cambria"/>
          <w:b/>
          <w:sz w:val="26"/>
          <w:szCs w:val="26"/>
        </w:rPr>
      </w:pPr>
      <w:r>
        <w:rPr>
          <w:rFonts w:hAnsi="Cambria" w:ascii="Cambria"/>
          <w:b/>
          <w:sz w:val="26"/>
          <w:szCs w:val="26"/>
        </w:rPr>
        <w:t xml:space="preserve">Predmet: </w:t>
      </w:r>
      <w:r>
        <w:rPr>
          <w:rFonts w:hAnsi="Cambria" w:ascii="Cambria"/>
          <w:b/>
          <w:sz w:val="26"/>
          <w:szCs w:val="26"/>
        </w:rPr>
        <w:tab/>
        <w:t>Izvještaj o gospodarskom položaju stečajnog dužnika i njegovim uzrocima</w:t>
      </w:r>
    </w:p>
    <w:p w:rsidRDefault="006B63B5" w:rsidP="006B63B5" w:rsidR="006B63B5">
      <w:pPr>
        <w:pStyle w:val="Bezproreda"/>
        <w:ind w:firstLine="567"/>
        <w:rPr>
          <w:rFonts w:hAnsi="Cambria" w:ascii="Cambria"/>
          <w:b/>
          <w:sz w:val="26"/>
          <w:szCs w:val="26"/>
        </w:rPr>
      </w:pPr>
    </w:p>
    <w:p w:rsidRDefault="006B63B5" w:rsidP="006B63B5" w:rsidR="006B63B5">
      <w:pPr>
        <w:pStyle w:val="Bezproreda"/>
        <w:ind w:firstLine="567"/>
        <w:rPr>
          <w:rFonts w:hAnsi="Cambria" w:ascii="Cambria"/>
          <w:b/>
          <w:sz w:val="26"/>
          <w:szCs w:val="26"/>
        </w:rPr>
      </w:pPr>
    </w:p>
    <w:p w:rsidRDefault="006B63B5" w:rsidP="006B63B5" w:rsidR="006B63B5">
      <w:pPr>
        <w:pStyle w:val="Bezproreda"/>
        <w:ind w:firstLine="567"/>
        <w:jc w:val="both"/>
        <w:rPr>
          <w:rFonts w:hAnsi="Cambria" w:ascii="Cambria"/>
          <w:b/>
          <w:sz w:val="26"/>
          <w:szCs w:val="26"/>
        </w:rPr>
      </w:pPr>
      <w:r>
        <w:rPr>
          <w:rFonts w:hAnsi="Cambria" w:ascii="Cambria"/>
          <w:b/>
          <w:sz w:val="26"/>
          <w:szCs w:val="26"/>
        </w:rPr>
        <w:t>1. UVODNE NAPOMENE</w:t>
      </w:r>
    </w:p>
    <w:p w:rsidRDefault="006B63B5" w:rsidP="006B63B5" w:rsidR="006B63B5">
      <w:pPr>
        <w:pStyle w:val="Bezproreda"/>
        <w:ind w:firstLine="567"/>
        <w:jc w:val="both"/>
        <w:rPr>
          <w:rFonts w:hAnsi="Cambria" w:ascii="Cambria"/>
          <w:b/>
          <w:sz w:val="26"/>
          <w:szCs w:val="26"/>
        </w:rPr>
      </w:pPr>
    </w:p>
    <w:p w:rsidRDefault="006B63B5" w:rsidP="006B63B5" w:rsidR="006B63B5">
      <w:pPr>
        <w:pStyle w:val="Bezproreda"/>
        <w:ind w:firstLine="567"/>
        <w:jc w:val="both"/>
        <w:rPr>
          <w:rFonts w:hAnsi="Cambria" w:ascii="Cambria"/>
          <w:sz w:val="26"/>
          <w:szCs w:val="26"/>
        </w:rPr>
      </w:pPr>
      <w:r>
        <w:rPr>
          <w:rFonts w:hAnsi="Cambria" w:ascii="Cambria"/>
          <w:sz w:val="26"/>
          <w:szCs w:val="26"/>
        </w:rPr>
        <w:tab/>
        <w:t>U skladu sa odredbom članka 227. Stečajnog zakona te rješenjem Trgovačkog suda u Bjelovaru broj 1 St-234/2017-13 od 5. prosinca 2017. godine; stečajni upravitelj podnosi ovaj izvještaj o gospodarskom položaju stečajnog dužnika i njegovim uzrocima.</w:t>
      </w:r>
    </w:p>
    <w:p w:rsidRDefault="006B63B5" w:rsidP="006B63B5" w:rsidR="006B63B5">
      <w:pPr>
        <w:pStyle w:val="Bezproreda"/>
        <w:ind w:firstLine="567"/>
        <w:jc w:val="both"/>
        <w:rPr>
          <w:rFonts w:hAnsi="Cambria" w:ascii="Cambria"/>
          <w:sz w:val="26"/>
          <w:szCs w:val="26"/>
        </w:rPr>
      </w:pPr>
    </w:p>
    <w:p w:rsidRDefault="006B63B5" w:rsidP="006B63B5" w:rsidR="006B63B5">
      <w:pPr>
        <w:spacing w:lineRule="auto" w:line="240" w:after="0"/>
        <w:ind w:firstLine="567"/>
        <w:jc w:val="both"/>
        <w:rPr>
          <w:rFonts w:hAnsi="Cambria" w:ascii="Cambria"/>
          <w:sz w:val="26"/>
          <w:szCs w:val="26"/>
        </w:rPr>
      </w:pPr>
      <w:r>
        <w:rPr>
          <w:rFonts w:hAnsi="Cambria" w:ascii="Cambria"/>
          <w:sz w:val="26"/>
          <w:szCs w:val="26"/>
        </w:rPr>
        <w:t xml:space="preserve">Rješenjem Trgovačkog suda u Bjelovaru broj 1 St-339/2015-3  od 9. veljače 2016. godine  otvoren  je  i  zaključen  skraćeni  stečajni  postupak  nad  dužnikom </w:t>
      </w:r>
      <w:r>
        <w:rPr>
          <w:rFonts w:hAnsi="Cambria" w:ascii="Cambria"/>
          <w:b/>
          <w:sz w:val="26"/>
          <w:szCs w:val="26"/>
        </w:rPr>
        <w:t>MESAROV d. o. o</w:t>
      </w:r>
      <w:r>
        <w:rPr>
          <w:rFonts w:hAnsi="Cambria" w:ascii="Cambria"/>
          <w:sz w:val="26"/>
          <w:szCs w:val="26"/>
        </w:rPr>
        <w:t xml:space="preserve">. za proizvodnju i trgovinu, Bjelovar, Ulica Ivana Gregurića 1, OIB: </w:t>
      </w:r>
      <w:r>
        <w:rPr>
          <w:rFonts w:hAnsi="Cambria" w:ascii="Cambria"/>
          <w:b/>
          <w:sz w:val="26"/>
          <w:szCs w:val="26"/>
        </w:rPr>
        <w:t>23401688490</w:t>
      </w:r>
      <w:r>
        <w:rPr>
          <w:rFonts w:hAnsi="Cambria" w:ascii="Cambria"/>
          <w:sz w:val="26"/>
          <w:szCs w:val="26"/>
        </w:rPr>
        <w:t xml:space="preserve">, te je  nakon pravomoćnosti rješenja stečajni dužnik brisan  iz sudskog registra. </w:t>
      </w:r>
    </w:p>
    <w:p w:rsidRDefault="006B63B5" w:rsidP="006B63B5" w:rsidR="006B63B5">
      <w:pPr>
        <w:spacing w:lineRule="auto" w:line="240" w:after="0"/>
        <w:ind w:firstLine="567"/>
        <w:jc w:val="both"/>
        <w:rPr>
          <w:rFonts w:hAnsi="Cambria" w:ascii="Cambria"/>
          <w:sz w:val="26"/>
          <w:szCs w:val="26"/>
        </w:rPr>
      </w:pPr>
    </w:p>
    <w:p w:rsidRDefault="006B63B5" w:rsidP="006B63B5" w:rsidR="006B63B5">
      <w:pPr>
        <w:spacing w:lineRule="auto" w:line="240" w:after="0"/>
        <w:ind w:firstLine="567"/>
        <w:jc w:val="both"/>
        <w:rPr>
          <w:rFonts w:hAnsi="Cambria" w:ascii="Cambria"/>
          <w:sz w:val="26"/>
          <w:szCs w:val="26"/>
        </w:rPr>
      </w:pPr>
      <w:r>
        <w:rPr>
          <w:rFonts w:hAnsi="Cambria" w:ascii="Cambria"/>
          <w:sz w:val="26"/>
          <w:szCs w:val="26"/>
        </w:rPr>
        <w:t>Rješenjem Trgovačkog suda u Bjelovaru broj 1 St-234/2017-2 od 22. ožujka 2017. godine određen je nastavak stečajnog postupka nad stečajnom masom prethodno navedenog dužnika radi naknadne diobe, određen je upis stečajne mase iza dužnika u sudski registar te je za stečajnog upravitelja imenovan Vinko Pečanić iz Lipika.</w:t>
      </w:r>
    </w:p>
    <w:p w:rsidRDefault="006B63B5" w:rsidP="006B63B5" w:rsidR="006B63B5">
      <w:pPr>
        <w:spacing w:lineRule="auto" w:line="240" w:after="0"/>
        <w:ind w:firstLine="567"/>
        <w:jc w:val="both"/>
        <w:rPr>
          <w:rFonts w:hAnsi="Cambria" w:ascii="Cambria"/>
          <w:sz w:val="26"/>
          <w:szCs w:val="26"/>
        </w:rPr>
      </w:pPr>
    </w:p>
    <w:p w:rsidRDefault="006B63B5" w:rsidP="006B63B5" w:rsidR="006B63B5">
      <w:pPr>
        <w:spacing w:lineRule="auto" w:line="240" w:after="0"/>
        <w:ind w:firstLine="567"/>
        <w:jc w:val="both"/>
        <w:rPr>
          <w:rFonts w:hAnsi="Cambria" w:ascii="Cambria"/>
          <w:sz w:val="26"/>
          <w:szCs w:val="26"/>
        </w:rPr>
      </w:pPr>
    </w:p>
    <w:p w:rsidRDefault="006B63B5" w:rsidP="006B63B5" w:rsidR="006B63B5">
      <w:pPr>
        <w:spacing w:lineRule="auto" w:line="240" w:after="0"/>
        <w:ind w:firstLine="567"/>
        <w:jc w:val="both"/>
        <w:rPr>
          <w:rFonts w:hAnsi="Cambria" w:ascii="Cambria"/>
          <w:sz w:val="26"/>
          <w:szCs w:val="26"/>
        </w:rPr>
      </w:pPr>
      <w:r>
        <w:rPr>
          <w:rFonts w:hAnsi="Cambria" w:ascii="Cambria"/>
          <w:sz w:val="26"/>
          <w:szCs w:val="26"/>
        </w:rPr>
        <w:t xml:space="preserve">Temeljem prijedloga stečajnog upravitelja naslovljeni sud je svojim rješenjem broj 1 St-234/2017-13 od 5. prosinca 2017. g. pozvao vjerovnike da </w:t>
      </w:r>
      <w:r>
        <w:rPr>
          <w:rFonts w:hAnsi="Cambria" w:ascii="Cambria"/>
          <w:sz w:val="26"/>
          <w:szCs w:val="26"/>
        </w:rPr>
        <w:lastRenderedPageBreak/>
        <w:t>prijave svoje tražbine stečajnom upravitelju te je ispitno i izvještajno ročište u ovom predmetu određeno za 8. ožujka 2018. godine.</w:t>
      </w:r>
    </w:p>
    <w:p w:rsidRDefault="006B63B5" w:rsidP="006B63B5" w:rsidR="006B63B5">
      <w:pPr>
        <w:pStyle w:val="Odlomakpopisa"/>
        <w:spacing w:lineRule="auto" w:line="240" w:after="0"/>
        <w:ind w:firstLine="567" w:left="0"/>
        <w:jc w:val="both"/>
        <w:rPr>
          <w:rFonts w:hAnsi="Cambria" w:ascii="Cambria"/>
          <w:b/>
          <w:bCs/>
          <w:sz w:val="26"/>
          <w:szCs w:val="26"/>
        </w:rPr>
      </w:pPr>
    </w:p>
    <w:p w:rsidRDefault="006B63B5" w:rsidP="006B63B5" w:rsidR="006B63B5">
      <w:pPr>
        <w:pStyle w:val="Odlomakpopisa"/>
        <w:spacing w:lineRule="auto" w:line="240" w:after="0"/>
        <w:ind w:firstLine="567" w:left="0"/>
        <w:jc w:val="both"/>
        <w:rPr>
          <w:rFonts w:hAnsi="Cambria" w:ascii="Cambria"/>
          <w:b/>
          <w:bCs/>
          <w:sz w:val="26"/>
          <w:szCs w:val="26"/>
        </w:rPr>
      </w:pPr>
    </w:p>
    <w:p w:rsidRDefault="006B63B5" w:rsidP="006B63B5" w:rsidR="006B63B5">
      <w:pPr>
        <w:pStyle w:val="Odlomakpopisa"/>
        <w:spacing w:lineRule="auto" w:line="240" w:after="0"/>
        <w:ind w:firstLine="567" w:left="0"/>
        <w:jc w:val="both"/>
        <w:rPr>
          <w:rFonts w:hAnsi="Cambria" w:ascii="Cambria"/>
          <w:b/>
          <w:bCs/>
          <w:sz w:val="26"/>
          <w:szCs w:val="26"/>
        </w:rPr>
      </w:pPr>
      <w:r>
        <w:rPr>
          <w:rFonts w:hAnsi="Cambria" w:ascii="Cambria"/>
          <w:b/>
          <w:bCs/>
          <w:sz w:val="26"/>
          <w:szCs w:val="26"/>
        </w:rPr>
        <w:t>2. OSNOVNI PODACI O STEČAJNOM DUŽNIKU</w:t>
      </w:r>
    </w:p>
    <w:p w:rsidRDefault="006B63B5" w:rsidP="006B63B5" w:rsidR="006B63B5">
      <w:pPr>
        <w:pStyle w:val="Odlomakpopisa"/>
        <w:spacing w:lineRule="auto" w:line="240" w:after="0"/>
        <w:ind w:firstLine="567" w:left="0"/>
        <w:jc w:val="both"/>
        <w:rPr>
          <w:rFonts w:hAnsi="Cambria" w:ascii="Cambria"/>
          <w:b/>
          <w:bCs/>
          <w:sz w:val="26"/>
          <w:szCs w:val="26"/>
        </w:rPr>
      </w:pPr>
    </w:p>
    <w:p w:rsidRDefault="006B63B5" w:rsidP="006B63B5" w:rsidR="006B63B5">
      <w:pPr>
        <w:pStyle w:val="Bezproreda"/>
        <w:rPr>
          <w:rFonts w:hAnsi="Cambria" w:ascii="Cambria"/>
          <w:sz w:val="26"/>
          <w:szCs w:val="26"/>
        </w:rPr>
      </w:pPr>
      <w:r>
        <w:rPr>
          <w:rFonts w:hAnsi="Cambria" w:ascii="Cambria"/>
          <w:sz w:val="26"/>
          <w:szCs w:val="26"/>
        </w:rPr>
        <w:t>Naziv:</w:t>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t>Stečajna masa iza MESAROV d. o. o. u stečaju</w:t>
      </w:r>
    </w:p>
    <w:p w:rsidRDefault="006B63B5" w:rsidP="006B63B5" w:rsidR="006B63B5">
      <w:pPr>
        <w:pStyle w:val="Bezproreda"/>
        <w:rPr>
          <w:rFonts w:hAnsi="Cambria" w:ascii="Cambria"/>
          <w:sz w:val="26"/>
          <w:szCs w:val="26"/>
        </w:rPr>
      </w:pPr>
      <w:r>
        <w:rPr>
          <w:rFonts w:hAnsi="Cambria" w:ascii="Cambria"/>
          <w:sz w:val="26"/>
          <w:szCs w:val="26"/>
        </w:rPr>
        <w:t>Sjedište:</w:t>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t>Frankopanska 17, 34551 Lipik</w:t>
      </w:r>
    </w:p>
    <w:p w:rsidRDefault="006B63B5" w:rsidP="006B63B5" w:rsidR="006B63B5">
      <w:pPr>
        <w:pStyle w:val="Bezproreda"/>
        <w:rPr>
          <w:rFonts w:hAnsi="Cambria" w:ascii="Cambria"/>
          <w:sz w:val="26"/>
          <w:szCs w:val="26"/>
        </w:rPr>
      </w:pPr>
      <w:r>
        <w:rPr>
          <w:rFonts w:hAnsi="Cambria" w:ascii="Cambria"/>
          <w:sz w:val="26"/>
          <w:szCs w:val="26"/>
        </w:rPr>
        <w:t>MBS:</w:t>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t>010101708</w:t>
      </w:r>
    </w:p>
    <w:p w:rsidRDefault="006B63B5" w:rsidP="006B63B5" w:rsidR="006B63B5">
      <w:pPr>
        <w:pStyle w:val="Bezproreda"/>
        <w:rPr>
          <w:rFonts w:hAnsi="Cambria" w:ascii="Cambria"/>
          <w:sz w:val="26"/>
          <w:szCs w:val="26"/>
        </w:rPr>
      </w:pPr>
      <w:r>
        <w:rPr>
          <w:rFonts w:hAnsi="Cambria" w:ascii="Cambria"/>
          <w:sz w:val="26"/>
          <w:szCs w:val="26"/>
        </w:rPr>
        <w:t>OIB:</w:t>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t>92200608613</w:t>
      </w:r>
    </w:p>
    <w:p w:rsidRDefault="006B63B5" w:rsidP="006B63B5" w:rsidR="006B63B5">
      <w:pPr>
        <w:pStyle w:val="Bezproreda"/>
        <w:rPr>
          <w:rFonts w:hAnsi="Cambria" w:ascii="Cambria"/>
          <w:sz w:val="26"/>
          <w:szCs w:val="26"/>
        </w:rPr>
      </w:pPr>
      <w:r>
        <w:rPr>
          <w:rFonts w:hAnsi="Cambria" w:ascii="Cambria"/>
          <w:sz w:val="26"/>
          <w:szCs w:val="26"/>
        </w:rPr>
        <w:t>Osoba ovlaštena za zastupanje:</w:t>
      </w:r>
      <w:r>
        <w:rPr>
          <w:rFonts w:hAnsi="Cambria" w:ascii="Cambria"/>
          <w:sz w:val="26"/>
          <w:szCs w:val="26"/>
        </w:rPr>
        <w:tab/>
        <w:t>Vinko Pečanić, Lipik, Frankopanska 17, stečajni</w:t>
      </w:r>
    </w:p>
    <w:p w:rsidRDefault="006B63B5" w:rsidP="006B63B5" w:rsidR="006B63B5">
      <w:pPr>
        <w:pStyle w:val="Bezproreda"/>
        <w:ind w:left="3540"/>
        <w:rPr>
          <w:rFonts w:hAnsi="Cambria" w:ascii="Cambria"/>
          <w:sz w:val="26"/>
          <w:szCs w:val="26"/>
        </w:rPr>
      </w:pPr>
      <w:r>
        <w:rPr>
          <w:rFonts w:hAnsi="Cambria" w:ascii="Cambria"/>
          <w:sz w:val="26"/>
          <w:szCs w:val="26"/>
        </w:rPr>
        <w:t>upravitelj</w:t>
      </w:r>
    </w:p>
    <w:p w:rsidRDefault="006B63B5" w:rsidP="006B63B5" w:rsidR="006B63B5">
      <w:pPr>
        <w:pStyle w:val="Bezproreda"/>
        <w:rPr>
          <w:rFonts w:hAnsi="Cambria" w:ascii="Cambria"/>
          <w:bCs/>
          <w:sz w:val="26"/>
          <w:szCs w:val="26"/>
        </w:rPr>
      </w:pPr>
      <w:r>
        <w:rPr>
          <w:rFonts w:hAnsi="Cambria" w:ascii="Cambria"/>
          <w:sz w:val="26"/>
          <w:szCs w:val="26"/>
        </w:rPr>
        <w:t>Poslovni transakcijski račun:</w:t>
      </w:r>
      <w:r>
        <w:rPr>
          <w:rFonts w:hAnsi="Cambria" w:ascii="Cambria"/>
          <w:sz w:val="26"/>
          <w:szCs w:val="26"/>
        </w:rPr>
        <w:tab/>
        <w:t>HR56 2500 0091 31011 8547 3</w:t>
      </w:r>
      <w:r>
        <w:rPr>
          <w:rFonts w:hAnsi="Cambria" w:ascii="Cambria"/>
          <w:bCs/>
          <w:sz w:val="26"/>
          <w:szCs w:val="26"/>
        </w:rPr>
        <w:t xml:space="preserve"> kod Addiko Bank d. d.</w:t>
      </w:r>
    </w:p>
    <w:p w:rsidRDefault="006B63B5" w:rsidP="006B63B5" w:rsidR="006B63B5">
      <w:pPr>
        <w:pStyle w:val="Bezproreda"/>
        <w:ind w:firstLine="708" w:left="2832"/>
        <w:rPr>
          <w:rFonts w:hAnsi="Cambria" w:ascii="Cambria"/>
          <w:sz w:val="26"/>
          <w:szCs w:val="26"/>
        </w:rPr>
      </w:pPr>
      <w:r>
        <w:rPr>
          <w:rFonts w:hAnsi="Cambria" w:ascii="Cambria"/>
          <w:bCs/>
          <w:sz w:val="26"/>
          <w:szCs w:val="26"/>
        </w:rPr>
        <w:t>Zagreb</w:t>
      </w:r>
    </w:p>
    <w:p w:rsidRDefault="006B63B5" w:rsidP="006B63B5" w:rsidR="006B63B5">
      <w:pPr>
        <w:pStyle w:val="Odlomakpopisa"/>
        <w:spacing w:lineRule="auto" w:line="240" w:after="0"/>
        <w:ind w:firstLine="567" w:left="0"/>
        <w:jc w:val="both"/>
        <w:rPr>
          <w:rFonts w:hAnsi="Cambria" w:ascii="Cambria"/>
          <w:b/>
          <w:bCs/>
          <w:sz w:val="26"/>
          <w:szCs w:val="26"/>
        </w:rPr>
      </w:pPr>
    </w:p>
    <w:p w:rsidRDefault="006B63B5" w:rsidP="006B63B5" w:rsidR="006B63B5">
      <w:pPr>
        <w:pStyle w:val="Odlomakpopisa"/>
        <w:spacing w:lineRule="auto" w:line="240" w:after="0"/>
        <w:ind w:firstLine="567" w:left="0"/>
        <w:jc w:val="both"/>
        <w:rPr>
          <w:rFonts w:hAnsi="Cambria" w:ascii="Cambria"/>
          <w:b/>
          <w:bCs/>
          <w:sz w:val="26"/>
          <w:szCs w:val="26"/>
        </w:rPr>
      </w:pPr>
    </w:p>
    <w:p w:rsidRDefault="006B63B5" w:rsidP="006B63B5" w:rsidR="006B63B5">
      <w:pPr>
        <w:pStyle w:val="Odlomakpopisa"/>
        <w:spacing w:lineRule="auto" w:line="240" w:after="0"/>
        <w:ind w:firstLine="567" w:left="0"/>
        <w:jc w:val="both"/>
        <w:rPr>
          <w:rFonts w:hAnsi="Cambria" w:ascii="Cambria"/>
          <w:b/>
          <w:bCs/>
          <w:sz w:val="26"/>
          <w:szCs w:val="26"/>
        </w:rPr>
      </w:pPr>
      <w:r>
        <w:rPr>
          <w:rFonts w:hAnsi="Cambria" w:ascii="Cambria"/>
          <w:b/>
          <w:bCs/>
          <w:sz w:val="26"/>
          <w:szCs w:val="26"/>
        </w:rPr>
        <w:t>3. PODUZETE RADNJE I AKTIVNOSTI STEČAJNOG UPRAVITELJA</w:t>
      </w:r>
    </w:p>
    <w:p w:rsidRDefault="006B63B5" w:rsidP="006B63B5" w:rsidR="006B63B5">
      <w:pPr>
        <w:pStyle w:val="Odlomakpopisa"/>
        <w:spacing w:lineRule="auto" w:line="240" w:after="0"/>
        <w:ind w:firstLine="567" w:left="0"/>
        <w:jc w:val="both"/>
        <w:rPr>
          <w:rFonts w:hAnsi="Cambria" w:ascii="Cambria"/>
          <w:b/>
          <w:bCs/>
          <w:sz w:val="26"/>
          <w:szCs w:val="26"/>
        </w:rPr>
      </w:pPr>
    </w:p>
    <w:p w:rsidRDefault="006B63B5" w:rsidP="006B63B5" w:rsidR="006B63B5">
      <w:pPr>
        <w:pStyle w:val="Odlomakpopisa"/>
        <w:spacing w:lineRule="auto" w:line="240" w:after="0"/>
        <w:ind w:firstLine="567" w:left="0"/>
        <w:jc w:val="both"/>
        <w:rPr>
          <w:rFonts w:hAnsi="Cambria" w:ascii="Cambria"/>
          <w:sz w:val="26"/>
          <w:szCs w:val="26"/>
        </w:rPr>
      </w:pPr>
      <w:r>
        <w:rPr>
          <w:rFonts w:hAnsi="Cambria" w:ascii="Cambria"/>
          <w:sz w:val="26"/>
          <w:szCs w:val="26"/>
        </w:rPr>
        <w:t>Temeljem prijedloga stečajnog upravitelja od 31. ožujka 2017. g, naslovljeni sud je svojim zaključkom broj 1 St-234/2017-5 od 5. travnja 2017. g. odobrio stečajnom upravitelju sklapanje ugovora o pružanju odvjetničkih usluga sa odvjetnikom Jugoslavom Puranom iz Bjelovara, J. Jelačića 12, za zastupanje dužnika u predmetima pred sudovima u kojima je prednik stečajnog dužnika bio ovrhovoditelj ili tužitelj .</w:t>
      </w:r>
    </w:p>
    <w:p w:rsidRDefault="006B63B5" w:rsidP="006B63B5" w:rsidR="006B63B5">
      <w:pPr>
        <w:pStyle w:val="Odlomakpopisa"/>
        <w:spacing w:lineRule="auto" w:line="240" w:after="0"/>
        <w:ind w:firstLine="567" w:left="0"/>
        <w:jc w:val="both"/>
        <w:rPr>
          <w:rFonts w:hAnsi="Cambria" w:ascii="Cambria"/>
          <w:sz w:val="26"/>
          <w:szCs w:val="26"/>
        </w:rPr>
      </w:pPr>
    </w:p>
    <w:p w:rsidRDefault="006B63B5" w:rsidP="006B63B5" w:rsidR="006B63B5">
      <w:pPr>
        <w:pStyle w:val="Odlomakpopisa"/>
        <w:spacing w:lineRule="auto" w:line="240" w:after="0"/>
        <w:ind w:firstLine="567" w:left="0"/>
        <w:jc w:val="both"/>
        <w:rPr>
          <w:rFonts w:hAnsi="Cambria" w:ascii="Cambria"/>
          <w:bCs/>
          <w:sz w:val="26"/>
          <w:szCs w:val="26"/>
        </w:rPr>
      </w:pPr>
      <w:r>
        <w:rPr>
          <w:rFonts w:hAnsi="Cambria" w:ascii="Cambria"/>
          <w:bCs/>
          <w:sz w:val="26"/>
          <w:szCs w:val="26"/>
        </w:rPr>
        <w:t>Stanje sudskih sporova je kako slijedi:</w:t>
      </w:r>
    </w:p>
    <w:p w:rsidRDefault="006B63B5" w:rsidP="006B63B5" w:rsidR="006B63B5">
      <w:pPr>
        <w:widowControl w:val="false"/>
        <w:spacing w:lineRule="auto" w:line="240" w:after="0"/>
        <w:ind w:firstLine="567"/>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1. Ovršenik: Joso Malenica iz Šibenika, Cesta Šibenik-Perković 61, Danilo Biranj, vlasnik sada odjavljenog obrta „Mesnice Malenica“, OIB: 80129066346. VPS: 87.230,42 kn. 25. travnja 2017. godine podnesen je novi prijedlog za ovrhu na nekretninama ovršenika u kojem je kao ovrhovoditelj naznačena Stečajna masa iza MESAROV d .o. o, Bjelovar.</w:t>
      </w:r>
    </w:p>
    <w:p w:rsidRDefault="006B63B5" w:rsidP="006B63B5" w:rsidR="006B63B5">
      <w:pPr>
        <w:widowControl w:val="false"/>
        <w:spacing w:lineRule="auto" w:line="240" w:after="0"/>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ab/>
        <w:t>2. Ovršenik: Mladen Leskovar iz Zagreba, Škalinova ulica 22, OIB: 67382601852. VPS: 130.285,64 kn. Podneskom od 13. travanja 2017. godine predloženo je da sud donese odluku o nastavku postupka u ovoj pravnoj stvari budući da je u sudski registar izvršen upis Stečajne mase iza MESAROV d. o. o, Bjelovar</w:t>
      </w:r>
    </w:p>
    <w:p w:rsidRDefault="006B63B5" w:rsidP="006B63B5" w:rsidR="006B63B5">
      <w:pPr>
        <w:widowControl w:val="false"/>
        <w:spacing w:lineRule="auto" w:line="240" w:after="0"/>
        <w:ind w:firstLine="708"/>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3. Ovršenik: Vjekoslav Nadinić iz Zadra, Marina Držića 5, OIB: 1048392442. VPS: 360.637,62 kn. Ovršni postupak se vodio pred Općinskim sudom u Zadru pod brojem Ovr-267/2017, a po uputi Županijskog suda u Splitu ispravljen je prijedlog za ovrhu na nekretninama ovršenika na način da je na mjestu ovrhovoditelja naznačena Stečajna masa iza MESAROV d. o. o, Bjelovar.</w:t>
      </w:r>
    </w:p>
    <w:p w:rsidRDefault="006B63B5" w:rsidP="006B63B5" w:rsidR="006B63B5">
      <w:pPr>
        <w:widowControl w:val="false"/>
        <w:spacing w:lineRule="auto" w:line="240" w:after="0"/>
        <w:ind w:firstLine="708"/>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4. Ovršenik: Antonio Obratov iz Tisnog, dr. A. Starčevića 4, OIB: 63809176014. VPS: 234.319,10 kn, radi koje naplate se vodi ovrha kod Općinskog suda u Šibeniku, broj: Ovr-486/2012 na nekretnini dužnika.</w:t>
      </w:r>
    </w:p>
    <w:p w:rsidRDefault="006B63B5" w:rsidP="006B63B5" w:rsidR="006B63B5">
      <w:pPr>
        <w:widowControl w:val="false"/>
        <w:spacing w:lineRule="auto" w:line="240" w:after="0"/>
        <w:ind w:firstLine="708"/>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lastRenderedPageBreak/>
        <w:t>5. Ovršenik: Klaudio Škrinjar, vlasnik sada odjavljenog trg. obrta Mesnice Klaudio iz Pule, Narodni trg 9, OIB:67436898509. VPS: 228.584,85 kn. Radi naplate pokrenuta je ovrha na nekretninama i pokretninama ovršenika koja se vodila pod brojem: Ovr-1148/13 pred Općinskim sudom u Puli. S obzirom da je II. dražba za prodaju nekretnina ostala bezuspješna, temeljem prijedloga ovrhovoditelja uknjiženo je pravo zaloga ovrhovoditelja na nekretnini ovršenika.</w:t>
      </w:r>
    </w:p>
    <w:p w:rsidRDefault="006B63B5" w:rsidP="006B63B5" w:rsidR="006B63B5">
      <w:pPr>
        <w:widowControl w:val="false"/>
        <w:spacing w:lineRule="auto" w:line="240" w:after="0"/>
        <w:ind w:firstLine="567"/>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6. Ovršenik: Štefanija Vuk iz Zagreba, Ul. Jasena 17c, OIB: 97172328361. VPS: 18.290,85 kn. Rješenjem Općinskog građanskog suda u Zagrebu, broj: Ovr-2769/13-5 od 26. studenog 2013. godine kojim je određeno osiguranje na nekretninama ovršenice.</w:t>
      </w:r>
    </w:p>
    <w:p w:rsidRDefault="006B63B5" w:rsidP="006B63B5" w:rsidR="006B63B5">
      <w:pPr>
        <w:widowControl w:val="false"/>
        <w:spacing w:lineRule="auto" w:line="240" w:after="0"/>
        <w:ind w:firstLine="567"/>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8. Ovršenik: Ivan Ištvanović, vlasnik sada odjavljenog obrta Mesnice ,,Ištvanović“ iz Prikraja, S. Radića 6, Dugo Selo, OIB: 81641170336. VPS: 12.646,52 kn. Temeljem ovršne isprave pokušana je ovrha na računima i mirovini ovršenika koja ovrha je stavljena na rok čekanja iz razloga što ovršenik ima do daljnjega zauzetu mirovinu.</w:t>
      </w:r>
    </w:p>
    <w:p w:rsidRDefault="006B63B5" w:rsidP="006B63B5" w:rsidR="006B63B5">
      <w:pPr>
        <w:pStyle w:val="Odlomakpopisa"/>
        <w:spacing w:lineRule="auto" w:line="240" w:after="0"/>
        <w:ind w:left="1125"/>
        <w:jc w:val="both"/>
        <w:rPr>
          <w:rFonts w:hAnsi="Cambria" w:ascii="Cambria"/>
          <w:sz w:val="26"/>
          <w:szCs w:val="26"/>
        </w:rPr>
      </w:pPr>
    </w:p>
    <w:p w:rsidRDefault="006B63B5" w:rsidP="006B63B5" w:rsidR="006B63B5">
      <w:pPr>
        <w:spacing w:lineRule="auto" w:line="240" w:after="0"/>
        <w:ind w:firstLine="567"/>
        <w:jc w:val="both"/>
        <w:rPr>
          <w:rFonts w:cs="Calibri" w:hAnsi="Cambria" w:ascii="Cambria"/>
          <w:bCs/>
          <w:sz w:val="26"/>
          <w:szCs w:val="26"/>
        </w:rPr>
      </w:pPr>
      <w:r>
        <w:rPr>
          <w:rFonts w:cs="Calibri" w:hAnsi="Cambria" w:ascii="Cambria"/>
          <w:bCs/>
          <w:sz w:val="26"/>
          <w:szCs w:val="26"/>
        </w:rPr>
        <w:t xml:space="preserve">Porezna uprava je svom dopisom od 10. travnja 2017. g. obavijestila stečajnog upravitelja da je Porezna uprava, Područni ured Bjelovar donijela dana 8. prosinca 2014. godine rješenje o ovrsi pljenidbom, procjenom i prodajom pokretnina Klasa: UP/I-415-02/2014-001/142, Ur. broj: 513-07-07/2014-01, a koje je postalo izvršno 16. prosinca 2014. godine. Temeljem predmetnog rješenja izvršena je pljenidba i procjena pokretnina prednika stečajnog dužnika o čemu je sastavljen zapisnik te je utvrđena vrijednost zaplijenjenih pokretnina u visini od 70.300,00 kn. Porezna uprava je provedenim radnjama stekla status razlučnog vjerovnika na predmetnim pokretninama (popis pokretnina u točki 5.2 ovog izvještaja). </w:t>
      </w:r>
    </w:p>
    <w:p w:rsidRDefault="006B63B5" w:rsidP="006B63B5" w:rsidR="006B63B5">
      <w:pPr>
        <w:pStyle w:val="Odlomakpopisa"/>
        <w:spacing w:lineRule="auto" w:line="240" w:after="0"/>
        <w:ind w:left="1125"/>
        <w:jc w:val="both"/>
        <w:rPr>
          <w:rFonts w:hAnsi="Cambria" w:ascii="Cambria"/>
          <w:sz w:val="26"/>
          <w:szCs w:val="26"/>
        </w:rPr>
      </w:pPr>
    </w:p>
    <w:p w:rsidRDefault="006B63B5" w:rsidP="006B63B5" w:rsidR="006B63B5">
      <w:pPr>
        <w:pStyle w:val="Odlomakpopisa"/>
        <w:spacing w:lineRule="auto" w:line="240" w:after="0"/>
        <w:ind w:firstLine="567" w:left="0"/>
        <w:jc w:val="both"/>
        <w:rPr>
          <w:rFonts w:hAnsi="Cambria" w:ascii="Cambria"/>
          <w:bCs/>
          <w:sz w:val="26"/>
          <w:szCs w:val="26"/>
        </w:rPr>
      </w:pPr>
      <w:r>
        <w:rPr>
          <w:rFonts w:hAnsi="Cambria" w:ascii="Cambria"/>
          <w:bCs/>
          <w:sz w:val="26"/>
          <w:szCs w:val="26"/>
        </w:rPr>
        <w:t>Stečajni upravitelj je dana 8. rujna 2017. g. od Porezne uprave kao razlučnog vjerovnika primio u posjed pokretnine u vlasništvu stečajnog dužnika te je ista svojom ogluhom na prijedlog unovčenja od 17. srpnja 2017. g.  dala suglasnost da iste pokretnine unovči stečajni upravitelj, no i uz dopušteno smanjenje početnih prodajnih cijena za 50% te uz oglašavanje na portalu njuskalo.hr i sve aktivnosti stečajnog upravitelja, do dana sastavljanja ovog izvještaja nije unovčeno ništa od predmetnih pokretnina.</w:t>
      </w:r>
    </w:p>
    <w:p w:rsidRDefault="006B63B5" w:rsidP="006B63B5" w:rsidR="006B63B5">
      <w:pPr>
        <w:pStyle w:val="Odlomakpopisa"/>
        <w:spacing w:lineRule="auto" w:line="240" w:after="0"/>
        <w:ind w:left="1125"/>
        <w:jc w:val="both"/>
        <w:rPr>
          <w:rFonts w:hAnsi="Cambria" w:ascii="Cambria"/>
          <w:sz w:val="26"/>
          <w:szCs w:val="26"/>
        </w:rPr>
      </w:pPr>
    </w:p>
    <w:p w:rsidRDefault="006B63B5" w:rsidP="006B63B5" w:rsidR="006B63B5">
      <w:pPr>
        <w:pStyle w:val="Odlomakpopisa"/>
        <w:spacing w:lineRule="auto" w:line="240" w:after="0"/>
        <w:ind w:left="1125"/>
        <w:jc w:val="both"/>
        <w:rPr>
          <w:rFonts w:hAnsi="Cambria" w:ascii="Cambria"/>
          <w:sz w:val="26"/>
          <w:szCs w:val="26"/>
        </w:rPr>
      </w:pPr>
    </w:p>
    <w:p w:rsidRDefault="006B63B5" w:rsidP="006B63B5" w:rsidR="006B63B5">
      <w:pPr>
        <w:pStyle w:val="Odlomakpopisa"/>
        <w:spacing w:lineRule="auto" w:line="240" w:after="0"/>
        <w:ind w:firstLine="567" w:left="0"/>
        <w:jc w:val="both"/>
        <w:rPr>
          <w:rFonts w:hAnsi="Cambria" w:ascii="Cambria"/>
          <w:sz w:val="26"/>
          <w:szCs w:val="26"/>
        </w:rPr>
      </w:pPr>
      <w:r>
        <w:rPr>
          <w:rFonts w:hAnsi="Cambria" w:ascii="Cambria"/>
          <w:b/>
          <w:bCs/>
          <w:sz w:val="26"/>
          <w:szCs w:val="26"/>
        </w:rPr>
        <w:t>4. POSLOVANJE DUŽNIKA I UZROCI PRESTANKA POSLOVANJA - GOSPODARSKI POLOŽAJ DUŽNIKA</w:t>
      </w:r>
      <w:r>
        <w:rPr>
          <w:rFonts w:hAnsi="Cambria" w:ascii="Cambria"/>
          <w:b/>
          <w:bCs/>
          <w:sz w:val="26"/>
          <w:szCs w:val="26"/>
        </w:rPr>
        <w:tab/>
      </w:r>
    </w:p>
    <w:p w:rsidRDefault="006B63B5" w:rsidP="006B63B5" w:rsidR="006B63B5">
      <w:pPr>
        <w:pStyle w:val="Odlomakpopisa"/>
        <w:spacing w:lineRule="auto" w:line="240" w:after="0"/>
        <w:jc w:val="both"/>
        <w:rPr>
          <w:rFonts w:hAnsi="Cambria" w:ascii="Cambria"/>
          <w:sz w:val="26"/>
          <w:szCs w:val="26"/>
        </w:rPr>
      </w:pPr>
      <w:r>
        <w:rPr>
          <w:rFonts w:hAnsi="Cambria" w:ascii="Cambria"/>
          <w:b/>
          <w:bCs/>
          <w:sz w:val="26"/>
          <w:szCs w:val="26"/>
        </w:rPr>
        <w:tab/>
      </w:r>
      <w:r>
        <w:rPr>
          <w:rFonts w:hAnsi="Cambria" w:ascii="Cambria"/>
          <w:b/>
          <w:bCs/>
          <w:sz w:val="26"/>
          <w:szCs w:val="26"/>
        </w:rPr>
        <w:tab/>
      </w:r>
      <w:r>
        <w:rPr>
          <w:rFonts w:hAnsi="Cambria" w:ascii="Cambria"/>
          <w:b/>
          <w:bCs/>
          <w:sz w:val="26"/>
          <w:szCs w:val="26"/>
        </w:rPr>
        <w:tab/>
      </w:r>
      <w:r>
        <w:rPr>
          <w:rFonts w:hAnsi="Cambria" w:ascii="Cambria"/>
          <w:b/>
          <w:bCs/>
          <w:sz w:val="26"/>
          <w:szCs w:val="26"/>
        </w:rPr>
        <w:tab/>
      </w:r>
      <w:r>
        <w:rPr>
          <w:rFonts w:hAnsi="Cambria" w:ascii="Cambria"/>
          <w:b/>
          <w:bCs/>
          <w:sz w:val="26"/>
          <w:szCs w:val="26"/>
        </w:rPr>
        <w:tab/>
      </w:r>
      <w:r>
        <w:rPr>
          <w:rFonts w:hAnsi="Cambria" w:ascii="Cambria"/>
          <w:b/>
          <w:bCs/>
          <w:sz w:val="26"/>
          <w:szCs w:val="26"/>
        </w:rPr>
        <w:tab/>
      </w:r>
      <w:r>
        <w:rPr>
          <w:rFonts w:hAnsi="Cambria" w:ascii="Cambria"/>
          <w:b/>
          <w:bCs/>
          <w:sz w:val="26"/>
          <w:szCs w:val="26"/>
        </w:rPr>
        <w:tab/>
      </w:r>
      <w:r>
        <w:rPr>
          <w:rFonts w:hAnsi="Cambria" w:ascii="Cambria"/>
          <w:b/>
          <w:bCs/>
          <w:sz w:val="26"/>
          <w:szCs w:val="26"/>
        </w:rPr>
        <w:tab/>
      </w:r>
    </w:p>
    <w:p w:rsidRDefault="006B63B5" w:rsidP="006B63B5" w:rsidR="006B63B5">
      <w:pPr>
        <w:spacing w:lineRule="auto" w:line="240" w:after="0"/>
        <w:ind w:firstLine="567"/>
        <w:jc w:val="both"/>
        <w:rPr>
          <w:rFonts w:hAnsi="Cambria" w:ascii="Cambria"/>
          <w:sz w:val="26"/>
          <w:szCs w:val="26"/>
        </w:rPr>
      </w:pPr>
      <w:r>
        <w:rPr>
          <w:rFonts w:hAnsi="Cambria" w:ascii="Cambria"/>
          <w:sz w:val="26"/>
          <w:szCs w:val="26"/>
        </w:rPr>
        <w:t xml:space="preserve">Prednik stečajnog dužnika trgovačko društvo MESAROV d. o. o. je osnovano 1998. godine. Osnovna djelatnost je (bila) promet živom stokom i svježim mesom te se poslovanje obavlja relativno uspješno do kraja 2011, odnosno početka 2012. godine kada počinju prvi problemi u poslovanju, a koji su između ostalog uzrokovani i ekonomskom krizom u Hrvatskoj i na međunarodnom tržištu.  </w:t>
      </w:r>
    </w:p>
    <w:p w:rsidRDefault="006B63B5" w:rsidP="006B63B5" w:rsidR="006B63B5">
      <w:pPr>
        <w:spacing w:lineRule="auto" w:line="240" w:after="0"/>
        <w:ind w:firstLine="567"/>
        <w:jc w:val="both"/>
        <w:rPr>
          <w:rFonts w:hAnsi="Cambria" w:ascii="Cambria"/>
          <w:sz w:val="26"/>
          <w:szCs w:val="26"/>
        </w:rPr>
      </w:pPr>
      <w:r>
        <w:rPr>
          <w:rFonts w:hAnsi="Cambria" w:ascii="Cambria"/>
          <w:sz w:val="26"/>
          <w:szCs w:val="26"/>
        </w:rPr>
        <w:lastRenderedPageBreak/>
        <w:t xml:space="preserve">Rješenjem FINE Regionalnog centra Zagreb od 17. lipnja 2013. godine otvoren je postupak predstečajne nagodbe nad dužnikom MESAROV d. o. o, Bjelovar te je Trgovački sud u Bjelovaru svojim rješenjem 1 Stpn-36/2013-12 od 17. prosinca 2013. godine odobrio sklapanje predstečajne nagodbe nad prednikom stečajnog dužnika. </w:t>
      </w:r>
    </w:p>
    <w:p w:rsidRDefault="006B63B5" w:rsidP="006B63B5" w:rsidR="006B63B5">
      <w:pPr>
        <w:spacing w:lineRule="auto" w:line="240" w:after="0"/>
        <w:ind w:firstLine="567"/>
        <w:jc w:val="both"/>
        <w:rPr>
          <w:rFonts w:hAnsi="Cambria" w:ascii="Cambria"/>
          <w:sz w:val="26"/>
          <w:szCs w:val="26"/>
        </w:rPr>
      </w:pPr>
      <w:r>
        <w:rPr>
          <w:rFonts w:hAnsi="Cambria" w:ascii="Cambria"/>
          <w:sz w:val="26"/>
          <w:szCs w:val="26"/>
        </w:rPr>
        <w:t>I pored zaključene predstečajne nagodbe prednik stečajnog dužnika nije izvršavao svoje obveze po nagodbi te je Trgovački sud u Bjelovaru svojim rješenjem broj 1 St-339/2015-3  od 9. veljače 2016. godine  otvorio i  zaključio  skraćeni  stečajni  postupak  nad  prednikom stečajnog dužnika, te je isti nakon pravomoćnosti rješenja brisan  iz sudskog registra.</w:t>
      </w:r>
    </w:p>
    <w:p w:rsidRDefault="006B63B5" w:rsidP="006B63B5" w:rsidR="006B63B5">
      <w:pPr>
        <w:spacing w:lineRule="auto" w:line="240" w:after="0"/>
        <w:ind w:firstLine="567"/>
        <w:jc w:val="both"/>
        <w:rPr>
          <w:rFonts w:cs="Calibri" w:hAnsi="Cambria" w:ascii="Cambria"/>
          <w:b/>
          <w:bCs/>
          <w:sz w:val="26"/>
          <w:szCs w:val="26"/>
        </w:rPr>
      </w:pPr>
    </w:p>
    <w:p w:rsidRDefault="006B63B5" w:rsidP="006B63B5" w:rsidR="006B63B5">
      <w:pPr>
        <w:spacing w:lineRule="auto" w:line="240" w:after="0"/>
        <w:ind w:firstLine="567"/>
        <w:jc w:val="both"/>
        <w:rPr>
          <w:rFonts w:cs="Calibri" w:hAnsi="Cambria" w:ascii="Cambria"/>
          <w:sz w:val="26"/>
          <w:szCs w:val="26"/>
        </w:rPr>
      </w:pPr>
      <w:r>
        <w:rPr>
          <w:rFonts w:cs="Calibri" w:hAnsi="Cambria" w:ascii="Cambria"/>
          <w:b/>
          <w:bCs/>
          <w:sz w:val="26"/>
          <w:szCs w:val="26"/>
        </w:rPr>
        <w:t xml:space="preserve">5. IMOVINA STEČAJNOG DUŽNIKA </w:t>
      </w:r>
    </w:p>
    <w:p w:rsidRDefault="006B63B5" w:rsidP="006B63B5" w:rsidR="006B63B5">
      <w:pPr>
        <w:spacing w:lineRule="auto" w:line="240" w:after="0"/>
        <w:ind w:left="720"/>
        <w:jc w:val="both"/>
        <w:rPr>
          <w:rFonts w:cs="Calibri" w:hAnsi="Cambria" w:ascii="Cambria"/>
          <w:sz w:val="26"/>
          <w:szCs w:val="26"/>
        </w:rPr>
      </w:pPr>
    </w:p>
    <w:p w:rsidRDefault="006B63B5" w:rsidP="006B63B5" w:rsidR="006B63B5">
      <w:pPr>
        <w:pStyle w:val="Bezproreda"/>
        <w:ind w:firstLine="567"/>
        <w:jc w:val="both"/>
        <w:rPr>
          <w:rFonts w:hAnsi="Cambria" w:ascii="Cambria"/>
          <w:sz w:val="26"/>
          <w:szCs w:val="26"/>
        </w:rPr>
      </w:pPr>
      <w:r>
        <w:rPr>
          <w:rFonts w:hAnsi="Cambria" w:ascii="Cambria"/>
          <w:sz w:val="26"/>
          <w:szCs w:val="26"/>
        </w:rPr>
        <w:t>Prema utvrđenom stanju imovina stečajnog dužnika je slijedeća:</w:t>
      </w:r>
    </w:p>
    <w:p w:rsidRDefault="006B63B5" w:rsidP="006B63B5" w:rsidR="006B63B5">
      <w:pPr>
        <w:pStyle w:val="Bezproreda"/>
        <w:ind w:firstLine="567"/>
        <w:jc w:val="both"/>
        <w:rPr>
          <w:rFonts w:hAnsi="Cambria" w:ascii="Cambria"/>
          <w:sz w:val="26"/>
          <w:szCs w:val="26"/>
        </w:rPr>
      </w:pPr>
    </w:p>
    <w:p w:rsidRDefault="006B63B5" w:rsidP="006B63B5" w:rsidR="006B63B5">
      <w:pPr>
        <w:pStyle w:val="Bezproreda"/>
        <w:numPr>
          <w:ilvl w:val="1"/>
          <w:numId w:val="1"/>
        </w:numPr>
        <w:jc w:val="both"/>
        <w:rPr>
          <w:rFonts w:hAnsi="Cambria" w:ascii="Cambria"/>
          <w:b/>
          <w:sz w:val="26"/>
          <w:szCs w:val="26"/>
        </w:rPr>
      </w:pPr>
      <w:r>
        <w:rPr>
          <w:rFonts w:hAnsi="Cambria" w:ascii="Cambria"/>
          <w:b/>
          <w:sz w:val="26"/>
          <w:szCs w:val="26"/>
        </w:rPr>
        <w:t>Nekretnine</w:t>
      </w:r>
    </w:p>
    <w:p w:rsidRDefault="006B63B5" w:rsidP="006B63B5" w:rsidR="006B63B5">
      <w:pPr>
        <w:pStyle w:val="Bezproreda"/>
        <w:ind w:left="927"/>
        <w:jc w:val="both"/>
        <w:rPr>
          <w:rFonts w:hAnsi="Cambria" w:ascii="Cambria"/>
          <w:b/>
          <w:sz w:val="26"/>
          <w:szCs w:val="26"/>
        </w:rPr>
      </w:pPr>
      <w:r>
        <w:rPr>
          <w:rFonts w:hAnsi="Cambria" w:ascii="Cambria"/>
          <w:b/>
          <w:sz w:val="26"/>
          <w:szCs w:val="26"/>
        </w:rPr>
        <w:t xml:space="preserve"> </w:t>
      </w:r>
      <w:r>
        <w:rPr>
          <w:rFonts w:hAnsi="Cambria" w:ascii="Cambria"/>
          <w:sz w:val="26"/>
          <w:szCs w:val="26"/>
        </w:rPr>
        <w:t>upisane u zemljišne knjige Općinskog suda u Zadru,</w:t>
      </w:r>
    </w:p>
    <w:p w:rsidRDefault="006B63B5" w:rsidP="006B63B5" w:rsidR="006B63B5">
      <w:pPr>
        <w:pStyle w:val="Bezproreda"/>
        <w:ind w:left="927"/>
        <w:jc w:val="both"/>
        <w:rPr>
          <w:rFonts w:hAnsi="Cambria" w:ascii="Cambria"/>
          <w:b/>
          <w:sz w:val="26"/>
          <w:szCs w:val="26"/>
        </w:rPr>
      </w:pPr>
      <w:r>
        <w:rPr>
          <w:rFonts w:hAnsi="Cambria" w:ascii="Cambria"/>
          <w:sz w:val="26"/>
          <w:szCs w:val="26"/>
        </w:rPr>
        <w:t xml:space="preserve"> </w:t>
      </w:r>
      <w:r>
        <w:rPr>
          <w:rFonts w:hAnsi="Cambria" w:ascii="Cambria"/>
          <w:sz w:val="26"/>
          <w:szCs w:val="26"/>
        </w:rPr>
        <w:tab/>
        <w:t>Zemljišnoknjižni odjel Biograd na moru:</w:t>
      </w:r>
    </w:p>
    <w:p w:rsidRDefault="006B63B5" w:rsidP="006B63B5" w:rsidR="006B63B5">
      <w:pPr>
        <w:pStyle w:val="Bezproreda"/>
        <w:ind w:firstLine="708" w:left="708"/>
        <w:jc w:val="both"/>
        <w:rPr>
          <w:rFonts w:hAnsi="Cambria" w:ascii="Cambria"/>
          <w:sz w:val="26"/>
          <w:szCs w:val="26"/>
        </w:rPr>
      </w:pPr>
      <w:r>
        <w:rPr>
          <w:rFonts w:hAnsi="Cambria" w:ascii="Cambria"/>
          <w:sz w:val="26"/>
          <w:szCs w:val="26"/>
        </w:rPr>
        <w:t>- zk. ul. br. 731 k. o. Pakoštane, suvlasnički dio 4/40:</w:t>
      </w:r>
    </w:p>
    <w:p w:rsidRDefault="006B63B5" w:rsidP="006B63B5" w:rsidR="006B63B5">
      <w:pPr>
        <w:pStyle w:val="Bezproreda"/>
        <w:numPr>
          <w:ilvl w:val="1"/>
          <w:numId w:val="2"/>
        </w:numPr>
        <w:jc w:val="both"/>
        <w:rPr>
          <w:rFonts w:hAnsi="Cambria" w:ascii="Cambria"/>
          <w:sz w:val="26"/>
          <w:szCs w:val="26"/>
        </w:rPr>
      </w:pPr>
      <w:r>
        <w:rPr>
          <w:rFonts w:hAnsi="Cambria" w:ascii="Cambria"/>
          <w:sz w:val="26"/>
          <w:szCs w:val="26"/>
        </w:rPr>
        <w:t>kč. br. 247/3 oranica, površine 883 m</w:t>
      </w:r>
      <w:r>
        <w:rPr>
          <w:rFonts w:hAnsi="Cambria" w:ascii="Cambria"/>
          <w:sz w:val="26"/>
          <w:szCs w:val="26"/>
          <w:vertAlign w:val="superscript"/>
        </w:rPr>
        <w:t>2</w:t>
      </w:r>
      <w:r>
        <w:rPr>
          <w:rFonts w:hAnsi="Cambria" w:ascii="Cambria"/>
          <w:sz w:val="26"/>
          <w:szCs w:val="26"/>
        </w:rPr>
        <w:t>,</w:t>
      </w:r>
    </w:p>
    <w:p w:rsidRDefault="006B63B5" w:rsidP="006B63B5" w:rsidR="006B63B5">
      <w:pPr>
        <w:pStyle w:val="Bezproreda"/>
        <w:numPr>
          <w:ilvl w:val="1"/>
          <w:numId w:val="2"/>
        </w:numPr>
        <w:jc w:val="both"/>
        <w:rPr>
          <w:rFonts w:hAnsi="Cambria" w:ascii="Cambria"/>
          <w:sz w:val="26"/>
          <w:szCs w:val="26"/>
        </w:rPr>
      </w:pPr>
      <w:r>
        <w:rPr>
          <w:rFonts w:hAnsi="Cambria" w:ascii="Cambria"/>
          <w:sz w:val="26"/>
          <w:szCs w:val="26"/>
        </w:rPr>
        <w:t>kč. br. 785 vrt, površine 96 m</w:t>
      </w:r>
      <w:r>
        <w:rPr>
          <w:rFonts w:hAnsi="Cambria" w:ascii="Cambria"/>
          <w:sz w:val="26"/>
          <w:szCs w:val="26"/>
          <w:vertAlign w:val="superscript"/>
        </w:rPr>
        <w:t>2</w:t>
      </w:r>
      <w:r>
        <w:rPr>
          <w:rFonts w:hAnsi="Cambria" w:ascii="Cambria"/>
          <w:sz w:val="26"/>
          <w:szCs w:val="26"/>
        </w:rPr>
        <w:t>,</w:t>
      </w:r>
    </w:p>
    <w:p w:rsidRDefault="006B63B5" w:rsidP="006B63B5" w:rsidR="006B63B5">
      <w:pPr>
        <w:pStyle w:val="Bezproreda"/>
        <w:numPr>
          <w:ilvl w:val="1"/>
          <w:numId w:val="2"/>
        </w:numPr>
        <w:jc w:val="both"/>
        <w:rPr>
          <w:rFonts w:hAnsi="Cambria" w:ascii="Cambria"/>
          <w:sz w:val="26"/>
          <w:szCs w:val="26"/>
        </w:rPr>
      </w:pPr>
      <w:r>
        <w:rPr>
          <w:rFonts w:hAnsi="Cambria" w:ascii="Cambria"/>
          <w:sz w:val="26"/>
          <w:szCs w:val="26"/>
        </w:rPr>
        <w:t>kč. br. 842/2 vrt,  površine 130 m</w:t>
      </w:r>
      <w:r>
        <w:rPr>
          <w:rFonts w:hAnsi="Cambria" w:ascii="Cambria"/>
          <w:sz w:val="26"/>
          <w:szCs w:val="26"/>
          <w:vertAlign w:val="superscript"/>
        </w:rPr>
        <w:t>2</w:t>
      </w:r>
      <w:r>
        <w:rPr>
          <w:rFonts w:hAnsi="Cambria" w:ascii="Cambria"/>
          <w:sz w:val="26"/>
          <w:szCs w:val="26"/>
        </w:rPr>
        <w:t>,</w:t>
      </w:r>
    </w:p>
    <w:p w:rsidRDefault="006B63B5" w:rsidP="006B63B5" w:rsidR="006B63B5">
      <w:pPr>
        <w:pStyle w:val="Bezproreda"/>
        <w:ind w:firstLine="708" w:left="708"/>
        <w:jc w:val="both"/>
        <w:rPr>
          <w:rFonts w:hAnsi="Cambria" w:ascii="Cambria"/>
          <w:sz w:val="26"/>
          <w:szCs w:val="26"/>
        </w:rPr>
      </w:pPr>
      <w:r>
        <w:rPr>
          <w:rFonts w:hAnsi="Cambria" w:ascii="Cambria"/>
          <w:sz w:val="26"/>
          <w:szCs w:val="26"/>
        </w:rPr>
        <w:t>- zk. ul. br. 732 k. o. Pakoštane, suvlasnički dio 1/16:</w:t>
      </w:r>
    </w:p>
    <w:p w:rsidRDefault="006B63B5" w:rsidP="006B63B5" w:rsidR="006B63B5">
      <w:pPr>
        <w:pStyle w:val="Bezproreda"/>
        <w:numPr>
          <w:ilvl w:val="1"/>
          <w:numId w:val="2"/>
        </w:numPr>
        <w:jc w:val="both"/>
        <w:rPr>
          <w:rFonts w:hAnsi="Cambria" w:ascii="Cambria"/>
          <w:sz w:val="26"/>
          <w:szCs w:val="26"/>
        </w:rPr>
      </w:pPr>
      <w:r>
        <w:rPr>
          <w:rFonts w:hAnsi="Cambria" w:ascii="Cambria"/>
          <w:sz w:val="26"/>
          <w:szCs w:val="26"/>
        </w:rPr>
        <w:t>kč. br. 842/3 oranica, površine 182 m</w:t>
      </w:r>
      <w:r>
        <w:rPr>
          <w:rFonts w:hAnsi="Cambria" w:ascii="Cambria"/>
          <w:sz w:val="26"/>
          <w:szCs w:val="26"/>
          <w:vertAlign w:val="superscript"/>
        </w:rPr>
        <w:t>2</w:t>
      </w:r>
      <w:r>
        <w:rPr>
          <w:rFonts w:hAnsi="Cambria" w:ascii="Cambria"/>
          <w:sz w:val="26"/>
          <w:szCs w:val="26"/>
        </w:rPr>
        <w:t xml:space="preserve">, </w:t>
      </w:r>
    </w:p>
    <w:p w:rsidRDefault="006B63B5" w:rsidP="006B63B5" w:rsidR="006B63B5">
      <w:pPr>
        <w:pStyle w:val="Bezproreda"/>
        <w:ind w:firstLine="708" w:left="708"/>
        <w:jc w:val="both"/>
        <w:rPr>
          <w:rFonts w:hAnsi="Cambria" w:ascii="Cambria"/>
          <w:sz w:val="26"/>
          <w:szCs w:val="26"/>
        </w:rPr>
      </w:pPr>
      <w:r>
        <w:rPr>
          <w:rFonts w:hAnsi="Cambria" w:ascii="Cambria"/>
          <w:sz w:val="26"/>
          <w:szCs w:val="26"/>
        </w:rPr>
        <w:t>- zk. ul. br. 733 k. o. Pakoštane, suvlasnički dio 1/64:</w:t>
      </w:r>
    </w:p>
    <w:p w:rsidRDefault="006B63B5" w:rsidP="006B63B5" w:rsidR="006B63B5">
      <w:pPr>
        <w:pStyle w:val="Bezproreda"/>
        <w:numPr>
          <w:ilvl w:val="1"/>
          <w:numId w:val="2"/>
        </w:numPr>
        <w:jc w:val="both"/>
        <w:rPr>
          <w:rFonts w:hAnsi="Cambria" w:ascii="Cambria"/>
          <w:sz w:val="26"/>
          <w:szCs w:val="26"/>
        </w:rPr>
      </w:pPr>
      <w:r>
        <w:rPr>
          <w:rFonts w:hAnsi="Cambria" w:ascii="Cambria"/>
          <w:sz w:val="26"/>
          <w:szCs w:val="26"/>
        </w:rPr>
        <w:t>kč. br. 456/.ZGR, površine 85 m</w:t>
      </w:r>
      <w:r>
        <w:rPr>
          <w:rFonts w:hAnsi="Cambria" w:ascii="Cambria"/>
          <w:sz w:val="26"/>
          <w:szCs w:val="26"/>
          <w:vertAlign w:val="superscript"/>
        </w:rPr>
        <w:t>2</w:t>
      </w:r>
      <w:r>
        <w:rPr>
          <w:rFonts w:hAnsi="Cambria" w:ascii="Cambria"/>
          <w:sz w:val="26"/>
          <w:szCs w:val="26"/>
        </w:rPr>
        <w:t>,</w:t>
      </w:r>
    </w:p>
    <w:p w:rsidRDefault="006B63B5" w:rsidP="006B63B5" w:rsidR="006B63B5">
      <w:pPr>
        <w:pStyle w:val="Bezproreda"/>
        <w:numPr>
          <w:ilvl w:val="1"/>
          <w:numId w:val="2"/>
        </w:numPr>
        <w:jc w:val="both"/>
        <w:rPr>
          <w:rFonts w:hAnsi="Cambria" w:ascii="Cambria"/>
          <w:sz w:val="26"/>
          <w:szCs w:val="26"/>
        </w:rPr>
      </w:pPr>
      <w:r>
        <w:rPr>
          <w:rFonts w:hAnsi="Cambria" w:ascii="Cambria"/>
          <w:sz w:val="26"/>
          <w:szCs w:val="26"/>
        </w:rPr>
        <w:t>kč. br. 457/.ZGR, površine 92 m</w:t>
      </w:r>
      <w:r>
        <w:rPr>
          <w:rFonts w:hAnsi="Cambria" w:ascii="Cambria"/>
          <w:sz w:val="26"/>
          <w:szCs w:val="26"/>
          <w:vertAlign w:val="superscript"/>
        </w:rPr>
        <w:t>2</w:t>
      </w:r>
      <w:r>
        <w:rPr>
          <w:rFonts w:hAnsi="Cambria" w:ascii="Cambria"/>
          <w:sz w:val="26"/>
          <w:szCs w:val="26"/>
        </w:rPr>
        <w:t>,</w:t>
      </w:r>
    </w:p>
    <w:p w:rsidRDefault="006B63B5" w:rsidP="006B63B5" w:rsidR="006B63B5">
      <w:pPr>
        <w:pStyle w:val="Bezproreda"/>
        <w:numPr>
          <w:ilvl w:val="1"/>
          <w:numId w:val="2"/>
        </w:numPr>
        <w:jc w:val="both"/>
        <w:rPr>
          <w:rFonts w:hAnsi="Cambria" w:ascii="Cambria"/>
          <w:sz w:val="26"/>
          <w:szCs w:val="26"/>
        </w:rPr>
      </w:pPr>
      <w:r>
        <w:rPr>
          <w:rFonts w:hAnsi="Cambria" w:ascii="Cambria"/>
          <w:sz w:val="26"/>
          <w:szCs w:val="26"/>
        </w:rPr>
        <w:t>kč. br. 781/1, vrt, površine 232 m</w:t>
      </w:r>
      <w:r>
        <w:rPr>
          <w:rFonts w:hAnsi="Cambria" w:ascii="Cambria"/>
          <w:sz w:val="26"/>
          <w:szCs w:val="26"/>
          <w:vertAlign w:val="superscript"/>
        </w:rPr>
        <w:t>2</w:t>
      </w:r>
      <w:r>
        <w:rPr>
          <w:rFonts w:hAnsi="Cambria" w:ascii="Cambria"/>
          <w:sz w:val="26"/>
          <w:szCs w:val="26"/>
        </w:rPr>
        <w:t>,</w:t>
      </w:r>
    </w:p>
    <w:p w:rsidRDefault="006B63B5" w:rsidP="006B63B5" w:rsidR="006B63B5">
      <w:pPr>
        <w:pStyle w:val="Bezproreda"/>
        <w:numPr>
          <w:ilvl w:val="1"/>
          <w:numId w:val="2"/>
        </w:numPr>
        <w:jc w:val="both"/>
        <w:rPr>
          <w:rFonts w:hAnsi="Cambria" w:ascii="Cambria"/>
          <w:sz w:val="26"/>
          <w:szCs w:val="26"/>
        </w:rPr>
      </w:pPr>
      <w:r>
        <w:rPr>
          <w:rFonts w:hAnsi="Cambria" w:ascii="Cambria"/>
          <w:sz w:val="26"/>
          <w:szCs w:val="26"/>
        </w:rPr>
        <w:t>kč. br. 781/3, vrt, površine 25 m</w:t>
      </w:r>
      <w:r>
        <w:rPr>
          <w:rFonts w:hAnsi="Cambria" w:ascii="Cambria"/>
          <w:sz w:val="26"/>
          <w:szCs w:val="26"/>
          <w:vertAlign w:val="superscript"/>
        </w:rPr>
        <w:t>2</w:t>
      </w:r>
      <w:r>
        <w:rPr>
          <w:rFonts w:hAnsi="Cambria" w:ascii="Cambria"/>
          <w:sz w:val="26"/>
          <w:szCs w:val="26"/>
        </w:rPr>
        <w:t>,</w:t>
      </w:r>
    </w:p>
    <w:p w:rsidRDefault="006B63B5" w:rsidP="006B63B5" w:rsidR="006B63B5">
      <w:pPr>
        <w:pStyle w:val="Bezproreda"/>
        <w:numPr>
          <w:ilvl w:val="1"/>
          <w:numId w:val="2"/>
        </w:numPr>
        <w:jc w:val="both"/>
        <w:rPr>
          <w:rFonts w:hAnsi="Cambria" w:ascii="Cambria"/>
          <w:sz w:val="26"/>
          <w:szCs w:val="26"/>
        </w:rPr>
      </w:pPr>
      <w:r>
        <w:rPr>
          <w:rFonts w:hAnsi="Cambria" w:ascii="Cambria"/>
          <w:sz w:val="26"/>
          <w:szCs w:val="26"/>
        </w:rPr>
        <w:t>kč. br. 782/1, u mjestu, vrt, površine 291 m</w:t>
      </w:r>
      <w:r>
        <w:rPr>
          <w:rFonts w:hAnsi="Cambria" w:ascii="Cambria"/>
          <w:sz w:val="26"/>
          <w:szCs w:val="26"/>
          <w:vertAlign w:val="superscript"/>
        </w:rPr>
        <w:t>2</w:t>
      </w:r>
      <w:r>
        <w:rPr>
          <w:rFonts w:hAnsi="Cambria" w:ascii="Cambria"/>
          <w:sz w:val="26"/>
          <w:szCs w:val="26"/>
        </w:rPr>
        <w:t>,</w:t>
      </w:r>
    </w:p>
    <w:p w:rsidRDefault="006B63B5" w:rsidP="006B63B5" w:rsidR="006B63B5">
      <w:pPr>
        <w:pStyle w:val="Bezproreda"/>
        <w:numPr>
          <w:ilvl w:val="1"/>
          <w:numId w:val="2"/>
        </w:numPr>
        <w:jc w:val="both"/>
        <w:rPr>
          <w:rFonts w:hAnsi="Cambria" w:ascii="Cambria"/>
          <w:sz w:val="26"/>
          <w:szCs w:val="26"/>
        </w:rPr>
      </w:pPr>
      <w:r>
        <w:rPr>
          <w:rFonts w:hAnsi="Cambria" w:ascii="Cambria"/>
          <w:sz w:val="26"/>
          <w:szCs w:val="26"/>
        </w:rPr>
        <w:t>kč. br. 782/2, u mjestu, stambena zgrada E. Kvaternika 3A, površine 11 m</w:t>
      </w:r>
      <w:r>
        <w:rPr>
          <w:rFonts w:hAnsi="Cambria" w:ascii="Cambria"/>
          <w:sz w:val="26"/>
          <w:szCs w:val="26"/>
          <w:vertAlign w:val="superscript"/>
        </w:rPr>
        <w:t>2</w:t>
      </w:r>
      <w:r>
        <w:rPr>
          <w:rFonts w:hAnsi="Cambria" w:ascii="Cambria"/>
          <w:sz w:val="26"/>
          <w:szCs w:val="26"/>
        </w:rPr>
        <w:t>,</w:t>
      </w:r>
    </w:p>
    <w:p w:rsidRDefault="006B63B5" w:rsidP="006B63B5" w:rsidR="006B63B5">
      <w:pPr>
        <w:pStyle w:val="Bezproreda"/>
        <w:numPr>
          <w:ilvl w:val="1"/>
          <w:numId w:val="2"/>
        </w:numPr>
        <w:jc w:val="both"/>
        <w:rPr>
          <w:rFonts w:hAnsi="Cambria" w:ascii="Cambria"/>
          <w:sz w:val="26"/>
          <w:szCs w:val="26"/>
        </w:rPr>
      </w:pPr>
      <w:r>
        <w:rPr>
          <w:rFonts w:hAnsi="Cambria" w:ascii="Cambria"/>
          <w:sz w:val="26"/>
          <w:szCs w:val="26"/>
        </w:rPr>
        <w:t>kč. br. 802, dvor, površine 493 m</w:t>
      </w:r>
      <w:r>
        <w:rPr>
          <w:rFonts w:hAnsi="Cambria" w:ascii="Cambria"/>
          <w:sz w:val="26"/>
          <w:szCs w:val="26"/>
          <w:vertAlign w:val="superscript"/>
        </w:rPr>
        <w:t>2</w:t>
      </w:r>
      <w:r>
        <w:rPr>
          <w:rFonts w:hAnsi="Cambria" w:ascii="Cambria"/>
          <w:sz w:val="26"/>
          <w:szCs w:val="26"/>
        </w:rPr>
        <w:t>,</w:t>
      </w:r>
    </w:p>
    <w:p w:rsidRDefault="006B63B5" w:rsidP="006B63B5" w:rsidR="006B63B5">
      <w:pPr>
        <w:pStyle w:val="Bezproreda"/>
        <w:numPr>
          <w:ilvl w:val="1"/>
          <w:numId w:val="2"/>
        </w:numPr>
        <w:jc w:val="both"/>
        <w:rPr>
          <w:rFonts w:hAnsi="Cambria" w:ascii="Cambria"/>
          <w:sz w:val="26"/>
          <w:szCs w:val="26"/>
        </w:rPr>
      </w:pPr>
      <w:r>
        <w:rPr>
          <w:rFonts w:hAnsi="Cambria" w:ascii="Cambria"/>
          <w:sz w:val="26"/>
          <w:szCs w:val="26"/>
        </w:rPr>
        <w:t>kč. br. 803, dvor, površine 241 m</w:t>
      </w:r>
      <w:r>
        <w:rPr>
          <w:rFonts w:hAnsi="Cambria" w:ascii="Cambria"/>
          <w:sz w:val="26"/>
          <w:szCs w:val="26"/>
          <w:vertAlign w:val="superscript"/>
        </w:rPr>
        <w:t>2</w:t>
      </w:r>
      <w:r>
        <w:rPr>
          <w:rFonts w:hAnsi="Cambria" w:ascii="Cambria"/>
          <w:sz w:val="26"/>
          <w:szCs w:val="26"/>
        </w:rPr>
        <w:t>, sveukupno: 1470 m</w:t>
      </w:r>
      <w:r>
        <w:rPr>
          <w:rFonts w:hAnsi="Cambria" w:ascii="Cambria"/>
          <w:sz w:val="26"/>
          <w:szCs w:val="26"/>
          <w:vertAlign w:val="superscript"/>
        </w:rPr>
        <w:t>2</w:t>
      </w:r>
      <w:r>
        <w:rPr>
          <w:rFonts w:hAnsi="Cambria" w:ascii="Cambria"/>
          <w:sz w:val="26"/>
          <w:szCs w:val="26"/>
        </w:rPr>
        <w:t>.</w:t>
      </w:r>
    </w:p>
    <w:p w:rsidRDefault="006B63B5" w:rsidP="006B63B5" w:rsidR="006B63B5">
      <w:pPr>
        <w:pStyle w:val="Bezproreda"/>
        <w:jc w:val="both"/>
        <w:rPr>
          <w:rFonts w:hAnsi="Cambria" w:ascii="Cambria"/>
          <w:sz w:val="26"/>
          <w:szCs w:val="26"/>
        </w:rPr>
      </w:pPr>
    </w:p>
    <w:p w:rsidRDefault="006B63B5" w:rsidP="006B63B5" w:rsidR="006B63B5">
      <w:pPr>
        <w:pStyle w:val="Bezproreda"/>
        <w:ind w:firstLine="567"/>
        <w:jc w:val="both"/>
        <w:rPr>
          <w:rFonts w:hAnsi="Cambria" w:ascii="Cambria"/>
          <w:sz w:val="26"/>
          <w:szCs w:val="26"/>
        </w:rPr>
      </w:pPr>
      <w:r>
        <w:rPr>
          <w:rFonts w:hAnsi="Cambria" w:ascii="Cambria"/>
          <w:sz w:val="26"/>
          <w:szCs w:val="26"/>
        </w:rPr>
        <w:t>Za predmetne nekretnine (neslužbeni izvadci iz zemljišnih knjiga u privitku) nije izvršena procjena budući da od zamoljenih šest vještaka sa područja nadležnog županijskog suda nitko nije dostavio svoju ponudu za izradu vještačenja i procjene, pogotovo s obzirom na ponuđeni rok plaćanja, tj. po unovčenju nekretnina.</w:t>
      </w:r>
    </w:p>
    <w:p w:rsidRDefault="006B63B5" w:rsidP="006B63B5" w:rsidR="006B63B5">
      <w:pPr>
        <w:pStyle w:val="Bezproreda"/>
        <w:jc w:val="both"/>
        <w:rPr>
          <w:rFonts w:hAnsi="Cambria" w:ascii="Cambria"/>
          <w:sz w:val="26"/>
          <w:szCs w:val="26"/>
        </w:rPr>
      </w:pPr>
    </w:p>
    <w:p w:rsidRDefault="006B63B5" w:rsidP="006B63B5" w:rsidR="006B63B5">
      <w:pPr>
        <w:pStyle w:val="Bezproreda"/>
        <w:ind w:left="567"/>
        <w:jc w:val="both"/>
        <w:rPr>
          <w:rFonts w:hAnsi="Cambria" w:ascii="Cambria"/>
          <w:sz w:val="26"/>
          <w:szCs w:val="26"/>
        </w:rPr>
      </w:pPr>
    </w:p>
    <w:p w:rsidRDefault="006B63B5" w:rsidP="006B63B5" w:rsidR="006B63B5">
      <w:pPr>
        <w:pStyle w:val="Bezproreda"/>
        <w:ind w:left="567"/>
        <w:jc w:val="both"/>
        <w:rPr>
          <w:rFonts w:hAnsi="Cambria" w:ascii="Cambria"/>
          <w:sz w:val="26"/>
          <w:szCs w:val="26"/>
        </w:rPr>
      </w:pPr>
    </w:p>
    <w:p w:rsidRDefault="006B63B5" w:rsidP="006B63B5" w:rsidR="006B63B5">
      <w:pPr>
        <w:pStyle w:val="Bezproreda"/>
        <w:ind w:left="567"/>
        <w:jc w:val="both"/>
        <w:rPr>
          <w:rFonts w:hAnsi="Cambria" w:ascii="Cambria"/>
          <w:sz w:val="26"/>
          <w:szCs w:val="26"/>
        </w:rPr>
      </w:pPr>
    </w:p>
    <w:p w:rsidRDefault="006B63B5" w:rsidP="006B63B5" w:rsidR="006B63B5">
      <w:pPr>
        <w:pStyle w:val="Bezproreda"/>
        <w:ind w:left="567"/>
        <w:jc w:val="both"/>
        <w:rPr>
          <w:rFonts w:hAnsi="Cambria" w:ascii="Cambria"/>
          <w:sz w:val="26"/>
          <w:szCs w:val="26"/>
        </w:rPr>
      </w:pPr>
    </w:p>
    <w:p w:rsidRDefault="006B63B5" w:rsidP="006B63B5" w:rsidR="006B63B5">
      <w:pPr>
        <w:pStyle w:val="Bezproreda"/>
        <w:ind w:left="567"/>
        <w:jc w:val="both"/>
        <w:rPr>
          <w:rFonts w:hAnsi="Cambria" w:ascii="Cambria"/>
          <w:sz w:val="26"/>
          <w:szCs w:val="26"/>
        </w:rPr>
      </w:pPr>
    </w:p>
    <w:p w:rsidRDefault="006B63B5" w:rsidP="006B63B5" w:rsidR="006B63B5">
      <w:pPr>
        <w:pStyle w:val="Bezproreda"/>
        <w:ind w:left="567"/>
        <w:jc w:val="both"/>
        <w:rPr>
          <w:rFonts w:hAnsi="Cambria" w:ascii="Cambria"/>
          <w:sz w:val="26"/>
          <w:szCs w:val="26"/>
        </w:rPr>
      </w:pPr>
    </w:p>
    <w:p w:rsidRDefault="006B63B5" w:rsidP="006B63B5" w:rsidR="006B63B5">
      <w:pPr>
        <w:pStyle w:val="Bezproreda"/>
        <w:ind w:left="567"/>
        <w:jc w:val="both"/>
        <w:rPr>
          <w:rFonts w:hAnsi="Cambria" w:ascii="Cambria"/>
          <w:sz w:val="26"/>
          <w:szCs w:val="26"/>
        </w:rPr>
      </w:pPr>
    </w:p>
    <w:p w:rsidRDefault="006B63B5" w:rsidP="006B63B5" w:rsidR="006B63B5">
      <w:pPr>
        <w:pStyle w:val="Bezproreda"/>
        <w:ind w:left="567"/>
        <w:jc w:val="both"/>
        <w:rPr>
          <w:rFonts w:hAnsi="Cambria" w:ascii="Cambria"/>
          <w:sz w:val="26"/>
          <w:szCs w:val="26"/>
        </w:rPr>
      </w:pPr>
    </w:p>
    <w:p w:rsidRDefault="006B63B5" w:rsidP="006B63B5" w:rsidR="006B63B5">
      <w:pPr>
        <w:pStyle w:val="Bezproreda"/>
        <w:ind w:left="567"/>
        <w:jc w:val="both"/>
        <w:rPr>
          <w:rFonts w:hAnsi="Cambria" w:ascii="Cambria"/>
          <w:sz w:val="26"/>
          <w:szCs w:val="26"/>
        </w:rPr>
      </w:pPr>
    </w:p>
    <w:p w:rsidRDefault="006B63B5" w:rsidP="006B63B5" w:rsidR="006B63B5">
      <w:pPr>
        <w:pStyle w:val="Bezproreda"/>
        <w:ind w:left="567"/>
        <w:jc w:val="both"/>
        <w:rPr>
          <w:rFonts w:hAnsi="Cambria" w:ascii="Cambria"/>
          <w:sz w:val="26"/>
          <w:szCs w:val="26"/>
        </w:rPr>
      </w:pPr>
    </w:p>
    <w:p w:rsidRDefault="006B63B5" w:rsidP="006B63B5" w:rsidR="006B63B5">
      <w:pPr>
        <w:pStyle w:val="Bezproreda"/>
        <w:ind w:left="567"/>
        <w:jc w:val="both"/>
        <w:rPr>
          <w:rFonts w:hAnsi="Cambria" w:ascii="Cambria"/>
          <w:b/>
          <w:sz w:val="26"/>
          <w:szCs w:val="26"/>
        </w:rPr>
      </w:pPr>
      <w:r>
        <w:rPr>
          <w:rFonts w:hAnsi="Cambria" w:ascii="Cambria"/>
          <w:b/>
          <w:sz w:val="26"/>
          <w:szCs w:val="26"/>
        </w:rPr>
        <w:t>5.2 Pokretnine</w:t>
      </w:r>
    </w:p>
    <w:p w:rsidRDefault="006B63B5" w:rsidP="006B63B5" w:rsidR="006B63B5">
      <w:pPr>
        <w:pStyle w:val="Bezproreda"/>
        <w:ind w:left="567"/>
        <w:rPr>
          <w:rFonts w:hAnsi="Cambria" w:ascii="Cambria"/>
          <w:sz w:val="26"/>
          <w:szCs w:val="26"/>
        </w:rPr>
      </w:pPr>
    </w:p>
    <w:p w:rsidRDefault="006B63B5" w:rsidP="006B63B5" w:rsidR="006B63B5">
      <w:pPr>
        <w:pStyle w:val="Bezproreda"/>
        <w:rPr>
          <w:rFonts w:hAnsi="Cambria" w:ascii="Cambria"/>
          <w:sz w:val="26"/>
          <w:szCs w:val="26"/>
        </w:rPr>
      </w:pPr>
      <w:r>
        <w:rPr>
          <w:rFonts w:hAnsi="Cambria" w:ascii="Cambria"/>
          <w:sz w:val="26"/>
          <w:szCs w:val="26"/>
        </w:rPr>
        <w:tab/>
        <w:t>Pokretnine u vlasništvu stečajnog dužnika su slijedeće (procjena vrijednosti prema pljenidbenom popisu Porezne uprave):</w:t>
      </w:r>
    </w:p>
    <w:p w:rsidRDefault="006B63B5" w:rsidP="006B63B5" w:rsidR="006B63B5">
      <w:pPr>
        <w:pStyle w:val="Bezproreda"/>
        <w:ind w:left="567"/>
        <w:rPr>
          <w:rFonts w:hAnsi="Cambria" w:ascii="Cambria"/>
          <w:sz w:val="26"/>
          <w:szCs w:val="26"/>
        </w:rPr>
      </w:pPr>
    </w:p>
    <w:tbl>
      <w:tblPr>
        <w:tblW w:type="dxa" w:w="8039"/>
        <w:tblInd w:type="dxa" w:w="799"/>
        <w:tblLook w:val="04A0" w:noVBand="1" w:noHBand="0" w:lastColumn="0" w:firstColumn="1" w:lastRow="0" w:firstRow="1"/>
      </w:tblPr>
      <w:tblGrid>
        <w:gridCol w:w="760"/>
        <w:gridCol w:w="3800"/>
        <w:gridCol w:w="911"/>
        <w:gridCol w:w="1285"/>
        <w:gridCol w:w="1283"/>
      </w:tblGrid>
      <w:tr w:rsidTr="006B63B5" w:rsidR="006B63B5">
        <w:trPr>
          <w:trHeight w:val="1032"/>
        </w:trPr>
        <w:tc>
          <w:tcPr>
            <w:tcW w:type="dxa" w:w="760"/>
            <w:tcBorders>
              <w:top w:space="0" w:sz="8" w:color="auto" w:val="single"/>
              <w:left w:space="0" w:sz="8" w:color="auto" w:val="single"/>
              <w:bottom w:space="0" w:sz="8" w:color="auto" w:val="single"/>
              <w:right w:space="0" w:sz="8" w:color="auto" w:val="single"/>
            </w:tcBorders>
            <w:noWrap/>
            <w:vAlign w:val="center"/>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Rb</w:t>
            </w:r>
          </w:p>
        </w:tc>
        <w:tc>
          <w:tcPr>
            <w:tcW w:type="dxa" w:w="3800"/>
            <w:tcBorders>
              <w:top w:space="0" w:sz="8" w:color="auto" w:val="single"/>
              <w:left w:val="nil"/>
              <w:bottom w:space="0" w:sz="8" w:color="auto" w:val="single"/>
              <w:right w:space="0" w:sz="8" w:color="auto" w:val="single"/>
            </w:tcBorders>
            <w:noWrap/>
            <w:vAlign w:val="center"/>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Vrsta i opis imovine</w:t>
            </w:r>
          </w:p>
        </w:tc>
        <w:tc>
          <w:tcPr>
            <w:tcW w:type="dxa" w:w="911"/>
            <w:tcBorders>
              <w:top w:space="0" w:sz="8" w:color="auto" w:val="single"/>
              <w:left w:val="nil"/>
              <w:bottom w:space="0" w:sz="8" w:color="auto" w:val="single"/>
              <w:right w:space="0" w:sz="8" w:color="auto" w:val="single"/>
            </w:tcBorders>
            <w:noWrap/>
            <w:vAlign w:val="center"/>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Količina</w:t>
            </w:r>
          </w:p>
        </w:tc>
        <w:tc>
          <w:tcPr>
            <w:tcW w:type="dxa" w:w="1285"/>
            <w:tcBorders>
              <w:top w:space="0" w:sz="8" w:color="auto" w:val="single"/>
              <w:left w:val="nil"/>
              <w:bottom w:space="0" w:sz="8" w:color="auto" w:val="single"/>
              <w:right w:space="0" w:sz="8" w:color="auto" w:val="single"/>
            </w:tcBorders>
            <w:vAlign w:val="center"/>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Procijenjena vrijednost u kunama</w:t>
            </w:r>
          </w:p>
        </w:tc>
        <w:tc>
          <w:tcPr>
            <w:tcW w:type="dxa" w:w="1283"/>
            <w:tcBorders>
              <w:top w:space="0" w:sz="8" w:color="auto" w:val="single"/>
              <w:left w:val="nil"/>
              <w:bottom w:space="0" w:sz="8" w:color="auto" w:val="single"/>
              <w:right w:space="0" w:sz="8" w:color="auto" w:val="single"/>
            </w:tcBorders>
            <w:vAlign w:val="center"/>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Ukupno procijenjena vrijednost u kunama</w:t>
            </w:r>
          </w:p>
        </w:tc>
      </w:tr>
      <w:tr w:rsidTr="006B63B5" w:rsidR="006B63B5">
        <w:trPr>
          <w:trHeight w:val="1572"/>
        </w:trPr>
        <w:tc>
          <w:tcPr>
            <w:tcW w:type="dxa" w:w="760"/>
            <w:tcBorders>
              <w:top w:val="nil"/>
              <w:left w:space="0" w:sz="8" w:color="auto" w:val="single"/>
              <w:bottom w:space="0" w:sz="8" w:color="auto" w:val="single"/>
              <w:right w:space="0" w:sz="8"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w:t>
            </w:r>
            <w:r>
              <w:rPr>
                <w:rFonts w:cs="Arial" w:eastAsia="Times New Roman" w:hAnsi="Cambria" w:ascii="Cambria"/>
                <w:b/>
                <w:bCs/>
                <w:sz w:val="20"/>
                <w:szCs w:val="20"/>
                <w:lang w:eastAsia="hr-HR"/>
              </w:rPr>
              <w:t>.</w:t>
            </w:r>
          </w:p>
        </w:tc>
        <w:tc>
          <w:tcPr>
            <w:tcW w:type="dxa" w:w="3800"/>
            <w:tcBorders>
              <w:top w:val="nil"/>
              <w:left w:val="nil"/>
              <w:bottom w:space="0" w:sz="8" w:color="auto" w:val="single"/>
              <w:right w:space="0" w:sz="8" w:color="auto" w:val="single"/>
            </w:tcBorders>
            <w:vAlign w:val="bottom"/>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N-2 Teretni automobil, marke MAN L2000 L33, godina proizvodnje 1998. Snaga 114 kWh, broj šasije VVMAL335226G135409, hladnjača sa agregatom i dodatnim uređajem za hlađenje hrane odjavljen 02. 06. 2014.</w:t>
            </w:r>
          </w:p>
        </w:tc>
        <w:tc>
          <w:tcPr>
            <w:tcW w:type="dxa" w:w="911"/>
            <w:tcBorders>
              <w:top w:val="nil"/>
              <w:left w:val="nil"/>
              <w:bottom w:space="0" w:sz="8" w:color="auto" w:val="single"/>
              <w:right w:space="0" w:sz="8" w:color="auto" w:val="single"/>
            </w:tcBorders>
            <w:noWrap/>
            <w:vAlign w:val="center"/>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w:t>
            </w:r>
          </w:p>
        </w:tc>
        <w:tc>
          <w:tcPr>
            <w:tcW w:type="dxa" w:w="1285"/>
            <w:tcBorders>
              <w:top w:val="nil"/>
              <w:left w:val="nil"/>
              <w:bottom w:space="0" w:sz="8" w:color="auto" w:val="single"/>
              <w:right w:space="0" w:sz="8" w:color="auto" w:val="single"/>
            </w:tcBorders>
            <w:noWrap/>
            <w:vAlign w:val="center"/>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50.000,00</w:t>
            </w:r>
          </w:p>
        </w:tc>
        <w:tc>
          <w:tcPr>
            <w:tcW w:type="dxa" w:w="1283"/>
            <w:tcBorders>
              <w:top w:val="nil"/>
              <w:left w:val="nil"/>
              <w:bottom w:space="0" w:sz="8" w:color="auto" w:val="single"/>
              <w:right w:space="0" w:sz="8" w:color="auto" w:val="single"/>
            </w:tcBorders>
            <w:noWrap/>
            <w:vAlign w:val="center"/>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50.000,00</w:t>
            </w:r>
          </w:p>
        </w:tc>
      </w:tr>
      <w:tr w:rsidTr="006B63B5" w:rsidR="006B63B5">
        <w:trPr>
          <w:trHeight w:val="1572"/>
        </w:trPr>
        <w:tc>
          <w:tcPr>
            <w:tcW w:type="dxa" w:w="760"/>
            <w:tcBorders>
              <w:top w:val="nil"/>
              <w:left w:space="0" w:sz="8" w:color="auto" w:val="single"/>
              <w:bottom w:space="0" w:sz="8" w:color="auto" w:val="single"/>
              <w:right w:space="0" w:sz="8" w:color="auto" w:val="single"/>
            </w:tcBorders>
            <w:noWrap/>
            <w:vAlign w:val="center"/>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2.</w:t>
            </w:r>
          </w:p>
        </w:tc>
        <w:tc>
          <w:tcPr>
            <w:tcW w:type="dxa" w:w="3800"/>
            <w:tcBorders>
              <w:top w:val="nil"/>
              <w:left w:val="nil"/>
              <w:bottom w:space="0" w:sz="8" w:color="auto" w:val="single"/>
              <w:right w:space="0" w:sz="8" w:color="auto" w:val="single"/>
            </w:tcBorders>
            <w:vAlign w:val="bottom"/>
            <w:hideMark/>
          </w:tcPr>
          <w:p w:rsidRDefault="006B63B5" w:rsidR="006B63B5">
            <w:pPr>
              <w:spacing w:lineRule="auto" w:line="240" w:after="0"/>
              <w:rPr>
                <w:rFonts w:cs="Arial" w:eastAsia="Times New Roman" w:hAnsi="Cambria" w:ascii="Cambria"/>
                <w:sz w:val="20"/>
                <w:szCs w:val="20"/>
                <w:lang w:eastAsia="hr-HR"/>
              </w:rPr>
            </w:pPr>
            <w:r>
              <w:rPr>
                <w:rFonts w:cs="Arial" w:eastAsia="Times New Roman" w:hAnsi="Cambria" w:ascii="Cambria"/>
                <w:sz w:val="20"/>
                <w:szCs w:val="20"/>
                <w:lang w:eastAsia="hr-HR"/>
              </w:rPr>
              <w:t>Montirana viseća kuhinja dimenzije 2m, gornji dio -4 vrata i zaobljeni završetak - police; donji dio sa ugrađenim sudoperom i slavinom, ugradbenim hladnjakom i ugrađenom pločom -2 plin+2 struja</w:t>
            </w:r>
          </w:p>
        </w:tc>
        <w:tc>
          <w:tcPr>
            <w:tcW w:type="dxa" w:w="911"/>
            <w:tcBorders>
              <w:top w:val="nil"/>
              <w:left w:val="nil"/>
              <w:bottom w:space="0" w:sz="8" w:color="auto" w:val="single"/>
              <w:right w:space="0" w:sz="8" w:color="auto" w:val="single"/>
            </w:tcBorders>
            <w:noWrap/>
            <w:vAlign w:val="bottom"/>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w:t>
            </w:r>
          </w:p>
        </w:tc>
        <w:tc>
          <w:tcPr>
            <w:tcW w:type="dxa" w:w="1285"/>
            <w:tcBorders>
              <w:top w:val="nil"/>
              <w:left w:val="nil"/>
              <w:bottom w:space="0" w:sz="8" w:color="auto" w:val="single"/>
              <w:right w:space="0" w:sz="8" w:color="auto" w:val="single"/>
            </w:tcBorders>
            <w:noWrap/>
            <w:vAlign w:val="center"/>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5.000,00</w:t>
            </w:r>
          </w:p>
        </w:tc>
        <w:tc>
          <w:tcPr>
            <w:tcW w:type="dxa" w:w="1283"/>
            <w:tcBorders>
              <w:top w:val="nil"/>
              <w:left w:val="nil"/>
              <w:bottom w:space="0" w:sz="8" w:color="auto" w:val="single"/>
              <w:right w:space="0" w:sz="8" w:color="auto" w:val="single"/>
            </w:tcBorders>
            <w:noWrap/>
            <w:vAlign w:val="center"/>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5.000,00</w:t>
            </w:r>
          </w:p>
        </w:tc>
      </w:tr>
      <w:tr w:rsidTr="006B63B5" w:rsidR="006B63B5">
        <w:trPr>
          <w:trHeight w:val="264"/>
        </w:trPr>
        <w:tc>
          <w:tcPr>
            <w:tcW w:type="dxa" w:w="760"/>
            <w:tcBorders>
              <w:top w:val="nil"/>
              <w:left w:space="0" w:sz="8" w:color="auto" w:val="single"/>
              <w:bottom w:space="0" w:sz="8" w:color="auto" w:val="single"/>
              <w:right w:space="0" w:sz="8"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3.</w:t>
            </w:r>
          </w:p>
        </w:tc>
        <w:tc>
          <w:tcPr>
            <w:tcW w:type="dxa" w:w="3800"/>
            <w:tcBorders>
              <w:top w:val="nil"/>
              <w:left w:val="nil"/>
              <w:bottom w:space="0" w:sz="8" w:color="auto" w:val="single"/>
              <w:right w:space="0" w:sz="8" w:color="auto" w:val="single"/>
            </w:tcBorders>
            <w:noWrap/>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Radni stol dim. 120x80x72</w:t>
            </w:r>
          </w:p>
        </w:tc>
        <w:tc>
          <w:tcPr>
            <w:tcW w:type="dxa" w:w="911"/>
            <w:tcBorders>
              <w:top w:val="nil"/>
              <w:left w:val="nil"/>
              <w:bottom w:space="0" w:sz="8" w:color="auto" w:val="single"/>
              <w:right w:space="0" w:sz="8" w:color="auto" w:val="single"/>
            </w:tcBorders>
            <w:noWrap/>
            <w:vAlign w:val="center"/>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2</w:t>
            </w:r>
          </w:p>
        </w:tc>
        <w:tc>
          <w:tcPr>
            <w:tcW w:type="dxa" w:w="1285"/>
            <w:tcBorders>
              <w:top w:val="nil"/>
              <w:left w:val="nil"/>
              <w:bottom w:space="0" w:sz="8" w:color="auto" w:val="single"/>
              <w:right w:space="0" w:sz="8" w:color="auto" w:val="single"/>
            </w:tcBorders>
            <w:noWrap/>
            <w:vAlign w:val="center"/>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600,00</w:t>
            </w:r>
          </w:p>
        </w:tc>
        <w:tc>
          <w:tcPr>
            <w:tcW w:type="dxa" w:w="1283"/>
            <w:tcBorders>
              <w:top w:val="nil"/>
              <w:left w:val="nil"/>
              <w:bottom w:space="0" w:sz="8" w:color="auto" w:val="single"/>
              <w:right w:space="0" w:sz="8" w:color="auto" w:val="single"/>
            </w:tcBorders>
            <w:noWrap/>
            <w:vAlign w:val="center"/>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1.200,00</w:t>
            </w:r>
          </w:p>
        </w:tc>
      </w:tr>
      <w:tr w:rsidTr="006B63B5" w:rsidR="006B63B5">
        <w:trPr>
          <w:trHeight w:val="264"/>
        </w:trPr>
        <w:tc>
          <w:tcPr>
            <w:tcW w:type="dxa" w:w="760"/>
            <w:tcBorders>
              <w:top w:val="nil"/>
              <w:left w:space="0" w:sz="8" w:color="auto" w:val="single"/>
              <w:bottom w:space="0" w:sz="8" w:color="auto" w:val="single"/>
              <w:right w:space="0" w:sz="8"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4.</w:t>
            </w:r>
          </w:p>
        </w:tc>
        <w:tc>
          <w:tcPr>
            <w:tcW w:type="dxa" w:w="3800"/>
            <w:tcBorders>
              <w:top w:val="nil"/>
              <w:left w:val="nil"/>
              <w:bottom w:space="0" w:sz="8" w:color="auto" w:val="single"/>
              <w:right w:space="0" w:sz="8" w:color="auto" w:val="single"/>
            </w:tcBorders>
            <w:noWrap/>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Radni stol dim. 160x80/80x72</w:t>
            </w:r>
          </w:p>
        </w:tc>
        <w:tc>
          <w:tcPr>
            <w:tcW w:type="dxa" w:w="911"/>
            <w:tcBorders>
              <w:top w:val="nil"/>
              <w:left w:val="nil"/>
              <w:bottom w:space="0" w:sz="8" w:color="auto" w:val="single"/>
              <w:right w:space="0" w:sz="8" w:color="auto" w:val="single"/>
            </w:tcBorders>
            <w:noWrap/>
            <w:vAlign w:val="center"/>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2</w:t>
            </w:r>
          </w:p>
        </w:tc>
        <w:tc>
          <w:tcPr>
            <w:tcW w:type="dxa" w:w="1285"/>
            <w:tcBorders>
              <w:top w:val="nil"/>
              <w:left w:val="nil"/>
              <w:bottom w:space="0" w:sz="8" w:color="auto" w:val="single"/>
              <w:right w:space="0" w:sz="8" w:color="auto" w:val="single"/>
            </w:tcBorders>
            <w:noWrap/>
            <w:vAlign w:val="center"/>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1.000,00</w:t>
            </w:r>
          </w:p>
        </w:tc>
        <w:tc>
          <w:tcPr>
            <w:tcW w:type="dxa" w:w="1283"/>
            <w:tcBorders>
              <w:top w:val="nil"/>
              <w:left w:val="nil"/>
              <w:bottom w:space="0" w:sz="8" w:color="auto" w:val="single"/>
              <w:right w:space="0" w:sz="8" w:color="auto" w:val="single"/>
            </w:tcBorders>
            <w:noWrap/>
            <w:vAlign w:val="center"/>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2.000,00</w:t>
            </w:r>
          </w:p>
        </w:tc>
      </w:tr>
      <w:tr w:rsidTr="006B63B5" w:rsidR="006B63B5">
        <w:trPr>
          <w:trHeight w:val="264"/>
        </w:trPr>
        <w:tc>
          <w:tcPr>
            <w:tcW w:type="dxa" w:w="760"/>
            <w:tcBorders>
              <w:top w:val="nil"/>
              <w:left w:space="0" w:sz="8" w:color="auto" w:val="single"/>
              <w:bottom w:space="0" w:sz="8" w:color="auto" w:val="single"/>
              <w:right w:space="0" w:sz="8"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5.</w:t>
            </w:r>
          </w:p>
        </w:tc>
        <w:tc>
          <w:tcPr>
            <w:tcW w:type="dxa" w:w="3800"/>
            <w:tcBorders>
              <w:top w:val="nil"/>
              <w:left w:val="nil"/>
              <w:bottom w:space="0" w:sz="8" w:color="auto" w:val="single"/>
              <w:right w:space="0" w:sz="8" w:color="auto" w:val="single"/>
            </w:tcBorders>
            <w:noWrap/>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Radni stol dim. 160x120/80x72</w:t>
            </w:r>
          </w:p>
        </w:tc>
        <w:tc>
          <w:tcPr>
            <w:tcW w:type="dxa" w:w="911"/>
            <w:tcBorders>
              <w:top w:val="nil"/>
              <w:left w:val="nil"/>
              <w:bottom w:space="0" w:sz="8" w:color="auto" w:val="single"/>
              <w:right w:space="0" w:sz="8" w:color="auto" w:val="single"/>
            </w:tcBorders>
            <w:noWrap/>
            <w:vAlign w:val="center"/>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w:t>
            </w:r>
          </w:p>
        </w:tc>
        <w:tc>
          <w:tcPr>
            <w:tcW w:type="dxa" w:w="1285"/>
            <w:tcBorders>
              <w:top w:val="nil"/>
              <w:left w:val="nil"/>
              <w:bottom w:space="0" w:sz="8" w:color="auto" w:val="single"/>
              <w:right w:space="0" w:sz="8" w:color="auto" w:val="single"/>
            </w:tcBorders>
            <w:noWrap/>
            <w:vAlign w:val="center"/>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1.200,00</w:t>
            </w:r>
          </w:p>
        </w:tc>
        <w:tc>
          <w:tcPr>
            <w:tcW w:type="dxa" w:w="1283"/>
            <w:tcBorders>
              <w:top w:val="nil"/>
              <w:left w:val="nil"/>
              <w:bottom w:space="0" w:sz="8" w:color="auto" w:val="single"/>
              <w:right w:space="0" w:sz="8" w:color="auto" w:val="single"/>
            </w:tcBorders>
            <w:noWrap/>
            <w:vAlign w:val="center"/>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1.200,00</w:t>
            </w:r>
          </w:p>
        </w:tc>
      </w:tr>
      <w:tr w:rsidTr="006B63B5" w:rsidR="006B63B5">
        <w:trPr>
          <w:trHeight w:val="264"/>
        </w:trPr>
        <w:tc>
          <w:tcPr>
            <w:tcW w:type="dxa" w:w="760"/>
            <w:tcBorders>
              <w:top w:val="nil"/>
              <w:left w:space="0" w:sz="8" w:color="auto" w:val="single"/>
              <w:bottom w:space="0" w:sz="8" w:color="auto" w:val="single"/>
              <w:right w:space="0" w:sz="8" w:color="auto" w:val="single"/>
            </w:tcBorders>
            <w:noWrap/>
            <w:vAlign w:val="center"/>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6.</w:t>
            </w:r>
          </w:p>
        </w:tc>
        <w:tc>
          <w:tcPr>
            <w:tcW w:type="dxa" w:w="3800"/>
            <w:tcBorders>
              <w:top w:val="nil"/>
              <w:left w:val="nil"/>
              <w:bottom w:space="0" w:sz="8" w:color="auto" w:val="single"/>
              <w:right w:space="0" w:sz="8" w:color="auto" w:val="single"/>
            </w:tcBorders>
            <w:noWrap/>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Pokretni ormarić</w:t>
            </w:r>
          </w:p>
        </w:tc>
        <w:tc>
          <w:tcPr>
            <w:tcW w:type="dxa" w:w="911"/>
            <w:tcBorders>
              <w:top w:val="nil"/>
              <w:left w:val="nil"/>
              <w:bottom w:space="0" w:sz="8" w:color="auto" w:val="single"/>
              <w:right w:space="0" w:sz="8"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5</w:t>
            </w:r>
          </w:p>
        </w:tc>
        <w:tc>
          <w:tcPr>
            <w:tcW w:type="dxa" w:w="1285"/>
            <w:tcBorders>
              <w:top w:val="nil"/>
              <w:left w:val="nil"/>
              <w:bottom w:space="0" w:sz="8" w:color="auto" w:val="single"/>
              <w:right w:space="0" w:sz="8"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w:t>
            </w:r>
          </w:p>
        </w:tc>
        <w:tc>
          <w:tcPr>
            <w:tcW w:type="dxa" w:w="1283"/>
            <w:tcBorders>
              <w:top w:val="nil"/>
              <w:left w:val="nil"/>
              <w:bottom w:space="0" w:sz="8" w:color="auto" w:val="single"/>
              <w:right w:space="0" w:sz="8" w:color="auto" w:val="single"/>
            </w:tcBorders>
            <w:noWrap/>
            <w:vAlign w:val="center"/>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2.500,00</w:t>
            </w:r>
          </w:p>
        </w:tc>
      </w:tr>
      <w:tr w:rsidTr="006B63B5" w:rsidR="006B63B5">
        <w:trPr>
          <w:trHeight w:val="264"/>
        </w:trPr>
        <w:tc>
          <w:tcPr>
            <w:tcW w:type="dxa" w:w="760"/>
            <w:tcBorders>
              <w:top w:val="nil"/>
              <w:left w:space="0" w:sz="8" w:color="auto" w:val="single"/>
              <w:bottom w:val="nil"/>
              <w:right w:space="0" w:sz="8"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7.</w:t>
            </w:r>
          </w:p>
        </w:tc>
        <w:tc>
          <w:tcPr>
            <w:tcW w:type="dxa" w:w="3800"/>
            <w:tcBorders>
              <w:top w:val="nil"/>
              <w:left w:val="nil"/>
              <w:bottom w:val="nil"/>
              <w:right w:space="0" w:sz="8" w:color="auto" w:val="single"/>
            </w:tcBorders>
            <w:noWrap/>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Ormar sa staklenim vratima dim 120x45</w:t>
            </w:r>
          </w:p>
        </w:tc>
        <w:tc>
          <w:tcPr>
            <w:tcW w:type="dxa" w:w="911"/>
            <w:tcBorders>
              <w:top w:val="nil"/>
              <w:left w:val="nil"/>
              <w:bottom w:val="nil"/>
              <w:right w:space="0" w:sz="8" w:color="auto" w:val="single"/>
            </w:tcBorders>
            <w:noWrap/>
            <w:vAlign w:val="center"/>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2</w:t>
            </w:r>
          </w:p>
        </w:tc>
        <w:tc>
          <w:tcPr>
            <w:tcW w:type="dxa" w:w="1285"/>
            <w:tcBorders>
              <w:top w:val="nil"/>
              <w:left w:val="nil"/>
              <w:bottom w:val="nil"/>
              <w:right w:space="0" w:sz="8"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w:t>
            </w:r>
          </w:p>
        </w:tc>
        <w:tc>
          <w:tcPr>
            <w:tcW w:type="dxa" w:w="1283"/>
            <w:tcBorders>
              <w:top w:val="nil"/>
              <w:left w:val="nil"/>
              <w:bottom w:val="nil"/>
              <w:right w:space="0" w:sz="8" w:color="auto" w:val="single"/>
            </w:tcBorders>
            <w:noWrap/>
            <w:vAlign w:val="center"/>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1.000,00</w:t>
            </w:r>
          </w:p>
        </w:tc>
      </w:tr>
      <w:tr w:rsidTr="006B63B5" w:rsidR="006B63B5">
        <w:trPr>
          <w:trHeight w:val="264"/>
        </w:trPr>
        <w:tc>
          <w:tcPr>
            <w:tcW w:type="dxa" w:w="76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8.</w:t>
            </w:r>
          </w:p>
        </w:tc>
        <w:tc>
          <w:tcPr>
            <w:tcW w:type="dxa" w:w="380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Vješalica</w:t>
            </w:r>
          </w:p>
        </w:tc>
        <w:tc>
          <w:tcPr>
            <w:tcW w:type="dxa" w:w="911"/>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3</w:t>
            </w:r>
          </w:p>
        </w:tc>
        <w:tc>
          <w:tcPr>
            <w:tcW w:type="dxa" w:w="1285"/>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300,00</w:t>
            </w:r>
          </w:p>
        </w:tc>
        <w:tc>
          <w:tcPr>
            <w:tcW w:type="dxa" w:w="1283"/>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900,00</w:t>
            </w:r>
          </w:p>
        </w:tc>
      </w:tr>
      <w:tr w:rsidTr="006B63B5" w:rsidR="006B63B5">
        <w:trPr>
          <w:trHeight w:val="264"/>
        </w:trPr>
        <w:tc>
          <w:tcPr>
            <w:tcW w:type="dxa" w:w="76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9.</w:t>
            </w:r>
          </w:p>
        </w:tc>
        <w:tc>
          <w:tcPr>
            <w:tcW w:type="dxa" w:w="380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Stolica radna AURELIA koža</w:t>
            </w:r>
          </w:p>
        </w:tc>
        <w:tc>
          <w:tcPr>
            <w:tcW w:type="dxa" w:w="911"/>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2</w:t>
            </w:r>
          </w:p>
        </w:tc>
        <w:tc>
          <w:tcPr>
            <w:tcW w:type="dxa" w:w="1285"/>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600,00</w:t>
            </w:r>
          </w:p>
        </w:tc>
        <w:tc>
          <w:tcPr>
            <w:tcW w:type="dxa" w:w="1283"/>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1.200,00</w:t>
            </w:r>
          </w:p>
        </w:tc>
      </w:tr>
      <w:tr w:rsidTr="006B63B5" w:rsidR="006B63B5">
        <w:trPr>
          <w:trHeight w:val="264"/>
        </w:trPr>
        <w:tc>
          <w:tcPr>
            <w:tcW w:type="dxa" w:w="76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10</w:t>
            </w:r>
            <w:r>
              <w:rPr>
                <w:rFonts w:cs="Arial" w:eastAsia="Times New Roman" w:hAnsi="Cambria" w:ascii="Cambria"/>
                <w:b/>
                <w:bCs/>
                <w:sz w:val="20"/>
                <w:szCs w:val="20"/>
                <w:lang w:eastAsia="hr-HR"/>
              </w:rPr>
              <w:t>.</w:t>
            </w:r>
          </w:p>
        </w:tc>
        <w:tc>
          <w:tcPr>
            <w:tcW w:type="dxa" w:w="380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Stolica SYNCHRO</w:t>
            </w:r>
          </w:p>
        </w:tc>
        <w:tc>
          <w:tcPr>
            <w:tcW w:type="dxa" w:w="911"/>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3</w:t>
            </w:r>
          </w:p>
        </w:tc>
        <w:tc>
          <w:tcPr>
            <w:tcW w:type="dxa" w:w="1285"/>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150,00</w:t>
            </w:r>
          </w:p>
        </w:tc>
        <w:tc>
          <w:tcPr>
            <w:tcW w:type="dxa" w:w="1283"/>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450,00</w:t>
            </w:r>
          </w:p>
        </w:tc>
      </w:tr>
      <w:tr w:rsidTr="006B63B5" w:rsidR="006B63B5">
        <w:trPr>
          <w:trHeight w:val="264"/>
        </w:trPr>
        <w:tc>
          <w:tcPr>
            <w:tcW w:type="dxa" w:w="76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11.</w:t>
            </w:r>
          </w:p>
        </w:tc>
        <w:tc>
          <w:tcPr>
            <w:tcW w:type="dxa" w:w="380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Ormar sa vratima 120x45</w:t>
            </w:r>
          </w:p>
        </w:tc>
        <w:tc>
          <w:tcPr>
            <w:tcW w:type="dxa" w:w="911"/>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2</w:t>
            </w:r>
          </w:p>
        </w:tc>
        <w:tc>
          <w:tcPr>
            <w:tcW w:type="dxa" w:w="1285"/>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w:t>
            </w:r>
          </w:p>
        </w:tc>
        <w:tc>
          <w:tcPr>
            <w:tcW w:type="dxa" w:w="1283"/>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1.000,00</w:t>
            </w:r>
          </w:p>
        </w:tc>
      </w:tr>
      <w:tr w:rsidTr="006B63B5" w:rsidR="006B63B5">
        <w:trPr>
          <w:trHeight w:val="264"/>
        </w:trPr>
        <w:tc>
          <w:tcPr>
            <w:tcW w:type="dxa" w:w="76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12.</w:t>
            </w:r>
          </w:p>
        </w:tc>
        <w:tc>
          <w:tcPr>
            <w:tcW w:type="dxa" w:w="380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Polukružni dodatak za stol</w:t>
            </w:r>
          </w:p>
        </w:tc>
        <w:tc>
          <w:tcPr>
            <w:tcW w:type="dxa" w:w="911"/>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w:t>
            </w:r>
          </w:p>
        </w:tc>
        <w:tc>
          <w:tcPr>
            <w:tcW w:type="dxa" w:w="1285"/>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w:t>
            </w:r>
          </w:p>
        </w:tc>
        <w:tc>
          <w:tcPr>
            <w:tcW w:type="dxa" w:w="1283"/>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w:t>
            </w:r>
          </w:p>
        </w:tc>
      </w:tr>
      <w:tr w:rsidTr="006B63B5" w:rsidR="006B63B5">
        <w:trPr>
          <w:trHeight w:val="528"/>
        </w:trPr>
        <w:tc>
          <w:tcPr>
            <w:tcW w:type="dxa" w:w="76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13.</w:t>
            </w:r>
          </w:p>
        </w:tc>
        <w:tc>
          <w:tcPr>
            <w:tcW w:type="dxa" w:w="380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Ormar sa posmičnim vratima dim. 120x45x111</w:t>
            </w:r>
          </w:p>
        </w:tc>
        <w:tc>
          <w:tcPr>
            <w:tcW w:type="dxa" w:w="911"/>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3</w:t>
            </w:r>
          </w:p>
        </w:tc>
        <w:tc>
          <w:tcPr>
            <w:tcW w:type="dxa" w:w="1285"/>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800,00</w:t>
            </w:r>
          </w:p>
        </w:tc>
        <w:tc>
          <w:tcPr>
            <w:tcW w:type="dxa" w:w="1283"/>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2.400,00</w:t>
            </w:r>
          </w:p>
        </w:tc>
      </w:tr>
      <w:tr w:rsidTr="006B63B5" w:rsidR="006B63B5">
        <w:trPr>
          <w:trHeight w:val="264"/>
        </w:trPr>
        <w:tc>
          <w:tcPr>
            <w:tcW w:type="dxa" w:w="76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14.</w:t>
            </w:r>
          </w:p>
        </w:tc>
        <w:tc>
          <w:tcPr>
            <w:tcW w:type="dxa" w:w="380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Stol 80x80</w:t>
            </w:r>
          </w:p>
        </w:tc>
        <w:tc>
          <w:tcPr>
            <w:tcW w:type="dxa" w:w="911"/>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w:t>
            </w:r>
          </w:p>
        </w:tc>
        <w:tc>
          <w:tcPr>
            <w:tcW w:type="dxa" w:w="1285"/>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200,00</w:t>
            </w:r>
          </w:p>
        </w:tc>
        <w:tc>
          <w:tcPr>
            <w:tcW w:type="dxa" w:w="1283"/>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200,00</w:t>
            </w:r>
          </w:p>
        </w:tc>
      </w:tr>
      <w:tr w:rsidTr="006B63B5" w:rsidR="006B63B5">
        <w:trPr>
          <w:trHeight w:val="276"/>
        </w:trPr>
        <w:tc>
          <w:tcPr>
            <w:tcW w:type="dxa" w:w="76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15.</w:t>
            </w:r>
          </w:p>
        </w:tc>
        <w:tc>
          <w:tcPr>
            <w:tcW w:type="dxa" w:w="380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Konferencijska stolica</w:t>
            </w:r>
          </w:p>
        </w:tc>
        <w:tc>
          <w:tcPr>
            <w:tcW w:type="dxa" w:w="911"/>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3</w:t>
            </w:r>
          </w:p>
        </w:tc>
        <w:tc>
          <w:tcPr>
            <w:tcW w:type="dxa" w:w="1285"/>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250,00</w:t>
            </w:r>
          </w:p>
        </w:tc>
        <w:tc>
          <w:tcPr>
            <w:tcW w:type="dxa" w:w="1283"/>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750,00</w:t>
            </w:r>
          </w:p>
        </w:tc>
      </w:tr>
      <w:tr w:rsidTr="006B63B5" w:rsidR="006B63B5">
        <w:trPr>
          <w:trHeight w:val="276"/>
        </w:trPr>
        <w:tc>
          <w:tcPr>
            <w:tcW w:type="dxa" w:w="76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rPr>
                <w:rFonts w:cs="Arial" w:eastAsia="Times New Roman" w:hAnsi="Cambria" w:ascii="Cambria"/>
                <w:b/>
                <w:sz w:val="20"/>
                <w:szCs w:val="20"/>
                <w:lang w:eastAsia="hr-HR"/>
              </w:rPr>
            </w:pPr>
            <w:r>
              <w:rPr>
                <w:rFonts w:cs="Arial" w:eastAsia="Times New Roman" w:hAnsi="Cambria" w:ascii="Cambria"/>
                <w:b/>
                <w:sz w:val="20"/>
                <w:szCs w:val="20"/>
                <w:lang w:eastAsia="hr-HR"/>
              </w:rPr>
              <w:t> </w:t>
            </w:r>
          </w:p>
        </w:tc>
        <w:tc>
          <w:tcPr>
            <w:tcW w:type="dxa" w:w="3800"/>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both"/>
              <w:rPr>
                <w:rFonts w:cs="Arial" w:eastAsia="Times New Roman" w:hAnsi="Cambria" w:ascii="Cambria"/>
                <w:b/>
                <w:sz w:val="20"/>
                <w:szCs w:val="20"/>
                <w:lang w:eastAsia="hr-HR"/>
              </w:rPr>
            </w:pPr>
            <w:r>
              <w:rPr>
                <w:rFonts w:cs="Arial" w:eastAsia="Times New Roman" w:hAnsi="Cambria" w:ascii="Cambria"/>
                <w:b/>
                <w:sz w:val="20"/>
                <w:szCs w:val="20"/>
                <w:lang w:eastAsia="hr-HR"/>
              </w:rPr>
              <w:t>UKUPNO:</w:t>
            </w:r>
          </w:p>
        </w:tc>
        <w:tc>
          <w:tcPr>
            <w:tcW w:type="dxa" w:w="911"/>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ind w:firstLineChars="100" w:firstLine="201"/>
              <w:rPr>
                <w:rFonts w:cs="Arial" w:eastAsia="Times New Roman" w:hAnsi="Cambria" w:ascii="Cambria"/>
                <w:b/>
                <w:sz w:val="20"/>
                <w:szCs w:val="20"/>
                <w:lang w:eastAsia="hr-HR"/>
              </w:rPr>
            </w:pPr>
            <w:r>
              <w:rPr>
                <w:rFonts w:cs="Arial" w:eastAsia="Times New Roman" w:hAnsi="Cambria" w:ascii="Cambria"/>
                <w:b/>
                <w:sz w:val="20"/>
                <w:szCs w:val="20"/>
                <w:lang w:eastAsia="hr-HR"/>
              </w:rPr>
              <w:t> </w:t>
            </w:r>
          </w:p>
        </w:tc>
        <w:tc>
          <w:tcPr>
            <w:tcW w:type="dxa" w:w="1285"/>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rPr>
                <w:rFonts w:cs="Arial" w:eastAsia="Times New Roman" w:hAnsi="Cambria" w:ascii="Cambria"/>
                <w:b/>
                <w:sz w:val="20"/>
                <w:szCs w:val="20"/>
                <w:lang w:eastAsia="hr-HR"/>
              </w:rPr>
            </w:pPr>
            <w:r>
              <w:rPr>
                <w:rFonts w:cs="Arial" w:eastAsia="Times New Roman" w:hAnsi="Cambria" w:ascii="Cambria"/>
                <w:b/>
                <w:sz w:val="20"/>
                <w:szCs w:val="20"/>
                <w:lang w:eastAsia="hr-HR"/>
              </w:rPr>
              <w:t> </w:t>
            </w:r>
          </w:p>
        </w:tc>
        <w:tc>
          <w:tcPr>
            <w:tcW w:type="dxa" w:w="1283"/>
            <w:tcBorders>
              <w:top w:space="0" w:sz="4" w:color="auto" w:val="single"/>
              <w:left w:space="0" w:sz="4" w:color="auto" w:val="single"/>
              <w:bottom w:space="0" w:sz="4" w:color="auto" w:val="single"/>
              <w:right w:space="0" w:sz="4" w:color="auto" w:val="single"/>
            </w:tcBorders>
            <w:noWrap/>
            <w:hideMark/>
          </w:tcPr>
          <w:p w:rsidRDefault="006B63B5" w:rsidR="006B63B5">
            <w:pPr>
              <w:spacing w:lineRule="auto" w:line="240" w:after="0"/>
              <w:jc w:val="right"/>
              <w:rPr>
                <w:rFonts w:cs="Arial" w:eastAsia="Times New Roman" w:hAnsi="Cambria" w:ascii="Cambria"/>
                <w:b/>
                <w:sz w:val="20"/>
                <w:szCs w:val="20"/>
                <w:lang w:eastAsia="hr-HR"/>
              </w:rPr>
            </w:pPr>
            <w:r>
              <w:rPr>
                <w:rFonts w:cs="Arial" w:eastAsia="Times New Roman" w:hAnsi="Cambria" w:ascii="Cambria"/>
                <w:b/>
                <w:sz w:val="20"/>
                <w:szCs w:val="20"/>
                <w:lang w:eastAsia="hr-HR"/>
              </w:rPr>
              <w:t>70.300,00</w:t>
            </w:r>
          </w:p>
        </w:tc>
      </w:tr>
    </w:tbl>
    <w:p w:rsidRDefault="006B63B5" w:rsidP="006B63B5" w:rsidR="006B63B5">
      <w:pPr>
        <w:pStyle w:val="Bezproreda"/>
        <w:ind w:left="567"/>
        <w:rPr>
          <w:rFonts w:hAnsi="Cambria" w:ascii="Cambria"/>
          <w:sz w:val="26"/>
          <w:szCs w:val="26"/>
        </w:rPr>
      </w:pPr>
    </w:p>
    <w:p w:rsidRDefault="006B63B5" w:rsidP="006B63B5" w:rsidR="006B63B5">
      <w:pPr>
        <w:pStyle w:val="Bezproreda"/>
        <w:ind w:left="567"/>
        <w:rPr>
          <w:rFonts w:hAnsi="Cambria" w:ascii="Cambria"/>
          <w:sz w:val="26"/>
          <w:szCs w:val="26"/>
        </w:rPr>
      </w:pPr>
    </w:p>
    <w:p w:rsidRDefault="006B63B5" w:rsidP="006B63B5" w:rsidR="006B63B5">
      <w:pPr>
        <w:pStyle w:val="Bezproreda"/>
        <w:numPr>
          <w:ilvl w:val="1"/>
          <w:numId w:val="3"/>
        </w:numPr>
        <w:jc w:val="both"/>
        <w:rPr>
          <w:rFonts w:hAnsi="Cambria" w:ascii="Cambria"/>
          <w:b/>
          <w:sz w:val="26"/>
          <w:szCs w:val="26"/>
        </w:rPr>
      </w:pPr>
      <w:r>
        <w:rPr>
          <w:rFonts w:hAnsi="Cambria" w:ascii="Cambria"/>
          <w:b/>
          <w:sz w:val="26"/>
          <w:szCs w:val="26"/>
        </w:rPr>
        <w:t>Potraživanja</w:t>
      </w:r>
    </w:p>
    <w:p w:rsidRDefault="006B63B5" w:rsidP="006B63B5" w:rsidR="006B63B5">
      <w:pPr>
        <w:pStyle w:val="Bezproreda"/>
        <w:ind w:left="567"/>
        <w:jc w:val="both"/>
        <w:rPr>
          <w:rFonts w:hAnsi="Cambria" w:ascii="Cambria"/>
          <w:b/>
          <w:sz w:val="26"/>
          <w:szCs w:val="26"/>
        </w:rPr>
      </w:pPr>
    </w:p>
    <w:p w:rsidRDefault="006B63B5" w:rsidP="006B63B5" w:rsidR="006B63B5">
      <w:pPr>
        <w:pStyle w:val="Bezproreda"/>
        <w:ind w:firstLine="567"/>
        <w:jc w:val="both"/>
        <w:rPr>
          <w:rFonts w:hAnsi="Cambria" w:ascii="Cambria"/>
          <w:sz w:val="26"/>
          <w:szCs w:val="26"/>
        </w:rPr>
      </w:pPr>
      <w:r>
        <w:rPr>
          <w:rFonts w:hAnsi="Cambria" w:ascii="Cambria"/>
          <w:sz w:val="26"/>
          <w:szCs w:val="26"/>
        </w:rPr>
        <w:t>Potraživanja stečajnog dužnika po sudskim sporovima (ovrhama) su iskazana u točki 3. ovog izvještaja te iznose ukupno 1.071.995,00 kn glavnice.</w:t>
      </w:r>
    </w:p>
    <w:p w:rsidRDefault="006B63B5" w:rsidP="006B63B5" w:rsidR="006B63B5">
      <w:pPr>
        <w:pStyle w:val="Bezproreda"/>
        <w:jc w:val="both"/>
        <w:rPr>
          <w:rFonts w:hAnsi="Cambria" w:ascii="Cambria"/>
          <w:b/>
          <w:sz w:val="26"/>
          <w:szCs w:val="26"/>
        </w:rPr>
      </w:pPr>
    </w:p>
    <w:p w:rsidRDefault="006B63B5" w:rsidP="006B63B5" w:rsidR="006B63B5">
      <w:pPr>
        <w:pStyle w:val="Bezproreda"/>
        <w:ind w:firstLine="708"/>
        <w:jc w:val="both"/>
        <w:rPr>
          <w:rFonts w:hAnsi="Cambria" w:ascii="Cambria"/>
          <w:sz w:val="26"/>
          <w:szCs w:val="26"/>
        </w:rPr>
      </w:pPr>
    </w:p>
    <w:p w:rsidRDefault="006B63B5" w:rsidP="006B63B5" w:rsidR="006B63B5">
      <w:r>
        <w:t xml:space="preserve"> </w:t>
      </w:r>
    </w:p>
    <w:p w:rsidRDefault="006B63B5" w:rsidP="006B63B5" w:rsidR="006B63B5">
      <w:pPr>
        <w:pStyle w:val="Odlomakpopisa"/>
        <w:tabs>
          <w:tab w:pos="0" w:val="left"/>
        </w:tabs>
        <w:spacing w:lineRule="auto" w:line="240" w:after="0"/>
        <w:ind w:firstLine="567" w:left="0"/>
        <w:jc w:val="both"/>
        <w:rPr>
          <w:rFonts w:hAnsi="Cambria" w:ascii="Cambria"/>
          <w:b/>
          <w:bCs/>
          <w:sz w:val="26"/>
          <w:szCs w:val="26"/>
        </w:rPr>
      </w:pPr>
    </w:p>
    <w:p w:rsidRDefault="006B63B5" w:rsidP="006B63B5" w:rsidR="006B63B5">
      <w:pPr>
        <w:pStyle w:val="Odlomakpopisa"/>
        <w:tabs>
          <w:tab w:pos="0" w:val="left"/>
        </w:tabs>
        <w:spacing w:lineRule="auto" w:line="240" w:after="0"/>
        <w:ind w:firstLine="567" w:left="0"/>
        <w:jc w:val="both"/>
        <w:rPr>
          <w:rFonts w:hAnsi="Cambria" w:ascii="Cambria"/>
          <w:b/>
          <w:bCs/>
          <w:sz w:val="26"/>
          <w:szCs w:val="26"/>
        </w:rPr>
      </w:pPr>
    </w:p>
    <w:p w:rsidRDefault="006B63B5" w:rsidP="006B63B5" w:rsidR="006B63B5">
      <w:pPr>
        <w:pStyle w:val="Odlomakpopisa"/>
        <w:tabs>
          <w:tab w:pos="0" w:val="left"/>
        </w:tabs>
        <w:spacing w:lineRule="auto" w:line="240" w:after="0"/>
        <w:ind w:firstLine="567" w:left="0"/>
        <w:jc w:val="both"/>
        <w:rPr>
          <w:rFonts w:hAnsi="Cambria" w:ascii="Cambria"/>
          <w:b/>
          <w:bCs/>
          <w:sz w:val="26"/>
          <w:szCs w:val="26"/>
        </w:rPr>
      </w:pPr>
    </w:p>
    <w:p w:rsidRDefault="006B63B5" w:rsidP="006B63B5" w:rsidR="006B63B5">
      <w:pPr>
        <w:pStyle w:val="Odlomakpopisa"/>
        <w:tabs>
          <w:tab w:pos="0" w:val="left"/>
        </w:tabs>
        <w:spacing w:lineRule="auto" w:line="240" w:after="0"/>
        <w:ind w:firstLine="567" w:left="0"/>
        <w:jc w:val="both"/>
        <w:rPr>
          <w:rFonts w:hAnsi="Cambria" w:ascii="Cambria"/>
          <w:sz w:val="26"/>
          <w:szCs w:val="26"/>
        </w:rPr>
      </w:pPr>
      <w:r>
        <w:rPr>
          <w:rFonts w:hAnsi="Cambria" w:ascii="Cambria"/>
          <w:b/>
          <w:bCs/>
          <w:sz w:val="26"/>
          <w:szCs w:val="26"/>
        </w:rPr>
        <w:t>6. OBVEZE STEČAJNOG DUŽNIKA</w:t>
      </w:r>
    </w:p>
    <w:p w:rsidRDefault="006B63B5" w:rsidP="006B63B5" w:rsidR="006B63B5">
      <w:pPr>
        <w:tabs>
          <w:tab w:pos="0" w:val="left"/>
        </w:tabs>
        <w:spacing w:lineRule="auto" w:line="240" w:after="0"/>
        <w:jc w:val="both"/>
        <w:rPr>
          <w:rFonts w:hAnsi="Cambria" w:ascii="Cambria"/>
          <w:sz w:val="26"/>
          <w:szCs w:val="26"/>
        </w:rPr>
      </w:pPr>
    </w:p>
    <w:p w:rsidRDefault="006B63B5" w:rsidP="006B63B5" w:rsidR="006B63B5">
      <w:pPr>
        <w:tabs>
          <w:tab w:pos="0" w:val="left"/>
        </w:tabs>
        <w:spacing w:lineRule="auto" w:line="240" w:after="0"/>
        <w:jc w:val="both"/>
        <w:rPr>
          <w:rFonts w:hAnsi="Cambria" w:ascii="Cambria"/>
          <w:b/>
          <w:sz w:val="26"/>
          <w:szCs w:val="26"/>
        </w:rPr>
      </w:pPr>
      <w:r>
        <w:rPr>
          <w:rFonts w:hAnsi="Cambria" w:ascii="Cambria"/>
          <w:sz w:val="26"/>
          <w:szCs w:val="26"/>
        </w:rPr>
        <w:tab/>
      </w:r>
      <w:r>
        <w:rPr>
          <w:rFonts w:hAnsi="Cambria" w:ascii="Cambria"/>
          <w:b/>
          <w:sz w:val="26"/>
          <w:szCs w:val="26"/>
        </w:rPr>
        <w:t xml:space="preserve">6.1. Obveze prema knjigovodstvenoj evidenciji </w:t>
      </w:r>
    </w:p>
    <w:p w:rsidRDefault="006B63B5" w:rsidP="006B63B5" w:rsidR="006B63B5">
      <w:pPr>
        <w:tabs>
          <w:tab w:pos="0" w:val="left"/>
        </w:tabs>
        <w:spacing w:lineRule="auto" w:line="240" w:after="0"/>
        <w:jc w:val="both"/>
        <w:rPr>
          <w:rFonts w:hAnsi="Cambria" w:ascii="Cambria"/>
          <w:sz w:val="26"/>
          <w:szCs w:val="26"/>
        </w:rPr>
      </w:pPr>
      <w:r>
        <w:rPr>
          <w:rFonts w:hAnsi="Cambria" w:ascii="Cambria"/>
          <w:sz w:val="26"/>
          <w:szCs w:val="26"/>
        </w:rPr>
        <w:tab/>
        <w:t xml:space="preserve">Tražbine vjerovnika stečajnog dužnika prema podacima iz knjigovodstvene evidencije nisu dostupni stečajnom upravitelju. U izvještaju dužnika u prethodno spomenutom postupku predstečajne nagodbe na dan 17. lipnja 2013. godine navodi se iznos od 1.784.644,12 kn obveza prema dobavljačima te 968.699,23 kn obveza prema financijskim institucijama. </w:t>
      </w:r>
    </w:p>
    <w:p w:rsidRDefault="006B63B5" w:rsidP="006B63B5" w:rsidR="006B63B5">
      <w:pPr>
        <w:pStyle w:val="Odlomakpopisa"/>
        <w:tabs>
          <w:tab w:pos="0" w:val="left"/>
        </w:tabs>
        <w:spacing w:lineRule="auto" w:line="240" w:after="0"/>
        <w:jc w:val="both"/>
        <w:rPr>
          <w:rFonts w:hAnsi="Cambria" w:ascii="Cambria"/>
          <w:sz w:val="26"/>
          <w:szCs w:val="26"/>
        </w:rPr>
      </w:pPr>
    </w:p>
    <w:p w:rsidRDefault="006B63B5" w:rsidP="006B63B5" w:rsidR="006B63B5">
      <w:pPr>
        <w:pStyle w:val="Odlomakpopisa"/>
        <w:spacing w:lineRule="auto" w:line="240" w:after="0"/>
        <w:ind w:left="360"/>
        <w:jc w:val="both"/>
        <w:rPr>
          <w:rFonts w:hAnsi="Cambria" w:ascii="Cambria"/>
          <w:b/>
          <w:bCs/>
          <w:sz w:val="26"/>
          <w:szCs w:val="26"/>
        </w:rPr>
      </w:pPr>
      <w:r>
        <w:rPr>
          <w:rFonts w:hAnsi="Cambria" w:ascii="Cambria"/>
          <w:b/>
          <w:bCs/>
          <w:sz w:val="26"/>
          <w:szCs w:val="26"/>
        </w:rPr>
        <w:tab/>
        <w:t>6.2. Obveze stečajne mase (procjena)</w:t>
      </w:r>
    </w:p>
    <w:p w:rsidRDefault="006B63B5" w:rsidP="006B63B5" w:rsidR="006B63B5">
      <w:pPr>
        <w:pStyle w:val="Odlomakpopisa"/>
        <w:numPr>
          <w:ilvl w:val="0"/>
          <w:numId w:val="4"/>
        </w:numPr>
        <w:spacing w:lineRule="auto" w:line="240" w:after="0"/>
        <w:jc w:val="both"/>
        <w:rPr>
          <w:rFonts w:hAnsi="Cambria" w:ascii="Cambria"/>
          <w:sz w:val="26"/>
          <w:szCs w:val="26"/>
        </w:rPr>
      </w:pPr>
      <w:r>
        <w:rPr>
          <w:rFonts w:hAnsi="Cambria" w:ascii="Cambria"/>
          <w:sz w:val="26"/>
          <w:szCs w:val="26"/>
        </w:rPr>
        <w:t xml:space="preserve">Troškovi stečajnog postupka iznose </w:t>
      </w:r>
      <w:r>
        <w:rPr>
          <w:rFonts w:hAnsi="Cambria" w:ascii="Cambria"/>
          <w:b/>
          <w:bCs/>
          <w:sz w:val="26"/>
          <w:szCs w:val="26"/>
        </w:rPr>
        <w:t xml:space="preserve">19.700,00 </w:t>
      </w:r>
      <w:r>
        <w:rPr>
          <w:rFonts w:hAnsi="Cambria" w:ascii="Cambria"/>
          <w:sz w:val="26"/>
          <w:szCs w:val="26"/>
        </w:rPr>
        <w:t xml:space="preserve"> kuna ukupno, a odnose se na ukupni trošak nagrade stečajnom upravitelju (17.200,00 kn) te na ostale izdatke stečajnog upravitelja (2.500,00 kn).</w:t>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p>
    <w:p w:rsidRDefault="006B63B5" w:rsidP="006B63B5" w:rsidR="006B63B5">
      <w:pPr>
        <w:pStyle w:val="Odlomakpopisa"/>
        <w:numPr>
          <w:ilvl w:val="0"/>
          <w:numId w:val="4"/>
        </w:numPr>
        <w:spacing w:lineRule="auto" w:line="240" w:after="0"/>
        <w:jc w:val="both"/>
        <w:rPr>
          <w:rFonts w:hAnsi="Cambria" w:ascii="Cambria"/>
          <w:sz w:val="26"/>
          <w:szCs w:val="26"/>
        </w:rPr>
      </w:pPr>
      <w:r>
        <w:rPr>
          <w:rFonts w:hAnsi="Cambria" w:ascii="Cambria"/>
          <w:sz w:val="26"/>
          <w:szCs w:val="26"/>
        </w:rPr>
        <w:t xml:space="preserve">Ostale obveze stečajne mase na bazi procjene da će stečajni postupak trajati daljnjih </w:t>
      </w:r>
      <w:r>
        <w:rPr>
          <w:rFonts w:hAnsi="Cambria" w:ascii="Cambria"/>
          <w:bCs/>
          <w:sz w:val="26"/>
          <w:szCs w:val="26"/>
        </w:rPr>
        <w:t>18 mjeseci</w:t>
      </w:r>
      <w:r>
        <w:rPr>
          <w:rFonts w:hAnsi="Cambria" w:ascii="Cambria"/>
          <w:sz w:val="26"/>
          <w:szCs w:val="26"/>
        </w:rPr>
        <w:t>:</w:t>
      </w:r>
    </w:p>
    <w:p w:rsidRDefault="006B63B5" w:rsidP="006B63B5" w:rsidR="006B63B5">
      <w:pPr>
        <w:pStyle w:val="Odlomakpopisa"/>
        <w:spacing w:lineRule="auto" w:line="240" w:after="0"/>
        <w:ind w:left="1353"/>
        <w:jc w:val="both"/>
        <w:rPr>
          <w:rFonts w:hAnsi="Cambria" w:ascii="Cambria"/>
          <w:sz w:val="26"/>
          <w:szCs w:val="26"/>
        </w:rPr>
      </w:pPr>
      <w:r>
        <w:rPr>
          <w:rFonts w:hAnsi="Cambria" w:ascii="Cambria"/>
          <w:sz w:val="26"/>
          <w:szCs w:val="26"/>
        </w:rPr>
        <w:tab/>
        <w:t>- knjigovodstvene usluge 9.000,00 kn</w:t>
      </w:r>
    </w:p>
    <w:p w:rsidRDefault="006B63B5" w:rsidP="006B63B5" w:rsidR="006B63B5">
      <w:pPr>
        <w:pStyle w:val="Odlomakpopisa"/>
        <w:spacing w:lineRule="auto" w:line="240" w:after="0"/>
        <w:ind w:firstLine="63" w:left="1353"/>
        <w:jc w:val="both"/>
        <w:rPr>
          <w:rFonts w:hAnsi="Cambria" w:ascii="Cambria"/>
          <w:sz w:val="26"/>
          <w:szCs w:val="26"/>
        </w:rPr>
      </w:pPr>
      <w:r>
        <w:rPr>
          <w:rFonts w:hAnsi="Cambria" w:ascii="Cambria"/>
          <w:sz w:val="26"/>
          <w:szCs w:val="26"/>
        </w:rPr>
        <w:t xml:space="preserve">- odvjetničke usluge 50.000,00 kn </w:t>
      </w:r>
    </w:p>
    <w:p w:rsidRDefault="006B63B5" w:rsidP="006B63B5" w:rsidR="006B63B5">
      <w:pPr>
        <w:pStyle w:val="Odlomakpopisa"/>
        <w:spacing w:lineRule="auto" w:line="240" w:after="0"/>
        <w:ind w:firstLine="63" w:right="-142" w:left="1353"/>
        <w:jc w:val="both"/>
        <w:rPr>
          <w:rFonts w:hAnsi="Cambria" w:ascii="Cambria"/>
          <w:sz w:val="26"/>
          <w:szCs w:val="26"/>
        </w:rPr>
      </w:pPr>
      <w:r>
        <w:rPr>
          <w:rFonts w:hAnsi="Cambria" w:ascii="Cambria"/>
          <w:sz w:val="26"/>
          <w:szCs w:val="26"/>
        </w:rPr>
        <w:t>- sitni materijalni troškovi (poštarina, uredski materijal i sl.)</w:t>
      </w:r>
    </w:p>
    <w:p w:rsidRDefault="006B63B5" w:rsidP="006B63B5" w:rsidR="006B63B5">
      <w:pPr>
        <w:pStyle w:val="Odlomakpopisa"/>
        <w:spacing w:lineRule="auto" w:line="240" w:after="0"/>
        <w:ind w:left="1353"/>
        <w:jc w:val="both"/>
        <w:rPr>
          <w:rFonts w:hAnsi="Cambria" w:ascii="Cambria"/>
          <w:sz w:val="26"/>
          <w:szCs w:val="26"/>
        </w:rPr>
      </w:pPr>
      <w:r>
        <w:rPr>
          <w:rFonts w:hAnsi="Cambria" w:ascii="Cambria"/>
          <w:sz w:val="26"/>
          <w:szCs w:val="26"/>
        </w:rPr>
        <w:tab/>
        <w:t xml:space="preserve">   1.500,00 kn</w:t>
      </w:r>
    </w:p>
    <w:p w:rsidRDefault="006B63B5" w:rsidP="006B63B5" w:rsidR="006B63B5">
      <w:pPr>
        <w:pStyle w:val="Odlomakpopisa"/>
        <w:spacing w:lineRule="auto" w:line="240" w:after="0"/>
        <w:ind w:left="1353"/>
        <w:jc w:val="both"/>
        <w:rPr>
          <w:rFonts w:hAnsi="Cambria" w:ascii="Cambria"/>
          <w:sz w:val="26"/>
          <w:szCs w:val="26"/>
        </w:rPr>
      </w:pPr>
      <w:r>
        <w:rPr>
          <w:rFonts w:hAnsi="Cambria" w:ascii="Cambria"/>
          <w:sz w:val="26"/>
          <w:szCs w:val="26"/>
        </w:rPr>
        <w:tab/>
        <w:t>- bankarske usluge 1.500,00 kn</w:t>
      </w:r>
    </w:p>
    <w:p w:rsidRDefault="006B63B5" w:rsidP="006B63B5" w:rsidR="006B63B5">
      <w:pPr>
        <w:pStyle w:val="Odlomakpopisa"/>
        <w:spacing w:lineRule="auto" w:line="240" w:after="0"/>
        <w:ind w:left="1353"/>
        <w:jc w:val="both"/>
        <w:rPr>
          <w:rFonts w:hAnsi="Cambria" w:ascii="Cambria"/>
          <w:sz w:val="26"/>
          <w:szCs w:val="26"/>
        </w:rPr>
      </w:pPr>
      <w:r>
        <w:rPr>
          <w:rFonts w:hAnsi="Cambria" w:ascii="Cambria"/>
          <w:sz w:val="26"/>
          <w:szCs w:val="26"/>
        </w:rPr>
        <w:tab/>
        <w:t>- ostali troškovi 2.000,00 kn</w:t>
      </w:r>
    </w:p>
    <w:p w:rsidRDefault="006B63B5" w:rsidP="006B63B5" w:rsidR="006B63B5">
      <w:pPr>
        <w:pStyle w:val="Odlomakpopisa"/>
        <w:tabs>
          <w:tab w:pos="1701" w:val="left"/>
          <w:tab w:pos="7088" w:val="left"/>
          <w:tab w:pos="7371" w:val="left"/>
        </w:tabs>
        <w:spacing w:lineRule="auto" w:line="240" w:after="0"/>
        <w:ind w:left="1559"/>
        <w:jc w:val="both"/>
        <w:rPr>
          <w:rFonts w:hAnsi="Cambria" w:ascii="Cambria"/>
          <w:b/>
          <w:bCs/>
          <w:sz w:val="26"/>
          <w:szCs w:val="26"/>
        </w:rPr>
      </w:pPr>
      <w:r>
        <w:rPr>
          <w:rFonts w:hAnsi="Cambria" w:ascii="Cambria"/>
          <w:b/>
          <w:bCs/>
          <w:sz w:val="26"/>
          <w:szCs w:val="26"/>
        </w:rPr>
        <w:t>Ukupno b) 64.000,00  kn</w:t>
      </w:r>
    </w:p>
    <w:p w:rsidRDefault="006B63B5" w:rsidP="006B63B5" w:rsidR="006B63B5">
      <w:pPr>
        <w:pStyle w:val="Odlomakpopisa"/>
        <w:tabs>
          <w:tab w:pos="1701" w:val="left"/>
          <w:tab w:pos="7088" w:val="left"/>
          <w:tab w:pos="7371" w:val="left"/>
        </w:tabs>
        <w:spacing w:lineRule="auto" w:line="240" w:after="0"/>
        <w:ind w:left="1559"/>
        <w:jc w:val="both"/>
        <w:rPr>
          <w:rFonts w:hAnsi="Cambria" w:ascii="Cambria"/>
          <w:b/>
          <w:bCs/>
          <w:sz w:val="26"/>
          <w:szCs w:val="26"/>
        </w:rPr>
      </w:pPr>
      <w:r>
        <w:rPr>
          <w:rFonts w:hAnsi="Cambria" w:ascii="Cambria"/>
          <w:b/>
          <w:bCs/>
          <w:sz w:val="26"/>
          <w:szCs w:val="26"/>
        </w:rPr>
        <w:t>Ukupno obveze stečajne mase (a+ b): 83.700,00 kn</w:t>
      </w:r>
    </w:p>
    <w:p w:rsidRDefault="006B63B5" w:rsidP="006B63B5" w:rsidR="006B63B5">
      <w:pPr>
        <w:pStyle w:val="Odlomakpopisa"/>
        <w:tabs>
          <w:tab w:pos="1701" w:val="left"/>
          <w:tab w:pos="7088" w:val="left"/>
          <w:tab w:pos="7371" w:val="left"/>
        </w:tabs>
        <w:spacing w:lineRule="auto" w:line="240" w:after="0"/>
        <w:jc w:val="both"/>
        <w:rPr>
          <w:rFonts w:hAnsi="Cambria" w:ascii="Cambria"/>
          <w:b/>
          <w:bCs/>
          <w:sz w:val="26"/>
          <w:szCs w:val="26"/>
        </w:rPr>
      </w:pPr>
    </w:p>
    <w:p w:rsidRDefault="006B63B5" w:rsidP="006B63B5" w:rsidR="006B63B5">
      <w:pPr>
        <w:pStyle w:val="Odlomakpopisa"/>
        <w:tabs>
          <w:tab w:pos="1701" w:val="left"/>
          <w:tab w:pos="7088" w:val="left"/>
          <w:tab w:pos="7371" w:val="left"/>
        </w:tabs>
        <w:spacing w:lineRule="auto" w:line="240" w:after="0"/>
        <w:jc w:val="both"/>
        <w:rPr>
          <w:rFonts w:hAnsi="Cambria" w:ascii="Cambria"/>
          <w:b/>
          <w:bCs/>
          <w:sz w:val="26"/>
          <w:szCs w:val="26"/>
        </w:rPr>
      </w:pPr>
      <w:r>
        <w:rPr>
          <w:rFonts w:hAnsi="Cambria" w:ascii="Cambria"/>
          <w:b/>
          <w:bCs/>
          <w:sz w:val="26"/>
          <w:szCs w:val="26"/>
        </w:rPr>
        <w:t>6.3. Obveze prema stečajnim vjerovnicima</w:t>
      </w:r>
    </w:p>
    <w:p w:rsidRDefault="006B63B5" w:rsidP="006B63B5" w:rsidR="006B63B5">
      <w:pPr>
        <w:spacing w:lineRule="auto" w:line="240" w:after="0"/>
        <w:ind w:firstLine="708" w:left="285"/>
        <w:jc w:val="both"/>
        <w:rPr>
          <w:rFonts w:hAnsi="Cambria" w:ascii="Cambria"/>
          <w:bCs/>
          <w:sz w:val="26"/>
          <w:szCs w:val="26"/>
        </w:rPr>
      </w:pPr>
      <w:r>
        <w:rPr>
          <w:rFonts w:hAnsi="Cambria" w:ascii="Cambria"/>
          <w:bCs/>
          <w:sz w:val="26"/>
          <w:szCs w:val="26"/>
        </w:rPr>
        <w:t>a) 1. viši isplatni red       290</w:t>
      </w:r>
      <w:r>
        <w:rPr>
          <w:rFonts w:cs="Calibri" w:eastAsia="Times New Roman" w:hAnsi="Cambria" w:ascii="Cambria"/>
          <w:color w:val="000000"/>
          <w:sz w:val="26"/>
          <w:szCs w:val="26"/>
          <w:lang w:eastAsia="hr-HR"/>
        </w:rPr>
        <w:t>.049,60</w:t>
      </w:r>
      <w:r>
        <w:rPr>
          <w:rFonts w:hAnsi="Cambria" w:ascii="Cambria"/>
          <w:bCs/>
          <w:sz w:val="26"/>
          <w:szCs w:val="26"/>
        </w:rPr>
        <w:t xml:space="preserve">  kn</w:t>
      </w:r>
    </w:p>
    <w:p w:rsidRDefault="006B63B5" w:rsidP="006B63B5" w:rsidR="006B63B5">
      <w:pPr>
        <w:spacing w:lineRule="auto" w:line="240" w:after="0"/>
        <w:ind w:firstLine="708" w:left="285"/>
        <w:jc w:val="both"/>
        <w:rPr>
          <w:rFonts w:hAnsi="Cambria" w:ascii="Cambria"/>
          <w:bCs/>
          <w:sz w:val="26"/>
          <w:szCs w:val="26"/>
        </w:rPr>
      </w:pPr>
      <w:r>
        <w:rPr>
          <w:rFonts w:hAnsi="Cambria" w:ascii="Cambria"/>
          <w:bCs/>
          <w:sz w:val="26"/>
          <w:szCs w:val="26"/>
        </w:rPr>
        <w:t>b) 2. viši isplatni red   1.037.828,27</w:t>
      </w:r>
      <w:r>
        <w:rPr>
          <w:rFonts w:cs="Calibri" w:eastAsia="Times New Roman" w:hAnsi="Cambria" w:ascii="Cambria"/>
          <w:color w:val="000000"/>
          <w:sz w:val="26"/>
          <w:szCs w:val="26"/>
          <w:lang w:eastAsia="hr-HR"/>
        </w:rPr>
        <w:t xml:space="preserve"> </w:t>
      </w:r>
      <w:r>
        <w:rPr>
          <w:rFonts w:hAnsi="Cambria" w:ascii="Cambria"/>
          <w:bCs/>
          <w:sz w:val="26"/>
          <w:szCs w:val="26"/>
        </w:rPr>
        <w:t>kn</w:t>
      </w:r>
    </w:p>
    <w:p w:rsidRDefault="006B63B5" w:rsidP="006B63B5" w:rsidR="006B63B5">
      <w:pPr>
        <w:spacing w:lineRule="auto" w:line="240" w:after="0"/>
        <w:ind w:firstLine="708"/>
        <w:jc w:val="both"/>
        <w:rPr>
          <w:rFonts w:hAnsi="Cambria" w:ascii="Cambria"/>
          <w:b/>
          <w:bCs/>
          <w:sz w:val="26"/>
          <w:szCs w:val="26"/>
        </w:rPr>
      </w:pPr>
    </w:p>
    <w:p w:rsidRDefault="006B63B5" w:rsidP="006B63B5" w:rsidR="006B63B5">
      <w:pPr>
        <w:spacing w:lineRule="auto" w:line="240" w:after="0"/>
        <w:ind w:firstLine="708"/>
        <w:jc w:val="both"/>
        <w:rPr>
          <w:rFonts w:hAnsi="Cambria" w:ascii="Cambria"/>
          <w:b/>
          <w:bCs/>
          <w:sz w:val="26"/>
          <w:szCs w:val="26"/>
        </w:rPr>
      </w:pPr>
      <w:r>
        <w:rPr>
          <w:rFonts w:hAnsi="Cambria" w:ascii="Cambria"/>
          <w:b/>
          <w:bCs/>
          <w:sz w:val="26"/>
          <w:szCs w:val="26"/>
        </w:rPr>
        <w:t>Ukupno obveze prema stečajnim vjerovnicima (a+b): 1.327</w:t>
      </w:r>
      <w:r>
        <w:rPr>
          <w:rFonts w:cs="Calibri" w:eastAsia="Times New Roman" w:hAnsi="Cambria" w:ascii="Cambria"/>
          <w:b/>
          <w:bCs/>
          <w:color w:val="000000"/>
          <w:sz w:val="26"/>
          <w:szCs w:val="26"/>
          <w:lang w:eastAsia="hr-HR"/>
        </w:rPr>
        <w:t>.877,87</w:t>
      </w:r>
      <w:r>
        <w:rPr>
          <w:rFonts w:hAnsi="Cambria" w:ascii="Cambria"/>
          <w:b/>
          <w:bCs/>
          <w:sz w:val="26"/>
          <w:szCs w:val="26"/>
        </w:rPr>
        <w:t xml:space="preserve"> kn </w:t>
      </w:r>
    </w:p>
    <w:p w:rsidRDefault="006B63B5" w:rsidP="006B63B5" w:rsidR="006B63B5">
      <w:pPr>
        <w:tabs>
          <w:tab w:pos="1701" w:val="left"/>
          <w:tab w:pos="7088" w:val="left"/>
          <w:tab w:pos="7371" w:val="left"/>
        </w:tabs>
        <w:spacing w:lineRule="auto" w:line="240" w:after="0"/>
        <w:jc w:val="both"/>
        <w:rPr>
          <w:rFonts w:hAnsi="Cambria" w:ascii="Cambria"/>
          <w:b/>
          <w:bCs/>
          <w:sz w:val="26"/>
          <w:szCs w:val="26"/>
        </w:rPr>
      </w:pPr>
    </w:p>
    <w:p w:rsidRDefault="006B63B5" w:rsidP="006B63B5" w:rsidR="006B63B5">
      <w:pPr>
        <w:tabs>
          <w:tab w:pos="1701" w:val="left"/>
          <w:tab w:pos="7088" w:val="left"/>
          <w:tab w:pos="7371" w:val="left"/>
        </w:tabs>
        <w:spacing w:lineRule="auto" w:line="240" w:after="0"/>
        <w:jc w:val="both"/>
        <w:rPr>
          <w:rFonts w:hAnsi="Cambria" w:ascii="Cambria"/>
          <w:b/>
          <w:bCs/>
          <w:sz w:val="26"/>
          <w:szCs w:val="26"/>
        </w:rPr>
      </w:pPr>
    </w:p>
    <w:p w:rsidRDefault="006B63B5" w:rsidP="006B63B5" w:rsidR="006B63B5">
      <w:pPr>
        <w:tabs>
          <w:tab w:pos="7088" w:val="left"/>
          <w:tab w:pos="7371" w:val="left"/>
        </w:tabs>
        <w:spacing w:lineRule="auto" w:line="240" w:after="0"/>
        <w:ind w:firstLine="567"/>
        <w:jc w:val="both"/>
        <w:rPr>
          <w:rFonts w:hAnsi="Cambria" w:ascii="Cambria"/>
          <w:b/>
          <w:bCs/>
          <w:sz w:val="26"/>
          <w:szCs w:val="26"/>
        </w:rPr>
      </w:pPr>
      <w:r>
        <w:rPr>
          <w:rFonts w:hAnsi="Cambria" w:ascii="Cambria"/>
          <w:b/>
          <w:bCs/>
          <w:sz w:val="26"/>
          <w:szCs w:val="26"/>
        </w:rPr>
        <w:t>7. PRIJAVE TRAŽBINA I OBAVIJESTI O RAZLUČNIM  I IZLUČNIM PRAVIMA</w:t>
      </w:r>
    </w:p>
    <w:p w:rsidRDefault="006B63B5" w:rsidP="006B63B5" w:rsidR="006B63B5">
      <w:pPr>
        <w:tabs>
          <w:tab w:pos="7088" w:val="left"/>
          <w:tab w:pos="7371" w:val="left"/>
        </w:tabs>
        <w:spacing w:lineRule="auto" w:line="240" w:after="0"/>
        <w:ind w:left="720"/>
        <w:jc w:val="both"/>
        <w:rPr>
          <w:rFonts w:hAnsi="Cambria" w:ascii="Cambria"/>
          <w:sz w:val="26"/>
          <w:szCs w:val="26"/>
        </w:rPr>
      </w:pPr>
    </w:p>
    <w:p w:rsidRDefault="006B63B5" w:rsidP="006B63B5" w:rsidR="006B63B5">
      <w:pPr>
        <w:spacing w:lineRule="auto" w:line="240" w:after="0"/>
        <w:ind w:firstLine="567"/>
        <w:jc w:val="both"/>
        <w:rPr>
          <w:rFonts w:hAnsi="Cambria" w:ascii="Cambria"/>
          <w:sz w:val="26"/>
          <w:szCs w:val="26"/>
        </w:rPr>
      </w:pPr>
      <w:r>
        <w:rPr>
          <w:rFonts w:hAnsi="Cambria" w:ascii="Cambria"/>
          <w:sz w:val="26"/>
          <w:szCs w:val="26"/>
        </w:rPr>
        <w:tab/>
        <w:t xml:space="preserve">Do dana sastavljanja ovog izvještaja, a u zakonskom roku </w:t>
      </w:r>
      <w:r>
        <w:rPr>
          <w:rFonts w:hAnsi="Cambria" w:ascii="Cambria"/>
          <w:b/>
          <w:sz w:val="26"/>
          <w:szCs w:val="26"/>
        </w:rPr>
        <w:t>prijave tražbina</w:t>
      </w:r>
      <w:r>
        <w:rPr>
          <w:rFonts w:hAnsi="Cambria" w:ascii="Cambria"/>
          <w:sz w:val="26"/>
          <w:szCs w:val="26"/>
        </w:rPr>
        <w:t xml:space="preserve"> podnijelo je sedam stečajnih vjerovnika. Njihove tražbine razvrstane su u 1. i 2. viši isplatni red te ukupno potražuju 1.327.877,87 kuna.</w:t>
      </w:r>
    </w:p>
    <w:p w:rsidRDefault="006B63B5" w:rsidP="006B63B5" w:rsidR="006B63B5">
      <w:pPr>
        <w:spacing w:lineRule="auto" w:line="240" w:after="0"/>
        <w:ind w:firstLine="567"/>
        <w:jc w:val="both"/>
        <w:rPr>
          <w:rFonts w:hAnsi="Cambria" w:ascii="Cambria"/>
          <w:sz w:val="26"/>
          <w:szCs w:val="26"/>
        </w:rPr>
      </w:pPr>
    </w:p>
    <w:p w:rsidRDefault="006B63B5" w:rsidP="006B63B5" w:rsidR="006B63B5">
      <w:pPr>
        <w:spacing w:lineRule="auto" w:line="240" w:after="0"/>
        <w:ind w:firstLine="567"/>
        <w:jc w:val="both"/>
        <w:rPr>
          <w:rFonts w:hAnsi="Cambria" w:ascii="Cambria"/>
          <w:sz w:val="26"/>
          <w:szCs w:val="26"/>
        </w:rPr>
      </w:pPr>
      <w:r>
        <w:rPr>
          <w:rFonts w:hAnsi="Cambria" w:ascii="Cambria"/>
          <w:b/>
          <w:sz w:val="26"/>
          <w:szCs w:val="26"/>
        </w:rPr>
        <w:lastRenderedPageBreak/>
        <w:t>Obavijest o razlučnom pravu</w:t>
      </w:r>
      <w:r>
        <w:rPr>
          <w:rFonts w:hAnsi="Cambria" w:ascii="Cambria"/>
          <w:sz w:val="26"/>
          <w:szCs w:val="26"/>
        </w:rPr>
        <w:t xml:space="preserve"> na pokretninama u vlasništvu stečajnog dužnika podnijela je Republika Hrvatska, Ministarstvo financija, Porezna uprava po ŽDO u Bjelovaru za iznos 96.339,35 i to na imovini stečajnog dužnika iz točke 5.2 ovog izvještaja.</w:t>
      </w:r>
    </w:p>
    <w:p w:rsidRDefault="006B63B5" w:rsidP="006B63B5" w:rsidR="006B63B5">
      <w:pPr>
        <w:spacing w:lineRule="auto" w:line="240" w:after="0"/>
        <w:ind w:firstLine="567"/>
        <w:jc w:val="both"/>
        <w:rPr>
          <w:rFonts w:hAnsi="Cambria" w:ascii="Cambria"/>
          <w:sz w:val="26"/>
          <w:szCs w:val="26"/>
        </w:rPr>
      </w:pPr>
    </w:p>
    <w:p w:rsidRDefault="006B63B5" w:rsidP="006B63B5" w:rsidR="006B63B5">
      <w:pPr>
        <w:spacing w:lineRule="auto" w:line="240" w:after="0"/>
        <w:ind w:firstLine="567"/>
        <w:jc w:val="both"/>
        <w:rPr>
          <w:rFonts w:eastAsia="Times New Roman" w:hAnsi="Cambria" w:ascii="Cambria"/>
          <w:sz w:val="26"/>
          <w:szCs w:val="26"/>
          <w:lang w:eastAsia="hr-HR"/>
        </w:rPr>
      </w:pPr>
      <w:r>
        <w:rPr>
          <w:rFonts w:eastAsia="Times New Roman" w:hAnsi="Cambria" w:ascii="Cambria"/>
          <w:sz w:val="26"/>
          <w:szCs w:val="26"/>
          <w:lang w:eastAsia="hr-HR"/>
        </w:rPr>
        <w:t xml:space="preserve">Stečajni upravitelj nije zaprimio niti jednu prijavu o postojanju eventualnih </w:t>
      </w:r>
      <w:r>
        <w:rPr>
          <w:rFonts w:eastAsia="Times New Roman" w:hAnsi="Cambria" w:ascii="Cambria"/>
          <w:b/>
          <w:sz w:val="26"/>
          <w:szCs w:val="26"/>
          <w:lang w:eastAsia="hr-HR"/>
        </w:rPr>
        <w:t>izlučnih prava</w:t>
      </w:r>
      <w:r>
        <w:rPr>
          <w:rFonts w:eastAsia="Times New Roman" w:hAnsi="Cambria" w:ascii="Cambria"/>
          <w:sz w:val="26"/>
          <w:szCs w:val="26"/>
          <w:lang w:eastAsia="hr-HR"/>
        </w:rPr>
        <w:t xml:space="preserve"> na imovini stečajnog dužnika.</w:t>
      </w:r>
    </w:p>
    <w:p w:rsidRDefault="006B63B5" w:rsidP="006B63B5" w:rsidR="006B63B5">
      <w:pPr>
        <w:pStyle w:val="Odlomakpopisa"/>
        <w:tabs>
          <w:tab w:pos="1701" w:val="left"/>
          <w:tab w:pos="7088" w:val="left"/>
          <w:tab w:pos="7371" w:val="left"/>
        </w:tabs>
        <w:spacing w:lineRule="auto" w:line="240" w:after="0"/>
        <w:ind w:firstLine="567" w:left="0"/>
        <w:jc w:val="both"/>
        <w:rPr>
          <w:rFonts w:hAnsi="Cambria" w:ascii="Cambria"/>
          <w:b/>
          <w:bCs/>
          <w:sz w:val="26"/>
          <w:szCs w:val="26"/>
        </w:rPr>
      </w:pPr>
      <w:r>
        <w:rPr>
          <w:rFonts w:hAnsi="Cambria" w:ascii="Cambria"/>
          <w:b/>
          <w:bCs/>
          <w:sz w:val="26"/>
          <w:szCs w:val="26"/>
        </w:rPr>
        <w:t>8. SUDSKI POSTUPCI U TIJEKU</w:t>
      </w:r>
    </w:p>
    <w:p w:rsidRDefault="006B63B5" w:rsidP="006B63B5" w:rsidR="006B63B5">
      <w:pPr>
        <w:pStyle w:val="Odlomakpopisa"/>
        <w:tabs>
          <w:tab w:pos="1701" w:val="left"/>
          <w:tab w:pos="7088" w:val="left"/>
          <w:tab w:pos="7371" w:val="left"/>
        </w:tabs>
        <w:spacing w:lineRule="auto" w:line="240" w:after="0"/>
        <w:jc w:val="both"/>
        <w:rPr>
          <w:rFonts w:hAnsi="Cambria" w:ascii="Cambria"/>
          <w:b/>
          <w:bCs/>
          <w:sz w:val="26"/>
          <w:szCs w:val="26"/>
        </w:rPr>
      </w:pPr>
    </w:p>
    <w:p w:rsidRDefault="006B63B5" w:rsidP="006B63B5" w:rsidR="006B63B5">
      <w:pPr>
        <w:spacing w:lineRule="auto" w:line="240" w:after="0"/>
        <w:ind w:firstLine="567"/>
        <w:jc w:val="both"/>
        <w:rPr>
          <w:rFonts w:hAnsi="Cambria" w:ascii="Cambria"/>
          <w:sz w:val="26"/>
          <w:szCs w:val="26"/>
        </w:rPr>
      </w:pPr>
      <w:r>
        <w:rPr>
          <w:rFonts w:hAnsi="Cambria" w:ascii="Cambria"/>
          <w:sz w:val="26"/>
          <w:szCs w:val="26"/>
        </w:rPr>
        <w:t xml:space="preserve">Prema saznanjima kojima raspolaže stečajni upravitelj ne postoje drugi sudski postupci u tijeku u kojima bi stečajni dužnik bio tuženik ili tužitelj, osim već navedenih u točki 3. ovog izvještaja. </w:t>
      </w:r>
    </w:p>
    <w:p w:rsidRDefault="006B63B5" w:rsidP="006B63B5" w:rsidR="006B63B5">
      <w:pPr>
        <w:tabs>
          <w:tab w:pos="1701" w:val="left"/>
          <w:tab w:pos="7088" w:val="left"/>
          <w:tab w:pos="7371" w:val="left"/>
        </w:tabs>
        <w:spacing w:lineRule="auto" w:line="240" w:after="0"/>
        <w:ind w:left="360"/>
        <w:jc w:val="both"/>
        <w:rPr>
          <w:rFonts w:hAnsi="Cambria" w:ascii="Cambria"/>
          <w:sz w:val="26"/>
          <w:szCs w:val="26"/>
        </w:rPr>
      </w:pPr>
    </w:p>
    <w:p w:rsidRDefault="006B63B5" w:rsidP="006B63B5" w:rsidR="006B63B5">
      <w:pPr>
        <w:tabs>
          <w:tab w:pos="1701" w:val="left"/>
          <w:tab w:pos="7088" w:val="left"/>
          <w:tab w:pos="7371" w:val="left"/>
        </w:tabs>
        <w:spacing w:lineRule="auto" w:line="240" w:after="0"/>
        <w:ind w:left="360"/>
        <w:jc w:val="both"/>
        <w:rPr>
          <w:rFonts w:hAnsi="Cambria" w:ascii="Cambria"/>
          <w:sz w:val="26"/>
          <w:szCs w:val="26"/>
        </w:rPr>
      </w:pPr>
    </w:p>
    <w:p w:rsidRDefault="006B63B5" w:rsidP="006B63B5" w:rsidR="006B63B5">
      <w:pPr>
        <w:pStyle w:val="Odlomakpopisa"/>
        <w:tabs>
          <w:tab w:pos="1701" w:val="left"/>
          <w:tab w:pos="7088" w:val="left"/>
          <w:tab w:pos="7371" w:val="left"/>
        </w:tabs>
        <w:spacing w:lineRule="auto" w:line="240" w:after="0"/>
        <w:ind w:firstLine="567" w:left="0"/>
        <w:jc w:val="both"/>
        <w:rPr>
          <w:rFonts w:hAnsi="Cambria" w:ascii="Cambria"/>
          <w:b/>
          <w:bCs/>
          <w:sz w:val="26"/>
          <w:szCs w:val="26"/>
        </w:rPr>
      </w:pPr>
      <w:r>
        <w:rPr>
          <w:rFonts w:hAnsi="Cambria" w:ascii="Cambria"/>
          <w:b/>
          <w:bCs/>
          <w:sz w:val="26"/>
          <w:szCs w:val="26"/>
        </w:rPr>
        <w:t>9. PRIJEDLOZI ODLUKA</w:t>
      </w:r>
    </w:p>
    <w:p w:rsidRDefault="006B63B5" w:rsidP="006B63B5" w:rsidR="006B63B5">
      <w:pPr>
        <w:pStyle w:val="Odlomakpopisa"/>
        <w:tabs>
          <w:tab w:pos="1701" w:val="left"/>
          <w:tab w:pos="7088" w:val="left"/>
          <w:tab w:pos="7371" w:val="left"/>
        </w:tabs>
        <w:spacing w:lineRule="auto" w:line="240" w:after="0"/>
        <w:ind w:left="360"/>
        <w:jc w:val="both"/>
        <w:rPr>
          <w:rFonts w:hAnsi="Cambria" w:ascii="Cambria"/>
          <w:b/>
          <w:bCs/>
          <w:sz w:val="26"/>
          <w:szCs w:val="26"/>
        </w:rPr>
      </w:pPr>
    </w:p>
    <w:p w:rsidRDefault="006B63B5" w:rsidP="006B63B5" w:rsidR="006B63B5">
      <w:pPr>
        <w:spacing w:lineRule="auto" w:line="240" w:after="0"/>
        <w:ind w:left="360"/>
        <w:jc w:val="both"/>
        <w:rPr>
          <w:rFonts w:hAnsi="Cambria" w:ascii="Cambria"/>
          <w:sz w:val="26"/>
          <w:szCs w:val="26"/>
        </w:rPr>
      </w:pPr>
      <w:r>
        <w:rPr>
          <w:rFonts w:hAnsi="Cambria" w:ascii="Cambria"/>
          <w:sz w:val="26"/>
          <w:szCs w:val="26"/>
        </w:rPr>
        <w:tab/>
        <w:t>Slijedom navedenog, stečajni upravitelj predlaže da vjerovnici na izvještajnom ročištu donesu slijedeće odluke:</w:t>
      </w:r>
    </w:p>
    <w:p w:rsidRDefault="006B63B5" w:rsidP="006B63B5" w:rsidR="006B63B5">
      <w:pPr>
        <w:pStyle w:val="Odlomakpopisa"/>
        <w:numPr>
          <w:ilvl w:val="0"/>
          <w:numId w:val="5"/>
        </w:numPr>
        <w:spacing w:lineRule="auto" w:line="240" w:after="0"/>
        <w:jc w:val="both"/>
        <w:rPr>
          <w:rFonts w:hAnsi="Cambria" w:ascii="Cambria"/>
          <w:sz w:val="26"/>
          <w:szCs w:val="26"/>
        </w:rPr>
      </w:pPr>
      <w:r>
        <w:rPr>
          <w:rFonts w:hAnsi="Cambria" w:ascii="Cambria"/>
          <w:sz w:val="26"/>
          <w:szCs w:val="26"/>
        </w:rPr>
        <w:t>Prihvaća se u cijelosti izvještaj stečajnog upravitelja o gospodarskom položaju stečajnog dužnika i njegovim uzrocima i odobravaju se do sada poduzete radnje stečajnog upravitelja,</w:t>
      </w:r>
    </w:p>
    <w:p w:rsidRDefault="006B63B5" w:rsidP="006B63B5" w:rsidR="006B63B5">
      <w:pPr>
        <w:numPr>
          <w:ilvl w:val="0"/>
          <w:numId w:val="5"/>
        </w:numPr>
        <w:spacing w:lineRule="auto" w:line="240" w:after="0"/>
        <w:jc w:val="both"/>
        <w:rPr>
          <w:rFonts w:hAnsi="Cambria" w:ascii="Cambria"/>
          <w:sz w:val="26"/>
          <w:szCs w:val="26"/>
        </w:rPr>
      </w:pPr>
      <w:r>
        <w:rPr>
          <w:rFonts w:cs="Calibri" w:hAnsi="Cambria" w:ascii="Cambria"/>
          <w:sz w:val="26"/>
          <w:szCs w:val="26"/>
        </w:rPr>
        <w:t>Nekretnine stečajnog dužnika (suvlasnički dijelovi) unovčiti će stečajni upravitelj neposrednom pogodbom tako da će ponuditi kupnju istih najvećem (ili najvećima) suvlasnicima na predmetnim nekretninama, a po izvršenoj procjeni vrijednosti nekretnina. Ukoliko se nekretnine ne unovče na predmetni način ovlašćuje se stečajni upravitelj pokrenuti postupak sudskog (civilnog) razvrgnuća suvlasništva uz solidarno podmirenje prethodnih troškova navedenog postupka od strane stečajnih vjerovnika,</w:t>
      </w:r>
    </w:p>
    <w:p w:rsidRDefault="006B63B5" w:rsidP="006B63B5" w:rsidR="006B63B5">
      <w:pPr>
        <w:pStyle w:val="Odlomakpopisa"/>
        <w:numPr>
          <w:ilvl w:val="0"/>
          <w:numId w:val="5"/>
        </w:numPr>
        <w:spacing w:lineRule="auto" w:line="240" w:after="0"/>
        <w:jc w:val="both"/>
        <w:rPr>
          <w:rFonts w:hAnsi="Cambria" w:ascii="Cambria"/>
          <w:sz w:val="26"/>
          <w:szCs w:val="26"/>
        </w:rPr>
      </w:pPr>
      <w:r>
        <w:rPr>
          <w:rFonts w:hAnsi="Cambria" w:ascii="Cambria"/>
          <w:sz w:val="26"/>
          <w:szCs w:val="26"/>
        </w:rPr>
        <w:t>U ovom stečajnom postupku neće se osnivati odbor vjerovnika zbog malog broj stečajnih vjerovnika,</w:t>
      </w:r>
    </w:p>
    <w:p w:rsidRDefault="006B63B5" w:rsidP="006B63B5" w:rsidR="006B63B5">
      <w:pPr>
        <w:pStyle w:val="Odlomakpopisa"/>
        <w:numPr>
          <w:ilvl w:val="0"/>
          <w:numId w:val="5"/>
        </w:numPr>
        <w:spacing w:lineRule="auto" w:line="240" w:after="0"/>
        <w:jc w:val="both"/>
        <w:rPr>
          <w:rFonts w:hAnsi="Cambria" w:ascii="Cambria"/>
          <w:sz w:val="26"/>
          <w:szCs w:val="26"/>
        </w:rPr>
      </w:pPr>
      <w:r>
        <w:rPr>
          <w:rFonts w:hAnsi="Cambria" w:ascii="Cambria"/>
          <w:sz w:val="26"/>
          <w:szCs w:val="26"/>
        </w:rPr>
        <w:t xml:space="preserve">Odobrava se stečajnom upravitelju da u ime stečajnog dužnika zaključi ugovor o obavljanju knjigovodstvenih usluga do maksimalne vrijednosti usluge u mjesečnoj visini od 500,00 kn s uključenim porezom na dodanu vrijednost uz klauzulu plaćanja usluge po unovčenju imovine ili znatnijeg dijela imovine koja čini stečajnu masu. </w:t>
      </w:r>
    </w:p>
    <w:p w:rsidRDefault="006B63B5" w:rsidP="006B63B5" w:rsidR="006B63B5">
      <w:pPr>
        <w:pStyle w:val="Odlomakpopisa"/>
        <w:spacing w:lineRule="auto" w:line="240" w:after="0"/>
        <w:jc w:val="both"/>
        <w:rPr>
          <w:rFonts w:hAnsi="Cambria" w:ascii="Cambria"/>
          <w:sz w:val="26"/>
          <w:szCs w:val="26"/>
        </w:rPr>
      </w:pPr>
    </w:p>
    <w:p w:rsidRDefault="006B63B5" w:rsidP="006B63B5" w:rsidR="006B63B5">
      <w:pPr>
        <w:pStyle w:val="Odlomakpopisa"/>
        <w:spacing w:lineRule="auto" w:line="240" w:after="0"/>
        <w:jc w:val="both"/>
        <w:rPr>
          <w:rFonts w:hAnsi="Cambria" w:ascii="Cambria"/>
          <w:sz w:val="26"/>
          <w:szCs w:val="26"/>
        </w:rPr>
      </w:pPr>
      <w:r>
        <w:rPr>
          <w:rFonts w:hAnsi="Cambria" w:ascii="Cambria"/>
          <w:sz w:val="26"/>
          <w:szCs w:val="26"/>
        </w:rPr>
        <w:t xml:space="preserve"> </w:t>
      </w:r>
    </w:p>
    <w:p w:rsidRDefault="006B63B5" w:rsidP="006B63B5" w:rsidR="006B63B5">
      <w:pPr>
        <w:pStyle w:val="Odlomakpopisa"/>
        <w:spacing w:lineRule="auto" w:line="240" w:after="0"/>
        <w:jc w:val="both"/>
        <w:rPr>
          <w:rFonts w:hAnsi="Cambria" w:ascii="Cambria"/>
          <w:sz w:val="26"/>
          <w:szCs w:val="26"/>
        </w:rPr>
      </w:pPr>
    </w:p>
    <w:p w:rsidRDefault="006B63B5" w:rsidP="006B63B5" w:rsidR="006B63B5">
      <w:pPr>
        <w:pStyle w:val="Odlomakpopisa"/>
        <w:spacing w:lineRule="auto" w:line="240" w:after="0"/>
        <w:ind w:left="1080"/>
        <w:jc w:val="both"/>
        <w:rPr>
          <w:rFonts w:hAnsi="Cambria" w:ascii="Cambria"/>
          <w:sz w:val="26"/>
          <w:szCs w:val="26"/>
        </w:rPr>
      </w:pP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t>Stečajni  upravitelj</w:t>
      </w:r>
    </w:p>
    <w:p w:rsidRDefault="006B63B5" w:rsidP="006B63B5" w:rsidR="006B63B5">
      <w:pPr>
        <w:pStyle w:val="Odlomakpopisa"/>
        <w:spacing w:lineRule="auto" w:line="240" w:after="0"/>
        <w:ind w:left="1080"/>
        <w:jc w:val="both"/>
        <w:rPr>
          <w:rFonts w:hAnsi="Cambria" w:ascii="Cambria"/>
          <w:sz w:val="26"/>
          <w:szCs w:val="26"/>
        </w:rPr>
      </w:pP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t xml:space="preserve">Vinko Pečanić </w:t>
      </w:r>
    </w:p>
    <w:p w:rsidRDefault="00E639F6" w:rsidR="00E639F6"/>
    <w:sectPr w:rsidR="00E639F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684541"/>
    <w:multiLevelType w:val="hybridMultilevel"/>
    <w:tmpl w:val="27B83714"/>
    <w:lvl w:tplc="2A2C61E0"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44936DDB"/>
    <w:multiLevelType w:val="multilevel"/>
    <w:tmpl w:val="7C485978"/>
    <w:lvl w:ilvl="0">
      <w:start w:val="5"/>
      <w:numFmt w:val="decimal"/>
      <w:lvlText w:val="%1"/>
      <w:lvlJc w:val="left"/>
      <w:pPr>
        <w:ind w:hanging="372" w:left="372"/>
      </w:pPr>
    </w:lvl>
    <w:lvl w:ilvl="1">
      <w:start w:val="3"/>
      <w:numFmt w:val="decimal"/>
      <w:lvlText w:val="%1.%2"/>
      <w:lvlJc w:val="left"/>
      <w:pPr>
        <w:ind w:hanging="720" w:left="1287"/>
      </w:pPr>
    </w:lvl>
    <w:lvl w:ilvl="2">
      <w:start w:val="1"/>
      <w:numFmt w:val="decimal"/>
      <w:lvlText w:val="%1.%2.%3"/>
      <w:lvlJc w:val="left"/>
      <w:pPr>
        <w:ind w:hanging="720" w:left="1854"/>
      </w:pPr>
    </w:lvl>
    <w:lvl w:ilvl="3">
      <w:start w:val="1"/>
      <w:numFmt w:val="decimal"/>
      <w:lvlText w:val="%1.%2.%3.%4"/>
      <w:lvlJc w:val="left"/>
      <w:pPr>
        <w:ind w:hanging="1080" w:left="2781"/>
      </w:pPr>
    </w:lvl>
    <w:lvl w:ilvl="4">
      <w:start w:val="1"/>
      <w:numFmt w:val="decimal"/>
      <w:lvlText w:val="%1.%2.%3.%4.%5"/>
      <w:lvlJc w:val="left"/>
      <w:pPr>
        <w:ind w:hanging="1080" w:left="3348"/>
      </w:pPr>
    </w:lvl>
    <w:lvl w:ilvl="5">
      <w:start w:val="1"/>
      <w:numFmt w:val="decimal"/>
      <w:lvlText w:val="%1.%2.%3.%4.%5.%6"/>
      <w:lvlJc w:val="left"/>
      <w:pPr>
        <w:ind w:hanging="1440" w:left="4275"/>
      </w:pPr>
    </w:lvl>
    <w:lvl w:ilvl="6">
      <w:start w:val="1"/>
      <w:numFmt w:val="decimal"/>
      <w:lvlText w:val="%1.%2.%3.%4.%5.%6.%7"/>
      <w:lvlJc w:val="left"/>
      <w:pPr>
        <w:ind w:hanging="1800" w:left="5202"/>
      </w:pPr>
    </w:lvl>
    <w:lvl w:ilvl="7">
      <w:start w:val="1"/>
      <w:numFmt w:val="decimal"/>
      <w:lvlText w:val="%1.%2.%3.%4.%5.%6.%7.%8"/>
      <w:lvlJc w:val="left"/>
      <w:pPr>
        <w:ind w:hanging="1800" w:left="5769"/>
      </w:pPr>
    </w:lvl>
    <w:lvl w:ilvl="8">
      <w:start w:val="1"/>
      <w:numFmt w:val="decimal"/>
      <w:lvlText w:val="%1.%2.%3.%4.%5.%6.%7.%8.%9"/>
      <w:lvlJc w:val="left"/>
      <w:pPr>
        <w:ind w:hanging="2160" w:left="6696"/>
      </w:pPr>
    </w:lvl>
  </w:abstractNum>
  <w:abstractNum w:abstractNumId="2">
    <w:nsid w:val="536A4439"/>
    <w:multiLevelType w:val="hybridMultilevel"/>
    <w:tmpl w:val="8B4AF7DC"/>
    <w:lvl w:tplc="6DE67B22" w:ilvl="0">
      <w:start w:val="1"/>
      <w:numFmt w:val="lowerLetter"/>
      <w:lvlText w:val="%1)"/>
      <w:lvlJc w:val="left"/>
      <w:pPr>
        <w:ind w:hanging="360" w:left="1353"/>
      </w:pPr>
      <w:rPr>
        <w:b/>
        <w:bCs/>
      </w:rPr>
    </w:lvl>
    <w:lvl w:tplc="041A0019" w:ilvl="1">
      <w:start w:val="1"/>
      <w:numFmt w:val="lowerLetter"/>
      <w:lvlText w:val="%2."/>
      <w:lvlJc w:val="left"/>
      <w:pPr>
        <w:ind w:hanging="360" w:left="2073"/>
      </w:pPr>
    </w:lvl>
    <w:lvl w:tplc="041A001B" w:ilvl="2">
      <w:start w:val="1"/>
      <w:numFmt w:val="lowerRoman"/>
      <w:lvlText w:val="%3."/>
      <w:lvlJc w:val="right"/>
      <w:pPr>
        <w:ind w:hanging="180" w:left="2793"/>
      </w:pPr>
    </w:lvl>
    <w:lvl w:tplc="041A000F" w:ilvl="3">
      <w:start w:val="1"/>
      <w:numFmt w:val="decimal"/>
      <w:lvlText w:val="%4."/>
      <w:lvlJc w:val="left"/>
      <w:pPr>
        <w:ind w:hanging="360" w:left="3513"/>
      </w:pPr>
    </w:lvl>
    <w:lvl w:tplc="041A0019" w:ilvl="4">
      <w:start w:val="1"/>
      <w:numFmt w:val="lowerLetter"/>
      <w:lvlText w:val="%5."/>
      <w:lvlJc w:val="left"/>
      <w:pPr>
        <w:ind w:hanging="360" w:left="4233"/>
      </w:pPr>
    </w:lvl>
    <w:lvl w:tplc="041A001B" w:ilvl="5">
      <w:start w:val="1"/>
      <w:numFmt w:val="lowerRoman"/>
      <w:lvlText w:val="%6."/>
      <w:lvlJc w:val="right"/>
      <w:pPr>
        <w:ind w:hanging="180" w:left="4953"/>
      </w:pPr>
    </w:lvl>
    <w:lvl w:tplc="041A000F" w:ilvl="6">
      <w:start w:val="1"/>
      <w:numFmt w:val="decimal"/>
      <w:lvlText w:val="%7."/>
      <w:lvlJc w:val="left"/>
      <w:pPr>
        <w:ind w:hanging="360" w:left="5673"/>
      </w:pPr>
    </w:lvl>
    <w:lvl w:tplc="041A0019" w:ilvl="7">
      <w:start w:val="1"/>
      <w:numFmt w:val="lowerLetter"/>
      <w:lvlText w:val="%8."/>
      <w:lvlJc w:val="left"/>
      <w:pPr>
        <w:ind w:hanging="360" w:left="6393"/>
      </w:pPr>
    </w:lvl>
    <w:lvl w:tplc="041A001B" w:ilvl="8">
      <w:start w:val="1"/>
      <w:numFmt w:val="lowerRoman"/>
      <w:lvlText w:val="%9."/>
      <w:lvlJc w:val="right"/>
      <w:pPr>
        <w:ind w:hanging="180" w:left="7113"/>
      </w:pPr>
    </w:lvl>
  </w:abstractNum>
  <w:abstractNum w:abstractNumId="3">
    <w:nsid w:val="6DC60815"/>
    <w:multiLevelType w:val="hybridMultilevel"/>
    <w:tmpl w:val="B804F56C"/>
    <w:lvl w:tplc="E7BEF28E" w:ilvl="0">
      <w:start w:val="11"/>
      <w:numFmt w:val="bullet"/>
      <w:lvlText w:val="-"/>
      <w:lvlJc w:val="left"/>
      <w:pPr>
        <w:ind w:hanging="360" w:left="1260"/>
      </w:pPr>
      <w:rPr>
        <w:rFonts w:cs="Times New Roman" w:eastAsia="Times New Roman" w:hAnsi="Times New Roman" w:ascii="Times New Roman" w:hint="default"/>
      </w:rPr>
    </w:lvl>
    <w:lvl w:tplc="041A0003" w:ilvl="1">
      <w:start w:val="1"/>
      <w:numFmt w:val="bullet"/>
      <w:lvlText w:val="o"/>
      <w:lvlJc w:val="left"/>
      <w:pPr>
        <w:ind w:hanging="360" w:left="1980"/>
      </w:pPr>
      <w:rPr>
        <w:rFonts w:cs="Courier New" w:hAnsi="Courier New" w:ascii="Courier New" w:hint="default"/>
      </w:rPr>
    </w:lvl>
    <w:lvl w:tplc="041A0005" w:ilvl="2">
      <w:start w:val="1"/>
      <w:numFmt w:val="bullet"/>
      <w:lvlText w:val=""/>
      <w:lvlJc w:val="left"/>
      <w:pPr>
        <w:ind w:hanging="360" w:left="2700"/>
      </w:pPr>
      <w:rPr>
        <w:rFonts w:hAnsi="Wingdings" w:ascii="Wingdings" w:hint="default"/>
      </w:rPr>
    </w:lvl>
    <w:lvl w:tplc="041A0001" w:ilvl="3">
      <w:start w:val="1"/>
      <w:numFmt w:val="bullet"/>
      <w:lvlText w:val=""/>
      <w:lvlJc w:val="left"/>
      <w:pPr>
        <w:ind w:hanging="360" w:left="3420"/>
      </w:pPr>
      <w:rPr>
        <w:rFonts w:hAnsi="Symbol" w:ascii="Symbol" w:hint="default"/>
      </w:rPr>
    </w:lvl>
    <w:lvl w:tplc="041A0003" w:ilvl="4">
      <w:start w:val="1"/>
      <w:numFmt w:val="bullet"/>
      <w:lvlText w:val="o"/>
      <w:lvlJc w:val="left"/>
      <w:pPr>
        <w:ind w:hanging="360" w:left="4140"/>
      </w:pPr>
      <w:rPr>
        <w:rFonts w:cs="Courier New" w:hAnsi="Courier New" w:ascii="Courier New" w:hint="default"/>
      </w:rPr>
    </w:lvl>
    <w:lvl w:tplc="041A0005" w:ilvl="5">
      <w:start w:val="1"/>
      <w:numFmt w:val="bullet"/>
      <w:lvlText w:val=""/>
      <w:lvlJc w:val="left"/>
      <w:pPr>
        <w:ind w:hanging="360" w:left="4860"/>
      </w:pPr>
      <w:rPr>
        <w:rFonts w:hAnsi="Wingdings" w:ascii="Wingdings" w:hint="default"/>
      </w:rPr>
    </w:lvl>
    <w:lvl w:tplc="041A0001" w:ilvl="6">
      <w:start w:val="1"/>
      <w:numFmt w:val="bullet"/>
      <w:lvlText w:val=""/>
      <w:lvlJc w:val="left"/>
      <w:pPr>
        <w:ind w:hanging="360" w:left="5580"/>
      </w:pPr>
      <w:rPr>
        <w:rFonts w:hAnsi="Symbol" w:ascii="Symbol" w:hint="default"/>
      </w:rPr>
    </w:lvl>
    <w:lvl w:tplc="041A0003" w:ilvl="7">
      <w:start w:val="1"/>
      <w:numFmt w:val="bullet"/>
      <w:lvlText w:val="o"/>
      <w:lvlJc w:val="left"/>
      <w:pPr>
        <w:ind w:hanging="360" w:left="6300"/>
      </w:pPr>
      <w:rPr>
        <w:rFonts w:cs="Courier New" w:hAnsi="Courier New" w:ascii="Courier New" w:hint="default"/>
      </w:rPr>
    </w:lvl>
    <w:lvl w:tplc="041A0005" w:ilvl="8">
      <w:start w:val="1"/>
      <w:numFmt w:val="bullet"/>
      <w:lvlText w:val=""/>
      <w:lvlJc w:val="left"/>
      <w:pPr>
        <w:ind w:hanging="360" w:left="7020"/>
      </w:pPr>
      <w:rPr>
        <w:rFonts w:hAnsi="Wingdings" w:ascii="Wingdings" w:hint="default"/>
      </w:rPr>
    </w:lvl>
  </w:abstractNum>
  <w:abstractNum w:abstractNumId="4">
    <w:nsid w:val="726B4426"/>
    <w:multiLevelType w:val="multilevel"/>
    <w:tmpl w:val="4740ADF8"/>
    <w:lvl w:ilvl="0">
      <w:start w:val="5"/>
      <w:numFmt w:val="decimal"/>
      <w:lvlText w:val="%1"/>
      <w:lvlJc w:val="left"/>
      <w:pPr>
        <w:ind w:hanging="372" w:left="372"/>
      </w:pPr>
    </w:lvl>
    <w:lvl w:ilvl="1">
      <w:start w:val="1"/>
      <w:numFmt w:val="decimal"/>
      <w:lvlText w:val="%1.%2"/>
      <w:lvlJc w:val="left"/>
      <w:pPr>
        <w:ind w:hanging="720" w:left="1287"/>
      </w:pPr>
    </w:lvl>
    <w:lvl w:ilvl="2">
      <w:start w:val="1"/>
      <w:numFmt w:val="decimal"/>
      <w:lvlText w:val="%1.%2.%3"/>
      <w:lvlJc w:val="left"/>
      <w:pPr>
        <w:ind w:hanging="720" w:left="1854"/>
      </w:pPr>
    </w:lvl>
    <w:lvl w:ilvl="3">
      <w:start w:val="1"/>
      <w:numFmt w:val="decimal"/>
      <w:lvlText w:val="%1.%2.%3.%4"/>
      <w:lvlJc w:val="left"/>
      <w:pPr>
        <w:ind w:hanging="1080" w:left="2781"/>
      </w:pPr>
    </w:lvl>
    <w:lvl w:ilvl="4">
      <w:start w:val="1"/>
      <w:numFmt w:val="decimal"/>
      <w:lvlText w:val="%1.%2.%3.%4.%5"/>
      <w:lvlJc w:val="left"/>
      <w:pPr>
        <w:ind w:hanging="1080" w:left="3348"/>
      </w:pPr>
    </w:lvl>
    <w:lvl w:ilvl="5">
      <w:start w:val="1"/>
      <w:numFmt w:val="decimal"/>
      <w:lvlText w:val="%1.%2.%3.%4.%5.%6"/>
      <w:lvlJc w:val="left"/>
      <w:pPr>
        <w:ind w:hanging="1440" w:left="4275"/>
      </w:pPr>
    </w:lvl>
    <w:lvl w:ilvl="6">
      <w:start w:val="1"/>
      <w:numFmt w:val="decimal"/>
      <w:lvlText w:val="%1.%2.%3.%4.%5.%6.%7"/>
      <w:lvlJc w:val="left"/>
      <w:pPr>
        <w:ind w:hanging="1800" w:left="5202"/>
      </w:pPr>
    </w:lvl>
    <w:lvl w:ilvl="7">
      <w:start w:val="1"/>
      <w:numFmt w:val="decimal"/>
      <w:lvlText w:val="%1.%2.%3.%4.%5.%6.%7.%8"/>
      <w:lvlJc w:val="left"/>
      <w:pPr>
        <w:ind w:hanging="1800" w:left="5769"/>
      </w:pPr>
    </w:lvl>
    <w:lvl w:ilvl="8">
      <w:start w:val="1"/>
      <w:numFmt w:val="decimal"/>
      <w:lvlText w:val="%1.%2.%3.%4.%5.%6.%7.%8.%9"/>
      <w:lvlJc w:val="left"/>
      <w:pPr>
        <w:ind w:hanging="2160" w:left="6696"/>
      </w:pPr>
    </w:lvl>
  </w:abstractNum>
  <w:num w:numId="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63B5"/>
    <w:rsid w:val="00446C1B"/>
    <w:rsid w:val="006B63B5"/>
    <w:rsid w:val="00E639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63B5"/>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B63B5"/>
    <w:pPr>
      <w:spacing w:lineRule="auto" w:line="240" w:after="0"/>
    </w:pPr>
    <w:rPr>
      <w:rFonts w:cs="Times New Roman" w:eastAsia="Calibri" w:hAnsi="Calibri" w:ascii="Calibri"/>
    </w:rPr>
  </w:style>
  <w:style w:styleId="Odlomakpopisa" w:type="paragraph">
    <w:name w:val="List Paragraph"/>
    <w:basedOn w:val="Normal"/>
    <w:uiPriority w:val="99"/>
    <w:qFormat/>
    <w:rsid w:val="006B63B5"/>
    <w:pPr>
      <w:ind w:left="720"/>
    </w:pPr>
    <w:rPr>
      <w:rFonts w:cs="Calibri"/>
      <w:sz w:val="24"/>
      <w:szCs w:val="24"/>
    </w:rPr>
  </w:style>
  <w:style w:styleId="Tekstrezerviranogmjesta" w:type="character">
    <w:name w:val="Placeholder Text"/>
    <w:basedOn w:val="Zadanifontodlomka"/>
    <w:uiPriority w:val="99"/>
    <w:semiHidden/>
    <w:rsid w:val="00446C1B"/>
    <w:rPr>
      <w:color w:val="808080"/>
      <w:bdr w:space="0" w:sz="0" w:color="auto" w:val="none"/>
      <w:shd w:fill="auto" w:color="auto" w:val="clear"/>
    </w:rPr>
  </w:style>
  <w:style w:customStyle="true" w:styleId="eSPISCCParagraphDefaultFont" w:type="character">
    <w:name w:val="eSPIS_CC_Paragraph Default Font"/>
    <w:basedOn w:val="Zadanifontodlomka"/>
    <w:rsid w:val="00446C1B"/>
    <w:rPr>
      <w:rFonts w:cs="Times New Roman" w:hAnsi="Times New Roman" w:ascii="Times New Roman"/>
      <w:b/>
      <w:sz w:val="24"/>
      <w:szCs w:val="26"/>
      <w:bdr w:space="0" w:sz="0" w:color="auto" w:val="none"/>
      <w:shd w:fill="auto" w:color="auto" w:val="clear"/>
      <w:lang w:val="hr-HR"/>
    </w:rPr>
  </w:style>
  <w:style w:customStyle="true" w:styleId="PozadinaSvijetloZuta" w:type="character">
    <w:name w:val="Pozadina_SvijetloZuta"/>
    <w:basedOn w:val="Zadanifontodlomka"/>
    <w:rsid w:val="00446C1B"/>
    <w:rPr>
      <w:rFonts w:hAnsi="Cambria" w:ascii="Cambria"/>
      <w:b/>
      <w:sz w:val="26"/>
      <w:szCs w:val="26"/>
      <w:bdr w:space="0" w:sz="0" w:color="auto" w:val="none"/>
      <w:shd w:fill="FFFFCC" w:color="auto" w:val="clear"/>
      <w:lang w:val="hr-HR"/>
    </w:rPr>
  </w:style>
  <w:style w:customStyle="true" w:styleId="PozadinaSvijetloCrvena" w:type="character">
    <w:name w:val="Pozadina_SvijetloCrvena"/>
    <w:basedOn w:val="eSPISCCParagraphDefaultFont"/>
    <w:rsid w:val="00446C1B"/>
    <w:rPr>
      <w:rFonts w:cs="Times New Roman" w:hAnsi="Cambria" w:ascii="Cambria"/>
      <w:b w:val="false"/>
      <w:sz w:val="26"/>
      <w:szCs w:val="26"/>
      <w:bdr w:space="0" w:sz="0" w:color="auto" w:val="none"/>
      <w:shd w:fill="FFCCCC" w:color="auto" w:val="clear"/>
      <w:lang w:val="hr-HR"/>
    </w:rPr>
  </w:style>
  <w:style w:customStyle="true" w:styleId="PozadinaSvijetloZelena" w:type="character">
    <w:name w:val="Pozadina_SvijetloZelena"/>
    <w:basedOn w:val="eSPISCCParagraphDefaultFont"/>
    <w:rsid w:val="00446C1B"/>
    <w:rPr>
      <w:rFonts w:cs="Times New Roman" w:hAnsi="Cambria" w:ascii="Cambria"/>
      <w:b w:val="false"/>
      <w:sz w:val="26"/>
      <w:szCs w:val="2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63B5"/>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B63B5"/>
    <w:pPr>
      <w:spacing w:after="0" w:line="240" w:lineRule="auto"/>
    </w:pPr>
    <w:rPr>
      <w:rFonts w:ascii="Calibri" w:cs="Times New Roman" w:eastAsia="Calibri" w:hAnsi="Calibri"/>
    </w:rPr>
  </w:style>
  <w:style w:styleId="Odlomakpopisa" w:type="paragraph">
    <w:name w:val="List Paragraph"/>
    <w:basedOn w:val="Normal"/>
    <w:uiPriority w:val="99"/>
    <w:qFormat/>
    <w:rsid w:val="006B63B5"/>
    <w:pPr>
      <w:ind w:left="720"/>
    </w:pPr>
    <w:rPr>
      <w:rFonts w:cs="Calibri"/>
      <w:sz w:val="24"/>
      <w:szCs w:val="24"/>
    </w:rPr>
  </w:style>
  <w:style w:styleId="Tekstrezerviranogmjesta" w:type="character">
    <w:name w:val="Placeholder Text"/>
    <w:basedOn w:val="Zadanifontodlomka"/>
    <w:uiPriority w:val="99"/>
    <w:semiHidden/>
    <w:rsid w:val="00446C1B"/>
    <w:rPr>
      <w:color w:val="808080"/>
      <w:bdr w:color="auto" w:space="0" w:sz="0" w:val="none"/>
      <w:shd w:color="auto" w:fill="auto" w:val="clear"/>
    </w:rPr>
  </w:style>
  <w:style w:customStyle="1" w:styleId="eSPISCCParagraphDefaultFont" w:type="character">
    <w:name w:val="eSPIS_CC_Paragraph Default Font"/>
    <w:basedOn w:val="Zadanifontodlomka"/>
    <w:rsid w:val="00446C1B"/>
    <w:rPr>
      <w:rFonts w:ascii="Times New Roman" w:cs="Times New Roman" w:hAnsi="Times New Roman"/>
      <w:b/>
      <w:sz w:val="24"/>
      <w:szCs w:val="26"/>
      <w:bdr w:color="auto" w:space="0" w:sz="0" w:val="none"/>
      <w:shd w:color="auto" w:fill="auto" w:val="clear"/>
      <w:lang w:val="hr-HR"/>
    </w:rPr>
  </w:style>
  <w:style w:customStyle="1" w:styleId="PozadinaSvijetloZuta" w:type="character">
    <w:name w:val="Pozadina_SvijetloZuta"/>
    <w:basedOn w:val="Zadanifontodlomka"/>
    <w:rsid w:val="00446C1B"/>
    <w:rPr>
      <w:rFonts w:ascii="Cambria" w:hAnsi="Cambria"/>
      <w:b/>
      <w:sz w:val="26"/>
      <w:szCs w:val="26"/>
      <w:bdr w:color="auto" w:space="0" w:sz="0" w:val="none"/>
      <w:shd w:color="auto" w:fill="FFFFCC" w:val="clear"/>
      <w:lang w:val="hr-HR"/>
    </w:rPr>
  </w:style>
  <w:style w:customStyle="1" w:styleId="PozadinaSvijetloCrvena" w:type="character">
    <w:name w:val="Pozadina_SvijetloCrvena"/>
    <w:basedOn w:val="eSPISCCParagraphDefaultFont"/>
    <w:rsid w:val="00446C1B"/>
    <w:rPr>
      <w:rFonts w:ascii="Cambria" w:cs="Times New Roman" w:hAnsi="Cambria"/>
      <w:b w:val="0"/>
      <w:sz w:val="26"/>
      <w:szCs w:val="26"/>
      <w:bdr w:color="auto" w:space="0" w:sz="0" w:val="none"/>
      <w:shd w:color="auto" w:fill="FFCCCC" w:val="clear"/>
      <w:lang w:val="hr-HR"/>
    </w:rPr>
  </w:style>
  <w:style w:customStyle="1" w:styleId="PozadinaSvijetloZelena" w:type="character">
    <w:name w:val="Pozadina_SvijetloZelena"/>
    <w:basedOn w:val="eSPISCCParagraphDefaultFont"/>
    <w:rsid w:val="00446C1B"/>
    <w:rPr>
      <w:rFonts w:ascii="Cambria" w:cs="Times New Roman" w:hAnsi="Cambria"/>
      <w:b w:val="0"/>
      <w:sz w:val="26"/>
      <w:szCs w:val="2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17531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1927</properties:Words>
  <properties:Characters>11228</properties:Characters>
  <properties:Lines>381</properties:Lines>
  <properties:Paragraphs>181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2018-02-23T07:28:00Z</dcterms:created>
  <dc:creator>Vesna Dragišić</dc:creator>
  <cp:lastModifiedBy>Vesna Dragišić</cp:lastModifiedBy>
  <dcterms:modified xmlns:xsi="http://www.w3.org/2001/XMLSchema-instance" xsi:type="dcterms:W3CDTF">2018-02-23T07:28:00Z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St-234/2017-18 / Podnesak - Izvješće o financijsko-gospodarskom stanju dužnika (1 A STEČAJNI UPRAVITELJ-mesarov.docx)</vt:lpwstr>
  </prop:property>
  <prop:property name="CC_coloring" pid="4" fmtid="{D5CDD505-2E9C-101B-9397-08002B2CF9AE}">
    <vt:bool>false</vt:bool>
  </prop:property>
  <prop:property name="BrojStranica" pid="5" fmtid="{D5CDD505-2E9C-101B-9397-08002B2CF9AE}">
    <vt:i4>7</vt:i4>
  </prop:property>
</prop:Properties>
</file>