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cfe78" w14:paraId="bacfe78" w:rsidRDefault="00B31CCA" w:rsidP="00B31CCA" w:rsidR="00B31CCA" w:rsidRPr="00B85A63">
      <w:pPr>
        <w:pStyle w:val="Naslov1"/>
        <w15:collapsed w:val="false"/>
        <w:rPr>
          <w:rFonts w:cs="Tahoma"/>
          <w:color w:themeShade="1A" w:themeColor="background2" w:val="1D1B11"/>
          <w:sz w:val="22"/>
          <w:szCs w:val="22"/>
        </w:rPr>
      </w:pPr>
      <w:bookmarkStart w:name="_GoBack" w:id="0"/>
      <w:bookmarkEnd w:id="0"/>
      <w:r w:rsidRPr="00B85A63">
        <w:rPr>
          <w:rFonts w:cs="Tahoma"/>
          <w:color w:themeShade="1A" w:themeColor="background2" w:val="1D1B11"/>
          <w:sz w:val="22"/>
          <w:szCs w:val="22"/>
        </w:rPr>
        <w:t>STEČAJNA UPRAVITELJICA</w:t>
      </w:r>
    </w:p>
    <w:p w:rsidRDefault="00B31CCA" w:rsidP="00B31CCA" w:rsidR="00B31CCA" w:rsidRPr="00B85A63">
      <w:pPr>
        <w:rPr>
          <w:rFonts w:cs="Tahoma" w:hAnsi="Arial" w:ascii="Arial"/>
          <w:b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/>
          <w:color w:themeShade="1A" w:themeColor="background2" w:val="1D1B11"/>
          <w:sz w:val="22"/>
          <w:szCs w:val="22"/>
          <w:lang w:val="hr-HR"/>
        </w:rPr>
        <w:t>MARIJANA SABLJIĆ</w:t>
      </w:r>
    </w:p>
    <w:p w:rsidRDefault="00B31CCA" w:rsidP="00B31CCA" w:rsidR="00B31CCA" w:rsidRPr="00B85A63">
      <w:pPr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>Ulica grada Chicaga 18, 10000 Zagreb</w:t>
      </w:r>
    </w:p>
    <w:p w:rsidRDefault="00B31CCA" w:rsidP="00B31CCA" w:rsidR="00B31CCA" w:rsidRPr="00B85A63">
      <w:pPr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 xml:space="preserve">Gsm:  00385 99 6971 399 </w:t>
      </w:r>
    </w:p>
    <w:p w:rsidRDefault="00B31CCA" w:rsidP="00B31CCA" w:rsidR="00B31CCA" w:rsidRPr="00B85A63">
      <w:pPr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>e-mail: marijana@odvjetnica-sabljic.hr</w:t>
      </w:r>
    </w:p>
    <w:p w:rsidRDefault="004F4C3E" w:rsidP="00B31CCA" w:rsidR="00B31CCA" w:rsidRPr="00B85A63">
      <w:pPr>
        <w:rPr>
          <w:rFonts w:cs="Tahoma" w:hAnsi="Arial" w:ascii="Arial"/>
          <w:b/>
          <w:bCs/>
          <w:color w:themeShade="1A" w:themeColor="background2" w:val="1D1B11"/>
          <w:sz w:val="22"/>
          <w:szCs w:val="22"/>
          <w:lang w:val="hr-HR"/>
        </w:rPr>
      </w:pPr>
      <w:r>
        <w:rPr>
          <w:rFonts w:cs="Tahoma" w:hAnsi="Arial" w:ascii="Arial"/>
          <w:b/>
          <w:bCs/>
          <w:color w:themeShade="1A" w:themeColor="background2" w:val="1D1B11"/>
          <w:sz w:val="22"/>
          <w:szCs w:val="22"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hralign="right" o:hrpct="0.0" o:hr="t" id="_x0000_i1025" style="width:533.6pt;height:2.5pt" type="#_x0000_t75">
            <v:imagedata r:id="rId7" o:title="BD21448_"/>
          </v:shape>
        </w:pict>
      </w:r>
    </w:p>
    <w:p w:rsidRDefault="00B31CCA" w:rsidP="00B31CCA" w:rsidR="00B31CCA" w:rsidRPr="00B85A63">
      <w:pPr>
        <w:jc w:val="right"/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 xml:space="preserve">U Zagrebu, </w:t>
      </w:r>
      <w:r w:rsidR="00A645D2"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>22</w:t>
      </w: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 xml:space="preserve">. </w:t>
      </w:r>
      <w:r w:rsidR="00A645D2"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>ožujka 2019</w:t>
      </w:r>
      <w:r w:rsidRPr="00B85A63">
        <w:rPr>
          <w:rFonts w:cs="Tahoma" w:hAnsi="Arial" w:ascii="Arial"/>
          <w:color w:themeShade="1A" w:themeColor="background2" w:val="1D1B11"/>
          <w:sz w:val="22"/>
          <w:szCs w:val="22"/>
          <w:lang w:val="hr-HR"/>
        </w:rPr>
        <w:t>. godine</w:t>
      </w:r>
    </w:p>
    <w:p w:rsidRDefault="00B31CCA" w:rsidP="00B31CCA" w:rsidR="00B31CCA" w:rsidRPr="00B85A63">
      <w:pP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</w:p>
    <w:p w:rsidRDefault="00B31CCA" w:rsidP="00B31CCA" w:rsidR="00B31CCA" w:rsidRPr="00B85A63">
      <w:pP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REPUBLIKA HRVATSKA</w:t>
      </w:r>
    </w:p>
    <w:p w:rsidRDefault="00B31CCA" w:rsidP="00B31CCA" w:rsidR="00B31CCA" w:rsidRPr="00B85A63">
      <w:pP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TRGOVAČKI SUD U ZAGREBU</w:t>
      </w:r>
    </w:p>
    <w:p w:rsidRDefault="00B31CCA" w:rsidP="00B31CCA" w:rsidR="00B31CCA" w:rsidRPr="00B85A63">
      <w:pPr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</w:pPr>
      <w:r w:rsidRPr="00B85A63"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  <w:t>Amruševa 2/II</w:t>
      </w:r>
    </w:p>
    <w:p w:rsidRDefault="00B31CCA" w:rsidP="00B31CCA" w:rsidR="00B31CCA" w:rsidRPr="00B85A63">
      <w:pPr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</w:pPr>
      <w:r w:rsidRPr="00B85A63"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  <w:t>10000 Zagreb</w:t>
      </w:r>
    </w:p>
    <w:p w:rsidRDefault="00B31CCA" w:rsidP="00B31CCA" w:rsidR="00B31CCA" w:rsidRPr="00B85A63">
      <w:pPr>
        <w:rPr>
          <w:rFonts w:hAnsi="Arial" w:ascii="Arial"/>
          <w:sz w:val="22"/>
          <w:szCs w:val="20"/>
          <w:lang w:val="hr-HR"/>
        </w:rPr>
      </w:pPr>
    </w:p>
    <w:p w:rsidRDefault="00B31CCA" w:rsidP="00B31CCA" w:rsidR="00B31CCA" w:rsidRPr="00B85A63">
      <w:pPr>
        <w:jc w:val="right"/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</w:pPr>
      <w:r w:rsidRPr="00B85A63"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  <w:t xml:space="preserve">St- </w:t>
      </w:r>
      <w:r w:rsidRPr="00B85A63">
        <w:rPr>
          <w:rFonts w:cs="Tahoma" w:hAnsi="Arial" w:ascii="Arial"/>
          <w:bCs/>
          <w:sz w:val="22"/>
          <w:szCs w:val="22"/>
          <w:lang w:val="hr-HR"/>
        </w:rPr>
        <w:t>4699</w:t>
      </w:r>
      <w:r w:rsidRPr="00B85A63">
        <w:rPr>
          <w:rFonts w:eastAsiaTheme="minorHAnsi" w:cs="Arial" w:hAnsi="Arial" w:ascii="Arial"/>
          <w:color w:themeShade="1A" w:themeColor="background2" w:val="1D1B11"/>
          <w:sz w:val="22"/>
          <w:szCs w:val="26"/>
          <w:lang w:val="hr-HR"/>
        </w:rPr>
        <w:t>/2016</w:t>
      </w:r>
    </w:p>
    <w:p w:rsidRDefault="00B31CCA" w:rsidP="00B31CCA" w:rsidR="00B31CCA" w:rsidRPr="00B85A63">
      <w:pP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</w:p>
    <w:p w:rsidRDefault="00A645D2" w:rsidP="00A645D2" w:rsidR="00B31CCA" w:rsidRPr="00B85A63">
      <w:pPr>
        <w:jc w:val="both"/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eastAsia="Cambria" w:hAnsi="Arial" w:ascii="Arial"/>
          <w:sz w:val="22"/>
          <w:szCs w:val="16"/>
          <w:shd w:fill="F8F8F8" w:color="auto" w:val="clear"/>
          <w:lang w:val="hr-HR"/>
        </w:rPr>
        <w:t>Stečajni dužnik: Stečajna masa iza MANDEL 94 d.o.o. u stečaju</w:t>
      </w:r>
      <w:r w:rsidRPr="00B85A63">
        <w:rPr>
          <w:rFonts w:cs="Tahoma" w:hAnsi="Arial" w:ascii="Arial"/>
          <w:bCs/>
          <w:sz w:val="22"/>
          <w:szCs w:val="22"/>
          <w:lang w:val="hr-HR"/>
        </w:rPr>
        <w:t xml:space="preserve">, sa sjedištem u Zagrebu, Ulica grada Chicaga 18, OIB: </w:t>
      </w:r>
      <w:r w:rsidRPr="00B85A63">
        <w:rPr>
          <w:rFonts w:eastAsia="Cambria" w:hAnsi="Arial" w:ascii="Arial"/>
          <w:sz w:val="22"/>
          <w:szCs w:val="16"/>
          <w:shd w:fill="F8F8F8" w:color="auto" w:val="clear"/>
          <w:lang w:val="hr-HR"/>
        </w:rPr>
        <w:t>91796154462</w:t>
      </w:r>
      <w:r w:rsidRPr="00B85A63">
        <w:rPr>
          <w:rFonts w:eastAsia="Cambria" w:hAnsi="Arial" w:ascii="Arial"/>
          <w:sz w:val="22"/>
          <w:szCs w:val="20"/>
          <w:lang w:val="hr-HR"/>
        </w:rPr>
        <w:t xml:space="preserve">, </w:t>
      </w:r>
      <w:r w:rsidRPr="00B85A63">
        <w:rPr>
          <w:rFonts w:cs="Tahoma" w:hAnsi="Arial" w:ascii="Arial"/>
          <w:bCs/>
          <w:sz w:val="22"/>
          <w:szCs w:val="22"/>
          <w:lang w:val="hr-HR"/>
        </w:rPr>
        <w:t>koje zastupa stečajna upraviteljica Marijana Sabljić</w:t>
      </w:r>
    </w:p>
    <w:p w:rsidRDefault="00B31CCA" w:rsidP="00B31CCA" w:rsidR="00B31CCA" w:rsidRPr="00B85A63">
      <w:pPr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5437B8" w:rsidP="00A645D2" w:rsidR="005437B8" w:rsidRPr="00B85A63">
      <w:pPr>
        <w:jc w:val="center"/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PODNESAK</w:t>
      </w:r>
    </w:p>
    <w:p w:rsidRDefault="005437B8" w:rsidP="00B31CCA" w:rsidR="005437B8" w:rsidRPr="00B85A63">
      <w:pPr>
        <w:pBdr>
          <w:bottom w:space="1" w:sz="12" w:color="auto" w:val="single"/>
        </w:pBd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1x</w:t>
      </w:r>
    </w:p>
    <w:p w:rsidRDefault="00B31CCA" w:rsidP="00B31CCA" w:rsidR="00B31CCA" w:rsidRPr="00B85A63">
      <w:pPr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</w:p>
    <w:p w:rsidRDefault="00B31CCA" w:rsidP="00B31CCA" w:rsidR="00A645D2" w:rsidRPr="00B85A63">
      <w:pPr>
        <w:jc w:val="both"/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I.</w:t>
      </w:r>
      <w:r w:rsidR="005437B8"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 xml:space="preserve"> </w:t>
      </w:r>
      <w:r w:rsidR="00A645D2"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U rubriciranom predmetu stečajna upraviteljica u nastavku ovoga podneska obrazlaže stanja u parnicama P-3971/17 i P-149/15 s procjenom uspjeha i prijedlozima vjerovnicima radi donešenja odgovarajuće odluke.</w:t>
      </w:r>
    </w:p>
    <w:p w:rsidRDefault="00A645D2" w:rsidP="00B31CCA" w:rsidR="00A645D2" w:rsidRPr="00B85A63">
      <w:pPr>
        <w:jc w:val="both"/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</w:p>
    <w:p w:rsidRDefault="00A645D2" w:rsidP="00A645D2" w:rsidR="00A645D2" w:rsidRPr="00B85A63">
      <w:pPr>
        <w:pStyle w:val="Odlomakpopisa"/>
        <w:numPr>
          <w:ilvl w:val="0"/>
          <w:numId w:val="1"/>
        </w:numPr>
        <w:jc w:val="both"/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</w:pPr>
      <w:r w:rsidRPr="00B85A63">
        <w:rPr>
          <w:rFonts w:cs="Tahoma" w:hAnsi="Arial" w:ascii="Arial"/>
          <w:bCs/>
          <w:color w:themeShade="1A" w:themeColor="background2" w:val="1D1B11"/>
          <w:sz w:val="22"/>
          <w:szCs w:val="22"/>
          <w:lang w:val="hr-HR"/>
        </w:rPr>
        <w:t>P-3971/2017</w:t>
      </w:r>
    </w:p>
    <w:p w:rsidRDefault="00A645D2" w:rsidP="00A645D2" w:rsidR="00A645D2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A645D2" w:rsidP="00A645D2" w:rsidR="0036030D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U parničnom postupku koji je u tijeku pred Općinskim građanskim sudom u Zagrebu pod poslovnim brojem P-3971/2017, tužitelj </w:t>
      </w:r>
      <w:r w:rsidRPr="00B85A63">
        <w:rPr>
          <w:rFonts w:hAnsi="Arial" w:ascii="Arial"/>
          <w:sz w:val="22"/>
          <w:szCs w:val="22"/>
          <w:lang w:val="hr-HR"/>
        </w:rPr>
        <w:t>Željko Beršić je podnio tužbu protiv tuženika Kreditna unija deponent, Danijela Curiš iStečajna masa iza Mandel 94 d.o.o.radi utvrđenja</w:t>
      </w:r>
      <w:r w:rsidR="0002119B" w:rsidRPr="00B85A63">
        <w:rPr>
          <w:rFonts w:hAnsi="Arial" w:ascii="Arial"/>
          <w:sz w:val="22"/>
          <w:szCs w:val="22"/>
          <w:lang w:val="hr-HR"/>
        </w:rPr>
        <w:t>, v.p.s. 10.000,00 kn</w:t>
      </w:r>
      <w:r w:rsidRPr="00B85A63">
        <w:rPr>
          <w:rFonts w:hAnsi="Arial" w:ascii="Arial"/>
          <w:sz w:val="22"/>
          <w:szCs w:val="22"/>
          <w:lang w:val="hr-HR"/>
        </w:rPr>
        <w:t>.</w:t>
      </w:r>
    </w:p>
    <w:p w:rsidRDefault="0036030D" w:rsidP="00A645D2" w:rsidR="0036030D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36030D" w:rsidP="00A645D2" w:rsidR="0036030D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Tužbeni zahtejv u bitnom glasi:</w:t>
      </w:r>
    </w:p>
    <w:p w:rsidRDefault="0036030D" w:rsidP="006B4BC7" w:rsidR="0036030D" w:rsidRPr="00B85A63">
      <w:pPr>
        <w:pStyle w:val="StandardWeb"/>
        <w:numPr>
          <w:ilvl w:val="0"/>
          <w:numId w:val="2"/>
        </w:numPr>
        <w:spacing w:after="2" w:before="2"/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 xml:space="preserve">Utvrđuje se da je ništetan </w:t>
      </w:r>
      <w:r w:rsidRPr="00B85A63">
        <w:rPr>
          <w:rFonts w:hAnsi="Arial" w:ascii="Arial"/>
          <w:sz w:val="22"/>
          <w:lang w:val="hr-HR"/>
        </w:rPr>
        <w:t xml:space="preserve">Sporazum radi osiguranja novčane tražbine prijenosom vlasništva na nekretnini od 14.veljače 2011.g. sklopljen između Danijele Curiš i </w:t>
      </w:r>
      <w:r w:rsidRPr="00B85A63">
        <w:rPr>
          <w:rFonts w:hAnsi="Arial" w:ascii="Arial"/>
          <w:sz w:val="22"/>
          <w:szCs w:val="22"/>
          <w:lang w:val="hr-HR"/>
        </w:rPr>
        <w:t>Kreditne unije deponent</w:t>
      </w:r>
    </w:p>
    <w:p w:rsidRDefault="0036030D" w:rsidP="006B4BC7" w:rsidR="0036030D" w:rsidRPr="00B85A63">
      <w:pPr>
        <w:pStyle w:val="Odlomakpopisa"/>
        <w:numPr>
          <w:ilvl w:val="0"/>
          <w:numId w:val="2"/>
        </w:numPr>
        <w:jc w:val="both"/>
        <w:rPr>
          <w:rFonts w:eastAsiaTheme="minorHAnsi" w:hAnsi="Arial" w:ascii="Arial"/>
          <w:sz w:val="22"/>
          <w:szCs w:val="20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 xml:space="preserve">Utvrđuje se da je ništetan </w:t>
      </w:r>
      <w:r w:rsidRPr="00B85A63">
        <w:rPr>
          <w:rFonts w:eastAsiaTheme="minorHAnsi" w:hAnsi="Arial" w:ascii="Arial"/>
          <w:sz w:val="22"/>
          <w:szCs w:val="15"/>
          <w:shd w:fill="FFFFFF" w:color="auto" w:val="clear"/>
          <w:lang w:val="hr-HR"/>
        </w:rPr>
        <w:t xml:space="preserve">ugovor o kupoprodaji nekretnine od 22. listopada 2013. godine sklopljen između </w:t>
      </w:r>
      <w:r w:rsidRPr="00B85A63">
        <w:rPr>
          <w:rFonts w:hAnsi="Arial" w:ascii="Arial"/>
          <w:sz w:val="22"/>
          <w:szCs w:val="22"/>
          <w:lang w:val="hr-HR"/>
        </w:rPr>
        <w:t>Kreditne unija deponent i Mandel 94 d.o.o.</w:t>
      </w:r>
    </w:p>
    <w:p w:rsidRDefault="0036030D" w:rsidP="006B4BC7" w:rsidR="0036030D" w:rsidRPr="00B85A63">
      <w:pPr>
        <w:pStyle w:val="StandardWeb"/>
        <w:numPr>
          <w:ilvl w:val="0"/>
          <w:numId w:val="2"/>
        </w:numPr>
        <w:spacing w:after="2" w:before="2"/>
        <w:jc w:val="both"/>
        <w:rPr>
          <w:rFonts w:hAnsi="Arial" w:ascii="Arial"/>
          <w:sz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 xml:space="preserve">Utvrđuje se da je tužitelj vlasnik ½ idealnog dijela nekretnine </w:t>
      </w:r>
      <w:r w:rsidR="006B4BC7" w:rsidRPr="00B85A63">
        <w:rPr>
          <w:rFonts w:cs="Tahoma" w:hAnsi="Arial" w:ascii="Arial"/>
          <w:bCs/>
          <w:sz w:val="22"/>
          <w:szCs w:val="22"/>
          <w:lang w:val="hr-HR"/>
        </w:rPr>
        <w:t>k.č.br. 2133/2, oznake zemljišta “kuća br. 1C“, površine 233 m2, “dvorište“ površine 1328 m2, ukupno 1561 m2, i k.č.br. 2133/3, oznake zemljišta “oranica Bijenik“, površine 39 m2, odnosno sveukupne površine 1600 m2, upisana u zk.ul. 6383 k.o Šestine, te je Mandel 94 d.o.o. dužan trpjeti uknjižbu prava vlasništva na ½ nekretnine za korist tužitelja</w:t>
      </w:r>
    </w:p>
    <w:p w:rsidRDefault="00A645D2" w:rsidP="00A645D2" w:rsidR="00A645D2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A645D2" w:rsidP="00A645D2" w:rsidR="006B4BC7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 xml:space="preserve">Naime, tužitelj </w:t>
      </w:r>
      <w:r w:rsidR="006B4BC7" w:rsidRPr="00B85A63">
        <w:rPr>
          <w:rFonts w:hAnsi="Arial" w:ascii="Arial"/>
          <w:sz w:val="22"/>
          <w:szCs w:val="22"/>
          <w:lang w:val="hr-HR"/>
        </w:rPr>
        <w:t xml:space="preserve">svoje tužbene zahtjeve temelji na činjenici da je predmetna nekretnina bila bračna stečevina i budući nije dao suglasnost za sklapanje predmetnog pravnog </w:t>
      </w:r>
      <w:r w:rsidR="006B4BC7" w:rsidRPr="00B85A63">
        <w:rPr>
          <w:rFonts w:hAnsi="Arial" w:ascii="Arial"/>
          <w:sz w:val="22"/>
          <w:szCs w:val="22"/>
          <w:lang w:val="hr-HR"/>
        </w:rPr>
        <w:lastRenderedPageBreak/>
        <w:t xml:space="preserve">posla, a time i na temelju činjenice da je suvlasnik ½ nekretnine  sporazum iz točke I. tužbenog zahtjeva je ništetan. </w:t>
      </w:r>
      <w:r w:rsidRPr="00B85A63">
        <w:rPr>
          <w:rFonts w:hAnsi="Arial" w:ascii="Arial"/>
          <w:sz w:val="22"/>
          <w:szCs w:val="22"/>
          <w:lang w:val="hr-HR"/>
        </w:rPr>
        <w:t xml:space="preserve"> </w:t>
      </w:r>
    </w:p>
    <w:p w:rsidRDefault="006B4BC7" w:rsidP="00A645D2" w:rsidR="006B4BC7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6B4BC7" w:rsidP="00A645D2" w:rsidR="006B4BC7" w:rsidRPr="00B85A63">
      <w:pPr>
        <w:jc w:val="both"/>
        <w:rPr>
          <w:rFonts w:hAnsi="Arial" w:ascii="Arial"/>
          <w:sz w:val="22"/>
          <w:szCs w:val="22"/>
          <w:u w:val="single"/>
          <w:lang w:val="hr-HR"/>
        </w:rPr>
      </w:pPr>
      <w:r w:rsidRPr="00B85A63">
        <w:rPr>
          <w:rFonts w:hAnsi="Arial" w:ascii="Arial"/>
          <w:sz w:val="22"/>
          <w:szCs w:val="22"/>
          <w:u w:val="single"/>
          <w:lang w:val="hr-HR"/>
        </w:rPr>
        <w:t xml:space="preserve">Smatram da su tužbeni zahtjevi neosnovani i da ih treba odbiti. </w:t>
      </w:r>
    </w:p>
    <w:p w:rsidRDefault="006B4BC7" w:rsidP="00A645D2" w:rsidR="006B4BC7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6B4BC7" w:rsidP="00A645D2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U svojim pravnim shvaćanjima se priklanjam pravnom shvaćanju zauzetom u u odluci Ustavnog suda RH br. U-III-103/2008 od 14. lipnja 2011. godine</w:t>
      </w:r>
      <w:r w:rsidR="0002119B" w:rsidRPr="00B85A63">
        <w:rPr>
          <w:rFonts w:hAnsi="Arial" w:ascii="Arial"/>
          <w:sz w:val="22"/>
          <w:szCs w:val="22"/>
          <w:lang w:val="hr-HR"/>
        </w:rPr>
        <w:t xml:space="preserve"> te bih se dodatno pozvala na čl. 20. st. 7. Zakona o zemljišnim knjigama kojom je propisano da se n</w:t>
      </w:r>
      <w:r w:rsidR="0002119B" w:rsidRPr="00B85A63">
        <w:rPr>
          <w:rFonts w:cs="Times New Roman" w:hAnsi="Arial" w:ascii="Arial"/>
          <w:sz w:val="22"/>
          <w:szCs w:val="32"/>
          <w:lang w:val="hr-HR"/>
        </w:rPr>
        <w:t>itko ne može pozvati na to da mu nije bilo poznato nešto što je upisano u uložak ili u poduložak</w:t>
      </w:r>
      <w:r w:rsidR="0002119B" w:rsidRPr="00B85A63">
        <w:rPr>
          <w:rFonts w:hAnsi="Arial" w:ascii="Arial"/>
          <w:sz w:val="22"/>
          <w:szCs w:val="22"/>
          <w:lang w:val="hr-HR"/>
        </w:rPr>
        <w:t xml:space="preserve"> </w:t>
      </w:r>
    </w:p>
    <w:p w:rsidRDefault="0002119B" w:rsidP="00A645D2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A645D2" w:rsidR="006B4BC7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U citiranoj ustavnosudskoj odluci</w:t>
      </w:r>
      <w:r w:rsidR="006B4BC7" w:rsidRPr="00B85A63">
        <w:rPr>
          <w:rFonts w:hAnsi="Arial" w:ascii="Arial"/>
          <w:sz w:val="22"/>
          <w:szCs w:val="22"/>
          <w:lang w:val="hr-HR"/>
        </w:rPr>
        <w:t xml:space="preserve"> se između ostaloga navodi:</w:t>
      </w:r>
    </w:p>
    <w:p w:rsidRDefault="006B4BC7" w:rsidP="00A645D2" w:rsidR="006B4BC7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6B4BC7" w:rsidP="00A645D2" w:rsidR="006B4BC7" w:rsidRPr="00B85A63">
      <w:pPr>
        <w:jc w:val="both"/>
        <w:rPr>
          <w:rFonts w:hAnsi="Arial" w:ascii="Arial"/>
          <w:i/>
          <w:color w:val="232326"/>
          <w:sz w:val="22"/>
          <w:szCs w:val="20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“</w:t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>Naime, nesporno je da je opće načelo prava da nitko ne može na drugoga prenijeti više prava nego što ga sam ima. Međutim, i u tom slučaju prijenos mora biti u skladu s drugim općim načelima prava, u koja svakako spada i načelo savjesnosti i poštenja u pravnom prometu. Poštovanje ovog načela podrazumijeva ispitivanje savjesnosti svakog od sudionika određenog pravnog odnosa. Svako drugačije postupanje protivno je načelima vladavine prava i pravne sigurnosti kao najviših vrednota ustavnog poretka.</w:t>
      </w: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b/>
          <w:i/>
          <w:color w:val="232326"/>
          <w:sz w:val="22"/>
          <w:szCs w:val="20"/>
          <w:lang w:val="hr-HR"/>
        </w:rPr>
        <w:t>10.1.</w:t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 xml:space="preserve"> Primjeni li se navedeno stajalište na konkretan slučaj, to znači da se utvrđivanje savjesnosti u pravnom prometu nije moglo ograničiti samo na podnositeljicu (je li postupala s povjerenjem u zemljišne knjige), već i na tužiteljicu, koja je prema utvrđenjima iz točke 3. ovog obrazloženja od početka znala za raspolaganja svog supruga - sklapanje ugovora o kreditu s podnositeljicom, te zasnivanje hipoteke na cijeloj nekretnini radi osiguranja njegova vraćanja. </w:t>
      </w:r>
    </w:p>
    <w:p w:rsidRDefault="006B4BC7" w:rsidP="00A645D2" w:rsidR="0002119B" w:rsidRPr="00B85A63">
      <w:pPr>
        <w:jc w:val="both"/>
        <w:rPr>
          <w:rFonts w:hAnsi="Arial" w:ascii="Arial"/>
          <w:i/>
          <w:color w:val="232326"/>
          <w:sz w:val="22"/>
          <w:szCs w:val="20"/>
          <w:lang w:val="hr-HR"/>
        </w:rPr>
      </w:pP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>U vezi s navedenim, Ustavni sud napominje da je tužiteljica imala mogućnost zaštiti svoje pravo (zajedničkog) vlasništva sporne nekretnine jer je isključivo o njezinoj inicijativi ovisilo hoće li poduzeti odgovarajuće pravne radnje (zahtijevati upis, pokrenuti parnični postupak radi utvrđenja, zahtijevati zabilježbu spora, tražiti proglašenje ovrhe nedopuštenom i dr.). Međutim, tužiteljica nije poduzela nijednu od navedenih radnji, već je tužbu za utvrđenje svog suvlasničkog dijela podnijela tek tri (3) godine nakon donošenja rješenja o ovrsi, a njezin suprug, drugotuženik u tom parničnom postupku, priznao je tužbeni zahtjev.</w:t>
      </w:r>
    </w:p>
    <w:p w:rsidRDefault="006B4BC7" w:rsidP="00A645D2" w:rsidR="0002119B" w:rsidRPr="00B85A63">
      <w:pPr>
        <w:jc w:val="both"/>
        <w:rPr>
          <w:rFonts w:hAnsi="Arial" w:ascii="Arial"/>
          <w:i/>
          <w:color w:val="232326"/>
          <w:sz w:val="22"/>
          <w:szCs w:val="20"/>
          <w:lang w:val="hr-HR"/>
        </w:rPr>
      </w:pP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>Slijedom navedenog, Ustavni sud ocjenjuje da je u osobitim okolnostima konkretnog slučaja činjenica savjesnosti ili nesavjesnosti (prethodnog) postupanja tužiteljice bitna za pravilnu primjenu mjerodavnog materijalnog prava odnosno za prosudbu ima li mjesta primjeni načela povjerenja u zemljišne knjige.</w:t>
      </w:r>
    </w:p>
    <w:p w:rsidRDefault="006B4BC7" w:rsidP="00A645D2" w:rsidR="0002119B" w:rsidRPr="00B85A63">
      <w:pPr>
        <w:jc w:val="both"/>
        <w:rPr>
          <w:rFonts w:hAnsi="Arial" w:ascii="Arial"/>
          <w:i/>
          <w:color w:val="232326"/>
          <w:sz w:val="22"/>
          <w:szCs w:val="20"/>
          <w:lang w:val="hr-HR"/>
        </w:rPr>
      </w:pP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>Osim toga, u času kad bračni drug koji je upisan kao isključivi vlasnik nekretnine raspolaže dalje tom nekretninom u korist treće osobe, zemljišnoknjižno stanje nije neistinito, već nepotpuno pa u korist treće osobe, ako su za to ispunjene pretpostavke, nastupaju pravni učinci zaštite povjerenja u potpunost, a ne u istinitost zemljišnih knjiga. </w:t>
      </w: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i/>
          <w:color w:val="232326"/>
          <w:sz w:val="22"/>
          <w:szCs w:val="14"/>
          <w:lang w:val="hr-HR"/>
        </w:rPr>
        <w:br/>
      </w:r>
      <w:r w:rsidRPr="00B85A63">
        <w:rPr>
          <w:rFonts w:hAnsi="Arial" w:ascii="Arial"/>
          <w:b/>
          <w:i/>
          <w:color w:val="232326"/>
          <w:sz w:val="22"/>
          <w:szCs w:val="20"/>
          <w:lang w:val="hr-HR"/>
        </w:rPr>
        <w:t>10.2.</w:t>
      </w: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t xml:space="preserve"> Ustavni sud ovom odlukom djelomično odstupa od svog dosadašnjeg stajališta o apsolutnoj ništavosti pravnog posla sklopljenog po (samo) jednom bračnom drugu, predmet kojeg je zajednička imovina bračnih drugova, uslijed koje (ništavosti) kod takvih raspolaganja ne vrijedi (derogira se) načelo povjerenja u zemljišne knjige u korist trećih (odluke broj: U-III-493/2002 od 13. listopada 2004. i U-III-821/2007 od 18. lipnja 2008. - vidi točke 6. i 7. obrazloženja ove odluke). </w:t>
      </w:r>
    </w:p>
    <w:p w:rsidRDefault="006B4BC7" w:rsidP="00A645D2" w:rsidR="00A645D2" w:rsidRPr="00B85A63">
      <w:pPr>
        <w:jc w:val="both"/>
        <w:rPr>
          <w:rFonts w:hAnsi="Arial" w:ascii="Arial"/>
          <w:color w:val="232326"/>
          <w:sz w:val="22"/>
          <w:szCs w:val="20"/>
          <w:lang w:val="hr-HR"/>
        </w:rPr>
      </w:pPr>
      <w:r w:rsidRPr="00B85A63">
        <w:rPr>
          <w:rFonts w:hAnsi="Arial" w:ascii="Arial"/>
          <w:i/>
          <w:color w:val="232326"/>
          <w:sz w:val="22"/>
          <w:szCs w:val="20"/>
          <w:lang w:val="hr-HR"/>
        </w:rPr>
        <w:lastRenderedPageBreak/>
        <w:t>Sukladno utvrđenjima u prethodnim točkama obrazloženja ove odluke, Ustavni sud smatra da će se u svakom pojedinačnom slučaju, uzimajući u obzir osobite okolnosti svakog konkretnog slučaja, valjanost pravnog posla morati procjenjivati ovisno o ponašanju, savjesnosti i dobroj vjeri svih sudionika određenog pravnog odnosa, uključujući i bračnog druga koji (eventualno) nije bio sudionik tog odnosa</w:t>
      </w:r>
      <w:r w:rsidR="0002119B" w:rsidRPr="00B85A63">
        <w:rPr>
          <w:rFonts w:hAnsi="Arial" w:ascii="Arial"/>
          <w:color w:val="232326"/>
          <w:sz w:val="22"/>
          <w:szCs w:val="20"/>
          <w:lang w:val="hr-HR"/>
        </w:rPr>
        <w:t>.“</w:t>
      </w:r>
    </w:p>
    <w:p w:rsidRDefault="00A645D2" w:rsidP="00A645D2" w:rsidR="00A645D2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A645D2" w:rsidR="00B85A63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Slijedom svega naprijed navedenog, moj je procjena da će tužbeni zahtjev biti odbijen.</w:t>
      </w:r>
    </w:p>
    <w:p w:rsidRDefault="00B85A63" w:rsidP="00A645D2" w:rsidR="00B85A63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B85A63" w:rsidP="00B85A63" w:rsidR="00B85A63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 xml:space="preserve">No, u slučaju neuspjeha u parnici, pretpostavljeni troškovi parničnog postupka mogu iznositi </w:t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3.750,00 kn za usluge odvjetničkog zastupanja, uvećano za sudsku pristojbu 400,00 kn za tužbu i 400,00 kn za presudu, odnosno sveukupno 4.550,00 kn.</w:t>
      </w:r>
    </w:p>
    <w:p w:rsidRDefault="0002119B" w:rsidP="00A645D2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A645D2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02119B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b.) P-149/2015</w:t>
      </w:r>
    </w:p>
    <w:p w:rsidRDefault="0002119B" w:rsidP="0002119B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02119B" w:rsidR="0002119B" w:rsidRPr="00B85A63">
      <w:pPr>
        <w:jc w:val="both"/>
        <w:rPr>
          <w:rFonts w:hAnsi="Arial" w:ascii="Arial"/>
          <w:sz w:val="22"/>
          <w:szCs w:val="22"/>
          <w:lang w:val="hr-HR"/>
        </w:rPr>
      </w:pPr>
      <w:r w:rsidRPr="00B85A63">
        <w:rPr>
          <w:rFonts w:hAnsi="Arial" w:ascii="Arial"/>
          <w:sz w:val="22"/>
          <w:szCs w:val="22"/>
          <w:lang w:val="hr-HR"/>
        </w:rPr>
        <w:t>Pred Trgovačkim sudom u Zagrebu pod poslovnim brojem P-149/2015 je u tijeku parnični postupak po tužbi Mandel 94 d.o.o. c/a Poslovna ulaganja d.o.o. radi poništenja sporazuma o okvirnom iznosu zaduženja i osiguranju potraživanja zasnivanjem založnog prava na nekretnini od 10. listopada 2013. godine, od 23. prosinca 2013. godine, ugovora o zajmu od 23. siječnja 2014. godine te radi brisanja založnog prava i uspostave zemljišnoknjižnog stanja kakvo je bilo prije provedbe upisa tereta na nekretnini k.č.br. 3534/4 k.o. Sv. Jakov.</w:t>
      </w:r>
    </w:p>
    <w:p w:rsidRDefault="00A645D2" w:rsidP="00A645D2" w:rsidR="00A645D2" w:rsidRPr="00B85A63">
      <w:pPr>
        <w:jc w:val="both"/>
        <w:rPr>
          <w:rFonts w:hAnsi="Arial" w:ascii="Arial"/>
          <w:sz w:val="22"/>
          <w:szCs w:val="22"/>
          <w:lang w:val="hr-HR"/>
        </w:rPr>
      </w:pPr>
    </w:p>
    <w:p w:rsidRDefault="0002119B" w:rsidP="00A645D2" w:rsidR="003812F2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Tužitelj Mandel 94 d.o.o. tužbeni zahtjev temelji na navodima da je tuženik temeljem navedenih sporazuma isplatio tužitelju  </w:t>
      </w:r>
      <w:r w:rsidR="003812F2" w:rsidRPr="00B85A63">
        <w:rPr>
          <w:rFonts w:hAnsi="Arial" w:ascii="Arial"/>
          <w:color w:themeShade="1A" w:themeColor="background2" w:val="1D1B11"/>
          <w:sz w:val="22"/>
          <w:lang w:val="hr-HR"/>
        </w:rPr>
        <w:t>49.315,07 € i 3.129.976,52 kn, od čega je tužitelj tuženiku na ime povrata zajma isplatio 95.100,00 kn i da je stoga preostali dug 3.034.876,52 kn, a ne 800.000,00 € koliko tuženik navodno potražuje u ovršnom postupku. Time posredno tužitelj dokazuje da su sklopljeni sporazumi zelenaški.</w:t>
      </w:r>
    </w:p>
    <w:p w:rsidRDefault="003812F2" w:rsidP="00A645D2" w:rsidR="003812F2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3812F2" w:rsidP="00A645D2" w:rsidR="003812F2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Dakle, tužitelj u tužbi navodi da su među strankama sklopljena tri ugovora o zajmu, no </w:t>
      </w:r>
      <w:r w:rsidR="00AC5311" w:rsidRPr="00B85A63">
        <w:rPr>
          <w:rFonts w:hAnsi="Arial" w:ascii="Arial"/>
          <w:color w:themeShade="1A" w:themeColor="background2" w:val="1D1B11"/>
          <w:sz w:val="22"/>
          <w:lang w:val="hr-HR"/>
        </w:rPr>
        <w:t>iz sadržaja spisa</w:t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 je utvrđeno da su stranke sklopile ukupno šest ugovora, odnosno pored navedenih sklopljeni su i slijedeći ugovori:</w:t>
      </w:r>
    </w:p>
    <w:p w:rsidRDefault="003812F2" w:rsidP="003812F2" w:rsidR="003812F2" w:rsidRPr="00B85A63">
      <w:pPr>
        <w:pStyle w:val="Odlomakpopisa"/>
        <w:numPr>
          <w:ilvl w:val="0"/>
          <w:numId w:val="3"/>
        </w:num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ugovor o zajmu od 22.10.2013. kojim je tuženik odobrio tužitelju zajam od 230.136,99 €</w:t>
      </w:r>
    </w:p>
    <w:p w:rsidRDefault="003812F2" w:rsidP="003812F2" w:rsidR="003812F2" w:rsidRPr="00B85A63">
      <w:pPr>
        <w:pStyle w:val="Odlomakpopisa"/>
        <w:numPr>
          <w:ilvl w:val="0"/>
          <w:numId w:val="3"/>
        </w:num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 ugovor o zajmu od 6.3.2014. kojim je tuženik odobrio tužitelju zajam od 100.000,00 € te</w:t>
      </w:r>
    </w:p>
    <w:p w:rsidRDefault="003812F2" w:rsidP="003812F2" w:rsidR="003812F2" w:rsidRPr="00B85A63">
      <w:pPr>
        <w:pStyle w:val="Odlomakpopisa"/>
        <w:numPr>
          <w:ilvl w:val="0"/>
          <w:numId w:val="3"/>
        </w:num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ugovor o zajmu od 10.4.2014. kojim je tuženik odobrio tužitelju zajam od 21.917,81 €.</w:t>
      </w:r>
    </w:p>
    <w:p w:rsidRDefault="003812F2" w:rsidP="003812F2" w:rsidR="003812F2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3812F2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Iz navedenog proizlazi da punomoćnik tužitelja u vrijeme podnošenja tužbe (2015. godina) nije raspolagao podatak o ukupnom zaduženju i da je stoga naveden na zaključak da tuženik pozajmio tužitelju 401.369,87 € i 3.129.976,52 kn</w:t>
      </w:r>
      <w:r w:rsidR="00AC5311" w:rsidRPr="00B85A63">
        <w:rPr>
          <w:rFonts w:hAnsi="Arial" w:ascii="Arial"/>
          <w:color w:themeShade="1A" w:themeColor="background2" w:val="1D1B11"/>
          <w:sz w:val="22"/>
          <w:lang w:val="hr-HR"/>
        </w:rPr>
        <w:t>. Nadalje tužitelj nije dokazao pretpostavke iz čl. 329. st. 1. ZOO-a.</w:t>
      </w: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Sukladno navedenom procjenjujem neosnovanim tužbeni zahtjev u navedenom parničnom postupku.</w:t>
      </w: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U odnosu na vrijednost predmeta spora od 10.000,01 kn ističem da je tuženik prigovorio v.p.s.-u sukladno čl. 40. st. 3. ZPP-a, stoga predlaže da sud rješenjem odredi visinu tužbenog zahtjeva u iznosu od 200.000,01 kn. Ovisno o daljnjoj odluci suda moguće je </w:t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lastRenderedPageBreak/>
        <w:t>pretpostaviti troškove parničnog postupka u slučaju donošenja presude kojom se odbija tužbeni zahtjev.</w:t>
      </w: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No, u svakom slučaju do zaključenja glavne rasprave procjenjujem da će biti poduzete tri radnje, dakle sveukupno četiri radnje poduzete po punomoćniku tuženika. Ovisno dakle o određivanju v.p.s.-a troškovi parničnog postupka mogu iznositi 4.000,00 kn + PDV 1.000,00 kn, sveukupno 5.000,00 kn, uvećano za sudsku pristojbu 400,00 kn za tužbu i 400,00 kn za presudu, odnosno sveukupno 5.800,00 kn.</w:t>
      </w:r>
    </w:p>
    <w:p w:rsidRDefault="00AC5311" w:rsidP="003812F2" w:rsidR="00AC5311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AC5311" w:rsidP="003812F2" w:rsidR="00B85A63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Ukoliko sud odredi vrijednost predmeta spora  200.000,01 kn, tada se po istom modelu obračuna procjenjuju troškovi parničnog postupka </w:t>
      </w:r>
      <w:r w:rsidR="00B85A63" w:rsidRPr="00B85A63">
        <w:rPr>
          <w:rFonts w:hAnsi="Arial" w:ascii="Arial"/>
          <w:color w:themeShade="1A" w:themeColor="background2" w:val="1D1B11"/>
          <w:sz w:val="22"/>
          <w:lang w:val="hr-HR"/>
        </w:rPr>
        <w:t>25.000,00 kn, uvećano za sudsku pristojbu 2.350,00 kn za tužbu i 2.350,00 kn za presudu, odnosno sveukupno 29.700,00 kn.</w:t>
      </w:r>
    </w:p>
    <w:p w:rsidRDefault="00B85A63" w:rsidP="003812F2" w:rsidR="00B85A63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B85A63" w:rsidP="003812F2" w:rsidR="00B85A63" w:rsidRPr="00B85A63">
      <w:pPr>
        <w:jc w:val="both"/>
        <w:rPr>
          <w:rFonts w:hAnsi="Arial" w:ascii="Arial"/>
          <w:color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II. Uslijed navedenog predlažem održavanje skupštine </w:t>
      </w:r>
      <w:r w:rsidRPr="00B85A63">
        <w:rPr>
          <w:rFonts w:hAnsi="Arial" w:ascii="Arial"/>
          <w:color w:val="1D1B11"/>
          <w:sz w:val="22"/>
          <w:lang w:val="hr-HR"/>
        </w:rPr>
        <w:t>vjerovnika radi davanja/uskrate  suglasnosti sukladno čl. 230. st. 2. SZ-a, kao i radi davanja suglasnosti stečajnom upravitelju za izdavanje punomoći odvjetniku za zastupanje.</w:t>
      </w:r>
    </w:p>
    <w:p w:rsidRDefault="00B85A63" w:rsidP="003812F2" w:rsidR="00B85A63" w:rsidRPr="00B85A63">
      <w:pPr>
        <w:jc w:val="both"/>
        <w:rPr>
          <w:rFonts w:hAnsi="Arial" w:ascii="Arial"/>
          <w:color w:val="1D1B11"/>
          <w:sz w:val="22"/>
          <w:lang w:val="hr-HR"/>
        </w:rPr>
      </w:pPr>
    </w:p>
    <w:p w:rsidRDefault="00B31CCA" w:rsidP="003812F2" w:rsidR="00B31CCA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B31CCA" w:rsidP="00B31CCA" w:rsidR="00B31CCA" w:rsidRPr="00B85A63">
      <w:pPr>
        <w:jc w:val="both"/>
        <w:rPr>
          <w:rFonts w:hAnsi="Arial" w:ascii="Arial"/>
          <w:sz w:val="22"/>
          <w:lang w:val="hr-HR"/>
        </w:rPr>
      </w:pPr>
    </w:p>
    <w:p w:rsidRDefault="00B31CCA" w:rsidP="00B31CCA" w:rsidR="00B31CCA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</w:p>
    <w:p w:rsidRDefault="00B31CCA" w:rsidP="00B31CCA" w:rsidR="00B31CCA" w:rsidRPr="00B85A63">
      <w:pPr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</w:r>
      <w:r w:rsidRPr="00B85A63">
        <w:rPr>
          <w:rFonts w:hAnsi="Arial" w:ascii="Arial"/>
          <w:color w:themeShade="1A" w:themeColor="background2" w:val="1D1B11"/>
          <w:sz w:val="22"/>
          <w:lang w:val="hr-HR"/>
        </w:rPr>
        <w:tab/>
        <w:t>_____________________________</w:t>
      </w:r>
    </w:p>
    <w:p w:rsidRDefault="00B31CCA" w:rsidP="00B31CCA" w:rsidR="00B31CCA" w:rsidRPr="00B85A63">
      <w:pPr>
        <w:ind w:firstLine="720" w:left="4320"/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 xml:space="preserve">Marijana Sabljić </w:t>
      </w:r>
    </w:p>
    <w:p w:rsidRDefault="00B31CCA" w:rsidP="00B31CCA" w:rsidR="00B31CCA" w:rsidRPr="00B85A63">
      <w:pPr>
        <w:ind w:firstLine="720" w:left="4320"/>
        <w:jc w:val="both"/>
        <w:rPr>
          <w:rFonts w:hAnsi="Arial" w:ascii="Arial"/>
          <w:color w:themeShade="1A" w:themeColor="background2" w:val="1D1B11"/>
          <w:sz w:val="22"/>
          <w:lang w:val="hr-HR"/>
        </w:rPr>
      </w:pPr>
      <w:r w:rsidRPr="00B85A63">
        <w:rPr>
          <w:rFonts w:hAnsi="Arial" w:ascii="Arial"/>
          <w:color w:themeShade="1A" w:themeColor="background2" w:val="1D1B11"/>
          <w:sz w:val="22"/>
          <w:lang w:val="hr-HR"/>
        </w:rPr>
        <w:t>stečajna upraviteljica</w:t>
      </w:r>
    </w:p>
    <w:p w:rsidRDefault="00A645D2" w:rsidR="00A645D2" w:rsidRPr="00B85A63">
      <w:pPr>
        <w:rPr>
          <w:rFonts w:hAnsi="Arial" w:ascii="Arial"/>
          <w:sz w:val="22"/>
          <w:lang w:val="hr-HR"/>
        </w:rPr>
      </w:pPr>
    </w:p>
    <w:sectPr w:rsidSect="00A645D2" w:rsidR="00A645D2" w:rsidRPr="00B85A6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">
    <w:altName w:val="Times Roman"/>
    <w:panose1 w:val="02020603050405020304"/>
    <w:charset w:val="4D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1BA"/>
    <w:multiLevelType w:val="hybridMultilevel"/>
    <w:tmpl w:val="1738091A"/>
    <w:lvl w:tplc="C43E00C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B54DD1"/>
    <w:multiLevelType w:val="hybridMultilevel"/>
    <w:tmpl w:val="BDB08748"/>
    <w:lvl w:tplc="017EC1E4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EastAsia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9632C74"/>
    <w:multiLevelType w:val="hybridMultilevel"/>
    <w:tmpl w:val="519AE978"/>
    <w:lvl w:tplc="8312D5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CCA"/>
    <w:rsid w:val="0002119B"/>
    <w:rsid w:val="00160B1E"/>
    <w:rsid w:val="001C11D1"/>
    <w:rsid w:val="002E0E31"/>
    <w:rsid w:val="0036030D"/>
    <w:rsid w:val="003812F2"/>
    <w:rsid w:val="00441930"/>
    <w:rsid w:val="004F4C3E"/>
    <w:rsid w:val="005437B8"/>
    <w:rsid w:val="006B4BC7"/>
    <w:rsid w:val="00735456"/>
    <w:rsid w:val="009E718C"/>
    <w:rsid w:val="00A645D2"/>
    <w:rsid w:val="00AC5311"/>
    <w:rsid w:val="00B31CCA"/>
    <w:rsid w:val="00B85A63"/>
    <w:rsid w:val="00CE1626"/>
    <w:rsid w:val="00F26E5C"/>
    <w:rsid w:val="00F95BE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CCA"/>
    <w:rPr>
      <w:rFonts w:eastAsiaTheme="minorEastAsia"/>
    </w:rPr>
  </w:style>
  <w:style w:styleId="Naslov1" w:type="paragraph">
    <w:name w:val="heading 1"/>
    <w:basedOn w:val="Normal"/>
    <w:next w:val="Normal"/>
    <w:link w:val="Naslov1Char"/>
    <w:qFormat/>
    <w:rsid w:val="00B31CCA"/>
    <w:pPr>
      <w:keepNext/>
      <w:spacing w:after="60" w:before="240"/>
      <w:jc w:val="both"/>
      <w:outlineLvl w:val="0"/>
    </w:pPr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31CCA"/>
    <w:rPr>
      <w:rFonts w:cs="Arial" w:eastAsia="Times New Roman" w:hAnsi="Arial" w:ascii="Arial"/>
      <w:b/>
      <w:bCs/>
      <w:kern w:val="32"/>
      <w:sz w:val="32"/>
      <w:szCs w:val="32"/>
      <w:lang w:eastAsia="en-GB" w:val="hr-HR"/>
    </w:rPr>
  </w:style>
  <w:style w:styleId="Odlomakpopisa" w:type="paragraph">
    <w:name w:val="List Paragraph"/>
    <w:basedOn w:val="Normal"/>
    <w:uiPriority w:val="34"/>
    <w:qFormat/>
    <w:rsid w:val="00A645D2"/>
    <w:pPr>
      <w:ind w:left="720"/>
      <w:contextualSpacing/>
    </w:pPr>
  </w:style>
  <w:style w:styleId="StandardWeb" w:type="paragraph">
    <w:name w:val="Normal (Web)"/>
    <w:basedOn w:val="Normal"/>
    <w:uiPriority w:val="99"/>
    <w:rsid w:val="0036030D"/>
    <w:pPr>
      <w:spacing w:afterLines="1" w:beforeLines="1"/>
    </w:pPr>
    <w:rPr>
      <w:rFonts w:eastAsiaTheme="minorHAnsi" w:cs="Times New Roman" w:hAnsi="Times" w:ascii="Times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F4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4C3E"/>
    <w:rPr>
      <w:rFonts w:cs="Times New Roman" w:hAnsi="Times New Roman" w:ascii="Times New Roman"/>
      <w:color w:themeShade="1A" w:themeColor="background2" w:val="1D1B11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4C3E"/>
    <w:rPr>
      <w:rFonts w:cs="Tahoma"/>
      <w:color w:themeShade="1A" w:themeColor="background2" w:val="1D1B11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4C3E"/>
    <w:rPr>
      <w:rFonts w:cs="Tahoma" w:hAnsi="Times New Roman" w:ascii="Times New Roman"/>
      <w:color w:themeShade="1A" w:themeColor="background2" w:val="1D1B11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4C3E"/>
    <w:rPr>
      <w:rFonts w:cs="Tahoma" w:hAnsi="Times New Roman" w:ascii="Times New Roman"/>
      <w:color w:themeShade="1A" w:themeColor="background2" w:val="1D1B11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CCA"/>
    <w:rPr>
      <w:rFonts w:eastAsiaTheme="minorEastAsia"/>
    </w:rPr>
  </w:style>
  <w:style w:styleId="Naslov1" w:type="paragraph">
    <w:name w:val="heading 1"/>
    <w:basedOn w:val="Normal"/>
    <w:next w:val="Normal"/>
    <w:link w:val="Naslov1Char"/>
    <w:qFormat/>
    <w:rsid w:val="00B31CCA"/>
    <w:pPr>
      <w:keepNext/>
      <w:spacing w:after="60" w:before="240"/>
      <w:jc w:val="both"/>
      <w:outlineLvl w:val="0"/>
    </w:pPr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31CCA"/>
    <w:rPr>
      <w:rFonts w:ascii="Arial" w:cs="Arial" w:eastAsia="Times New Roman" w:hAnsi="Arial"/>
      <w:b/>
      <w:bCs/>
      <w:kern w:val="32"/>
      <w:sz w:val="32"/>
      <w:szCs w:val="32"/>
      <w:lang w:eastAsia="en-GB" w:val="hr-HR"/>
    </w:rPr>
  </w:style>
  <w:style w:styleId="Odlomakpopisa" w:type="paragraph">
    <w:name w:val="List Paragraph"/>
    <w:basedOn w:val="Normal"/>
    <w:uiPriority w:val="34"/>
    <w:qFormat/>
    <w:rsid w:val="00A645D2"/>
    <w:pPr>
      <w:ind w:left="720"/>
      <w:contextualSpacing/>
    </w:pPr>
  </w:style>
  <w:style w:styleId="StandardWeb" w:type="paragraph">
    <w:name w:val="Normal (Web)"/>
    <w:basedOn w:val="Normal"/>
    <w:uiPriority w:val="99"/>
    <w:rsid w:val="0036030D"/>
    <w:pPr>
      <w:spacing w:afterLines="1" w:beforeLines="1"/>
    </w:pPr>
    <w:rPr>
      <w:rFonts w:ascii="Times" w:cs="Times New Roman" w:eastAsiaTheme="minorHAnsi" w:hAnsi="Times"/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4F4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4C3E"/>
    <w:rPr>
      <w:rFonts w:ascii="Times New Roman" w:cs="Times New Roman" w:hAnsi="Times New Roman"/>
      <w:color w:themeColor="background2" w:themeShade="1A" w:val="1D1B11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4C3E"/>
    <w:rPr>
      <w:rFonts w:cs="Tahoma"/>
      <w:color w:themeColor="background2" w:themeShade="1A" w:val="1D1B11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4C3E"/>
    <w:rPr>
      <w:rFonts w:ascii="Times New Roman" w:cs="Tahoma" w:hAnsi="Times New Roman"/>
      <w:color w:themeColor="background2" w:themeShade="1A" w:val="1D1B11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4C3E"/>
    <w:rPr>
      <w:rFonts w:ascii="Times New Roman" w:cs="Tahoma" w:hAnsi="Times New Roman"/>
      <w:color w:themeColor="background2" w:themeShade="1A" w:val="1D1B11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298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2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75028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8410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6910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1973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Odvjetnica Marijana Sabljić</properties:Company>
  <properties:Pages>4</properties:Pages>
  <properties:Words>1333</properties:Words>
  <properties:Characters>7785</properties:Characters>
  <properties:Lines>173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2019-03-27T12:39:00Z</dcterms:created>
  <dc:creator>MARIJANA SABLJIĆ</dc:creator>
  <cp:lastModifiedBy>Kristina Švajger</cp:lastModifiedBy>
  <cp:lastPrinted>2019-03-22T13:42:00Z</cp:lastPrinted>
  <dcterms:modified xmlns:xsi="http://www.w3.org/2001/XMLSchema-instance" xsi:type="dcterms:W3CDTF">2019-03-27T12:40:00Z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St-4699/2016-31 / Podnesak - Podnesak (podnesak st. upravitelja, 25. 3.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