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232e" w14:paraId="0fc232e"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center"/>
        <w:rPr>
          <w:b/>
        </w:rPr>
      </w:pPr>
      <w:r>
        <w:rPr>
          <w:b/>
        </w:rPr>
        <w:t>R E P U B L I K A    H R V A T S K A</w:t>
      </w:r>
    </w:p>
    <w:p w:rsidRDefault="00572AD2" w:rsidP="00572AD2" w:rsidR="00572AD2">
      <w:pPr>
        <w:spacing w:after="0"/>
        <w:jc w:val="center"/>
        <w:rPr>
          <w:b/>
        </w:rPr>
      </w:pPr>
    </w:p>
    <w:p w:rsidRDefault="00572AD2" w:rsidP="00572AD2" w:rsidR="00572AD2">
      <w:pPr>
        <w:spacing w:after="0"/>
        <w:jc w:val="center"/>
        <w:rPr>
          <w:b/>
        </w:rPr>
      </w:pPr>
      <w:r>
        <w:rPr>
          <w:b/>
        </w:rPr>
        <w:t>R J E Š E NJ E</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both"/>
      </w:pPr>
      <w:r>
        <w:t>Visoki trgovački sud Republike Hrvatske, u vijeću sastavljenom od sudaca Kamelije Parać, predsjednice vijeća, Gorane Aralice Martinović, sutkinje izvjestiteljice, i Davora Pustijanca, člana vijeća, u predstečajnom postupku nad dužnikom VOĆNJAK društvo s ograničenom odgovornošću za proizvodnju i usluge, OIB 52871551229, MBS 030104368, Bjelovar, Matice Hrvatske 4/1, odlučujući o dužnikovoj žalbi protiv rješenja Trgovačkog suda u Bjelovaru poslovni broj St-1339/16-49 od 28. ožujka 2017., u sjednici vijeća održanoj 31. svibnja 2017.</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center"/>
      </w:pPr>
      <w:r>
        <w:t>r i j e š i o   j e</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ind w:firstLine="708"/>
        <w:jc w:val="both"/>
      </w:pPr>
      <w:r>
        <w:t>Ukida se rješenje Trgovačkog suda u Bjelovaru poslovni broj St-1339/16-49 od 28. ožujka 2017. i predmet vraća prvostupanjskom sudu na ponovan postupak.</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center"/>
      </w:pPr>
      <w:r>
        <w:t>Obrazloženje</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both"/>
      </w:pPr>
      <w:r>
        <w:tab/>
        <w:t xml:space="preserve">Trgovački sud u Bjelovaru je rješenjem poslovni broj St-1339/16-49 od 28. ožujka 2017. obustavio predstečajni postupak (točka I. izreke) te odredio da će nakon pravomoćnosti odluke o obustavi, sud po službenoj dužnosti nastaviti postupak kao da je podnesen prijedlog za otvaranje stečajnog postupka (točka II. izreke) primjenom odredbe čl. 64. st. 1. i 2. Stečajnog zakona („Narodne novine“ broj 71/15; dalje: SZ). </w:t>
      </w:r>
    </w:p>
    <w:p w:rsidRDefault="00572AD2" w:rsidP="00572AD2" w:rsidR="00572AD2">
      <w:pPr>
        <w:spacing w:after="0"/>
        <w:jc w:val="both"/>
      </w:pPr>
    </w:p>
    <w:p w:rsidRDefault="00572AD2" w:rsidP="00572AD2" w:rsidR="00572AD2">
      <w:pPr>
        <w:spacing w:after="0"/>
        <w:ind w:firstLine="708"/>
        <w:jc w:val="both"/>
      </w:pPr>
      <w:r>
        <w:t xml:space="preserve">Iz obrazloženja pobijanog rješenja proizlazi da je sud prvog stupnja utvrdio da je dužnik podnio prijedlog za otvaranje predstečajnog postupka, na temelju odredbe čl. 25. st. 1. Stečajnog zakona („Narodne novine“ broj 71/15), nakon čega je prvostupanjski sud 1. rujna 2016. donio rješenje o otvaranju predstečajnog postupka. U planu financijskog i operativnog restrukturiranja, dostavljenom na spis 29. kolovoza 2016., dužnik je naveo da njegove obveze prema vjerovnicima iznose ukupno 11.773.659,68 kn. Na temelju tablice ispitanih tražbina sud je 10. studenog 2016. donio rješenje o utvrđenim i osporenim tražbinama, koje je pravomoćno. Tim su rješenjem utvrđene tražbine u iznosu od ukupno 19.546.031,01 kn pa prvostupanjski sud zaključuje da je iznos utvrđenih tražbina za (znatno iznad) 10% veći od iznosa obveza vjerovnicima koje je dužnik naveo, te da su radi toga ispunjene pretpostavke za obustavu postupka propisane odredbom čl. 64. st. 1. t. 2. i st. 2. SZ-a. </w:t>
      </w:r>
    </w:p>
    <w:p w:rsidRDefault="00572AD2" w:rsidP="00572AD2" w:rsidR="00572AD2">
      <w:pPr>
        <w:spacing w:after="0"/>
        <w:ind w:firstLine="708"/>
        <w:jc w:val="both"/>
      </w:pPr>
      <w:r>
        <w:lastRenderedPageBreak/>
        <w:t>Protiv tog rješenja žalbu je pravovremeno izjavio dužnik (ujedno i predlagatelj) ne navodeći posebno žalbene razloge. U bitnome, navodi da sud prvog stupnja u obrazloženju pobijanog rješenja pogrešno zaključuje da je u planu financijskog i operativnog restrukturiranja od 29. kolovoza 2016. dužnik naveo da njegove obveze prema vjerovnicima iznose ukupno 11.773,659,68 kn tvrdeći da je dužnik u svom prijedlogu naveo da njegove obveze prema vjerovnicima iznose ukupno 52.730.013,38 kn. Predlaže preinačiti pobijano rješenje, podredno, ukinuti ga i predmet vratiti prvostupanjskom sudu na ponovno suđenje.</w:t>
      </w:r>
    </w:p>
    <w:p w:rsidRDefault="00572AD2" w:rsidP="00572AD2" w:rsidR="00572AD2">
      <w:pPr>
        <w:spacing w:after="0"/>
        <w:jc w:val="both"/>
      </w:pPr>
    </w:p>
    <w:p w:rsidRDefault="00572AD2" w:rsidP="00572AD2" w:rsidR="00572AD2">
      <w:pPr>
        <w:spacing w:after="0"/>
        <w:ind w:firstLine="708"/>
        <w:jc w:val="both"/>
      </w:pPr>
      <w:r>
        <w:t>Na žalbu nije odgovoreno.</w:t>
      </w:r>
    </w:p>
    <w:p w:rsidRDefault="00572AD2" w:rsidP="00572AD2" w:rsidR="00572AD2">
      <w:pPr>
        <w:spacing w:after="0"/>
        <w:jc w:val="both"/>
      </w:pPr>
    </w:p>
    <w:p w:rsidRDefault="00572AD2" w:rsidP="00572AD2" w:rsidR="00572AD2">
      <w:pPr>
        <w:spacing w:after="0"/>
        <w:jc w:val="both"/>
      </w:pPr>
      <w:r>
        <w:tab/>
        <w:t>Žalba je osnovana.</w:t>
      </w:r>
    </w:p>
    <w:p w:rsidRDefault="00572AD2" w:rsidP="00572AD2" w:rsidR="00572AD2">
      <w:pPr>
        <w:spacing w:after="0"/>
        <w:ind w:firstLine="708"/>
        <w:jc w:val="both"/>
      </w:pPr>
    </w:p>
    <w:p w:rsidRDefault="00572AD2" w:rsidP="00572AD2" w:rsidR="00572AD2">
      <w:pPr>
        <w:spacing w:after="0"/>
        <w:ind w:firstLine="708"/>
        <w:jc w:val="both"/>
      </w:pPr>
      <w:r>
        <w:t>Ispitujući pobijano rješenje sukladno odredbama čl. 365. i čl. 381. Zakona o parničnom postupku („Narodne novine“ broj 53/91, 91/92, 112/99, 88/01, 117/03, 88/05, 84/08, 123/08, 57/11, 148/11 i 25/13; dalje: ZPP), u vezi s odredbom čl. 10. SZ-a, pazeći po službenoj dužnosti na bitne povrede odredaba postupka iz čl. 354. st. 2. t. 2., 4., 8., 9., 11., 13. i 14. ZPP-a, kao i na pravilnu primjenu materijalnog prava, ovaj sud nalazi da je pobijano rješenje zahvaćeno bitnom povredom odredaba parničnog postupka iz čl. 354. st. 2. t. 11. ZPP-a.</w:t>
      </w:r>
    </w:p>
    <w:p w:rsidRDefault="00572AD2" w:rsidP="00572AD2" w:rsidR="00572AD2">
      <w:pPr>
        <w:spacing w:after="0"/>
        <w:jc w:val="both"/>
      </w:pPr>
    </w:p>
    <w:p w:rsidRDefault="00572AD2" w:rsidP="00572AD2" w:rsidR="00572AD2">
      <w:pPr>
        <w:spacing w:after="0"/>
        <w:jc w:val="both"/>
      </w:pPr>
      <w:r>
        <w:tab/>
        <w:t>Prvostupanjski sud svoju odluku zasniva na činjenici da su na ročištu radi ispitivanja tražbina koje je održano 2. studenog 2016. utvrđene tražbine u iznosu od 19.546.031,01 kn, a da je u prijedlogu za otvaranje predstečajnog postupka od 29. kolovoza 2016. dužnik naveo da njegove obveze prema vjerovnicima iznose 11.773.659,68 kn.</w:t>
      </w:r>
    </w:p>
    <w:p w:rsidRDefault="00572AD2" w:rsidP="00572AD2" w:rsidR="00572AD2">
      <w:pPr>
        <w:spacing w:after="0"/>
        <w:jc w:val="both"/>
      </w:pPr>
    </w:p>
    <w:p w:rsidRDefault="00572AD2" w:rsidP="00572AD2" w:rsidR="00572AD2">
      <w:pPr>
        <w:spacing w:after="0"/>
        <w:ind w:firstLine="708"/>
        <w:jc w:val="both"/>
      </w:pPr>
      <w:r>
        <w:t>Prema podacima iz spisa proizlazi da je dužnik podnio prijedlog za otvaranje predstečajnog postupka (list 1. – 25. spisa), koji je prijedlog, prema nalogu suda prvog stupnja od 24. kolovoza 2016., dopunjen podnescima dužnika 29. kolovoza 2016. (list 28. – 56. spisa) i povodom kojeg je prijedloga, rješenjem suda prvog stupnja od 1. rujna 2016. (list 57. – 59. spisa) otvoren predstečajni postupak, imenovan povjerenik te su pozvani vjerovnici prijaviti svoje tražbine. Na ročištu radi ispitivanja tražbina koje je održano 2. studenog 2016. sastavljena je tablica ispitanih tražbina i na temelju te tablice doneseno je rješenje o utvrđenim i osporenim tražbinama kojim su utvrđene tražbine u iznosu od 19.546.031,01 kn. Rješenje o utvrđenim i osporenim tražbinama poslovni broj St-1339/16-20 od 10. studenog 2016. (list 170. do 174. spisa) postalo je pravomoćno (čl. 47. SZ-a), a rješenjem Visokog trgovačkog suda Republike Hrvatske poslovni broj Pž-8048/16-2 od 8. prosinca 2016. odbijena je dužnikova žalba i potvrđeno to rješenje (list 208. do 209. spisa).</w:t>
      </w:r>
    </w:p>
    <w:p w:rsidRDefault="00572AD2" w:rsidP="00572AD2" w:rsidR="00572AD2">
      <w:pPr>
        <w:spacing w:after="0"/>
        <w:jc w:val="both"/>
      </w:pPr>
    </w:p>
    <w:p w:rsidRDefault="00572AD2" w:rsidP="00572AD2" w:rsidR="00572AD2">
      <w:pPr>
        <w:spacing w:after="0"/>
        <w:jc w:val="both"/>
      </w:pPr>
      <w:r>
        <w:tab/>
        <w:t>Odredbom čl 64. st. 1. t. 2. SZ-a propisano je da će sud rješenjem obustaviti predstečajni postupak ako je iznos utvrđenih tražbina za 10% veći od iznosa obveza prema vjerovnicima koje je dužnik naveo u prijedlogu.</w:t>
      </w:r>
    </w:p>
    <w:p w:rsidRDefault="00572AD2" w:rsidP="00572AD2" w:rsidR="00572AD2">
      <w:pPr>
        <w:spacing w:after="0"/>
        <w:jc w:val="both"/>
      </w:pPr>
    </w:p>
    <w:p w:rsidRDefault="00572AD2" w:rsidP="00572AD2" w:rsidR="00572AD2">
      <w:pPr>
        <w:spacing w:after="0"/>
        <w:jc w:val="both"/>
      </w:pPr>
      <w:r>
        <w:tab/>
        <w:t xml:space="preserve">Iz prijedloga za otvaranje predstečajnog postupka (list 1. – 25. spisa), koji je prema nalogu suda prvog stupnja od 24. kolovoza 2016., dopunjen podnescima dužnika 29. kolovoza 2016. (list 28. – 56. spisa) navedeno je da se predstečajna nagodba planira sklopiti između dužnika i vjerovnika predstečajne nagodbe s utvrđenim tražbinama u ukupnom iznosu od 11.773.659,68 kn (list 46. spisa), a posebno su naznačene uvjetne tražbine u iznosu od 40.956.353,70 kn. </w:t>
      </w:r>
    </w:p>
    <w:p w:rsidRDefault="00572AD2" w:rsidP="00572AD2" w:rsidR="00572AD2">
      <w:pPr>
        <w:spacing w:after="0"/>
        <w:ind w:firstLine="708"/>
        <w:jc w:val="both"/>
      </w:pPr>
      <w:r>
        <w:t xml:space="preserve">Osnovano žalitelj navodi da je pogrešno utvrđenje prvostupanjskog suda da je dužnik naveo da njegove obveze prema vjerovnicima iznose ukupno 11.773.659,68 kn jer iz </w:t>
      </w:r>
      <w:r>
        <w:lastRenderedPageBreak/>
        <w:t>prijedloga proizlazi da je dužnik ukupno naveo u prijedlogu da njegove obveze prema vjerovnicima iznose 52.730.013,38 kn. Posebno je naveo „utvrđene tražbine“ u iznosu od 11.773.659,68 kn i posebno je naveo „uvjetne tražbine“ u iznosu od 40.956.353,70 kn. Stoga iz stanja spisa ne proizlazi da je iznos utvrđenih tražbina u iznosu od 19.546.031,01 kn za 10% veći od iznosa obveza koje je dužnik naveo jer je dužnik u prijedlogu naveo iznos od 52.730.013,38 kn koji je veći od iznosa utvrđenih tražbina navedenih u rješenju o utvrđenim i osporenim tražbinama poslovni broj St-1339/16-20 od 10. studenog 2016. (list 170. do 174. spisa).</w:t>
      </w:r>
    </w:p>
    <w:p w:rsidRDefault="00572AD2" w:rsidP="00572AD2" w:rsidR="00572AD2">
      <w:pPr>
        <w:spacing w:after="0"/>
        <w:ind w:firstLine="708"/>
        <w:jc w:val="both"/>
      </w:pPr>
    </w:p>
    <w:p w:rsidRDefault="00572AD2" w:rsidP="00572AD2" w:rsidR="00572AD2">
      <w:pPr>
        <w:spacing w:after="0"/>
        <w:ind w:firstLine="708"/>
        <w:jc w:val="both"/>
      </w:pPr>
      <w:r>
        <w:t>Slijedom navedenog, navodi iz obrazloženja odluke su u suprotnosti sa stanjem spisa koje ne daje opravdanje zaključku prvostupanjskog suda da su ispunjene pretpostavke za obustavu postupka u smislu odredbe čl. 64. st. 1. t. 2. SZ-a pa je dužnikova žalba uvažena, a prvostupanjsko rješenje ukinuto te predmet vraćen na ponovan postupak (čl. 380. t. 3. ZPP-a u vezi s čl. 10. SZ-a).</w:t>
      </w:r>
    </w:p>
    <w:p w:rsidRDefault="00572AD2" w:rsidP="00572AD2" w:rsidR="00572AD2">
      <w:pPr>
        <w:spacing w:after="0"/>
        <w:jc w:val="both"/>
      </w:pPr>
    </w:p>
    <w:p w:rsidRDefault="00572AD2" w:rsidP="00572AD2" w:rsidR="00572AD2">
      <w:pPr>
        <w:spacing w:after="0"/>
        <w:jc w:val="center"/>
      </w:pPr>
      <w:r>
        <w:t>U Zagrebu 31. svibnja 2017.</w:t>
      </w:r>
    </w:p>
    <w:p w:rsidRDefault="00572AD2" w:rsidP="00572AD2" w:rsidR="00572AD2">
      <w:pPr>
        <w:spacing w:after="0"/>
        <w:jc w:val="both"/>
      </w:pPr>
    </w:p>
    <w:p w:rsidRDefault="00572AD2" w:rsidP="00572AD2" w:rsidR="00572AD2">
      <w:pPr>
        <w:spacing w:after="0"/>
        <w:jc w:val="both"/>
      </w:pPr>
      <w:r>
        <w:tab/>
      </w:r>
      <w:r>
        <w:tab/>
      </w:r>
      <w:r>
        <w:tab/>
      </w:r>
      <w:r>
        <w:tab/>
      </w:r>
      <w:r>
        <w:tab/>
      </w:r>
      <w:r>
        <w:tab/>
      </w:r>
      <w:r>
        <w:tab/>
      </w:r>
      <w:r>
        <w:tab/>
        <w:t>PREDSJEDNICA VIJEĆA</w:t>
      </w:r>
    </w:p>
    <w:p w:rsidRDefault="00572AD2" w:rsidP="00572AD2" w:rsidR="00572AD2">
      <w:pPr>
        <w:spacing w:after="0"/>
        <w:jc w:val="both"/>
      </w:pPr>
      <w:r>
        <w:tab/>
      </w:r>
      <w:r>
        <w:tab/>
      </w:r>
      <w:r>
        <w:tab/>
      </w:r>
      <w:r>
        <w:tab/>
      </w:r>
      <w:r>
        <w:tab/>
      </w:r>
      <w:r>
        <w:tab/>
      </w:r>
      <w:r>
        <w:tab/>
      </w:r>
      <w:r>
        <w:tab/>
        <w:t>KAMELIJA PARAĆ, v.r.</w:t>
      </w:r>
    </w:p>
    <w:p w:rsidRDefault="00572AD2" w:rsidP="00572AD2" w:rsidR="00572AD2">
      <w:pPr>
        <w:spacing w:after="0"/>
        <w:jc w:val="both"/>
      </w:pPr>
    </w:p>
    <w:p w:rsidRDefault="00572AD2" w:rsidP="00572AD2" w:rsidR="00572AD2">
      <w:pPr>
        <w:spacing w:after="0"/>
        <w:ind w:left="5664"/>
        <w:jc w:val="both"/>
        <w:rPr>
          <w:rFonts w:eastAsia="Calibri"/>
        </w:rPr>
      </w:pPr>
      <w:r>
        <w:rPr>
          <w:rFonts w:eastAsia="Calibri"/>
        </w:rPr>
        <w:t xml:space="preserve">Za točnost otpravka </w:t>
      </w:r>
    </w:p>
    <w:p w:rsidRDefault="00572AD2" w:rsidP="00572AD2" w:rsidR="00572AD2">
      <w:pPr>
        <w:spacing w:after="0"/>
        <w:ind w:left="5664"/>
        <w:jc w:val="both"/>
        <w:rPr>
          <w:rFonts w:eastAsia="Calibri"/>
        </w:rPr>
      </w:pPr>
      <w:r>
        <w:rPr>
          <w:rFonts w:eastAsia="Calibri"/>
        </w:rPr>
        <w:t xml:space="preserve">ovlašteni službenik </w:t>
      </w:r>
    </w:p>
    <w:p w:rsidRDefault="00572AD2" w:rsidP="00572AD2" w:rsidR="00572AD2">
      <w:pPr>
        <w:spacing w:after="0"/>
        <w:ind w:left="5664"/>
        <w:jc w:val="both"/>
        <w:rPr>
          <w:rFonts w:eastAsia="Calibri"/>
        </w:rPr>
      </w:pPr>
    </w:p>
    <w:p w:rsidRDefault="00572AD2" w:rsidP="00572AD2" w:rsidR="00572AD2">
      <w:pPr>
        <w:spacing w:after="0"/>
        <w:ind w:left="5664"/>
        <w:jc w:val="both"/>
        <w:rPr>
          <w:rFonts w:eastAsia="Calibri"/>
        </w:rPr>
      </w:pPr>
      <w:r>
        <w:rPr>
          <w:rFonts w:eastAsia="Calibri"/>
        </w:rPr>
        <w:t>BRANKICA CURMAN</w:t>
      </w:r>
    </w:p>
    <w:p w:rsidRDefault="00572AD2" w:rsidP="00572AD2" w:rsidR="00572AD2">
      <w:pPr>
        <w:spacing w:after="0"/>
        <w:jc w:val="both"/>
      </w:pPr>
    </w:p>
    <w:p w:rsidRDefault="00572AD2" w:rsidP="00572AD2" w:rsidR="00572AD2">
      <w:pPr>
        <w:spacing w:after="0"/>
        <w:jc w:val="both"/>
      </w:pPr>
    </w:p>
    <w:p w:rsidRDefault="00572AD2" w:rsidP="00572AD2" w:rsidR="00572AD2">
      <w:pPr>
        <w:spacing w:after="0"/>
        <w:jc w:val="center"/>
      </w:pPr>
    </w:p>
    <w:p w:rsidRDefault="00C22ACB" w:rsidP="00C22ACB" w:rsidR="00C22ACB">
      <w:pPr>
        <w:spacing w:after="0"/>
        <w:jc w:val="both"/>
      </w:pPr>
    </w:p>
    <w:sectPr w:rsidR="00C22AC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723" w:rsidP="00BD5A69" w:rsidR="009B0723">
      <w:pPr>
        <w:spacing w:after="0"/>
      </w:pPr>
      <w:r>
        <w:separator/>
      </w:r>
    </w:p>
  </w:endnote>
  <w:endnote w:id="0" w:type="continuationSeparator">
    <w:p w:rsidRDefault="009B0723" w:rsidP="00BD5A69" w:rsidR="009B072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A40580">
          <w:rPr>
            <w:noProof/>
          </w:rPr>
          <w:t>3</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723" w:rsidP="00BD5A69" w:rsidR="009B0723">
      <w:pPr>
        <w:spacing w:after="0"/>
      </w:pPr>
      <w:r>
        <w:separator/>
      </w:r>
    </w:p>
  </w:footnote>
  <w:footnote w:id="0" w:type="continuationSeparator">
    <w:p w:rsidRDefault="009B0723" w:rsidP="00BD5A69" w:rsidR="009B072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572AD2">
      <w:t>73 Pž-2758/2017-2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162C1B"/>
    <w:rsid w:val="001705BB"/>
    <w:rsid w:val="001F6D10"/>
    <w:rsid w:val="00233ACE"/>
    <w:rsid w:val="002E6EBB"/>
    <w:rsid w:val="003D0BF9"/>
    <w:rsid w:val="005474F3"/>
    <w:rsid w:val="00572AD2"/>
    <w:rsid w:val="006D7A34"/>
    <w:rsid w:val="00896057"/>
    <w:rsid w:val="009538B5"/>
    <w:rsid w:val="009B0723"/>
    <w:rsid w:val="00A40580"/>
    <w:rsid w:val="00BD5A69"/>
    <w:rsid w:val="00C22ACB"/>
    <w:rsid w:val="00CE72E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40580"/>
    <w:rPr>
      <w:color w:val="808080"/>
      <w:bdr w:space="0" w:sz="0" w:color="auto" w:val="none"/>
      <w:shd w:fill="auto" w:color="auto" w:val="clear"/>
    </w:rPr>
  </w:style>
  <w:style w:customStyle="true" w:styleId="eSPISCCParagraphDefaultFont" w:type="character">
    <w:name w:val="eSPIS_CC_Paragraph Default Font"/>
    <w:basedOn w:val="Zadanifontodlomka"/>
    <w:rsid w:val="00A405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0580"/>
    <w:rPr>
      <w:bdr w:space="0" w:sz="0" w:color="auto" w:val="none"/>
      <w:shd w:fill="FFFFCC" w:color="auto" w:val="clear"/>
      <w:lang w:val="hr-HR"/>
    </w:rPr>
  </w:style>
  <w:style w:customStyle="true" w:styleId="PozadinaSvijetloCrvena" w:type="character">
    <w:name w:val="Pozadina_SvijetloCrvena"/>
    <w:basedOn w:val="eSPISCCParagraphDefaultFont"/>
    <w:rsid w:val="00A405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05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A40580"/>
    <w:rPr>
      <w:color w:val="808080"/>
      <w:bdr w:color="auto" w:space="0" w:sz="0" w:val="none"/>
      <w:shd w:color="auto" w:fill="auto" w:val="clear"/>
    </w:rPr>
  </w:style>
  <w:style w:customStyle="1" w:styleId="eSPISCCParagraphDefaultFont" w:type="character">
    <w:name w:val="eSPIS_CC_Paragraph Default Font"/>
    <w:basedOn w:val="Zadanifontodlomka"/>
    <w:rsid w:val="00A405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0580"/>
    <w:rPr>
      <w:bdr w:color="auto" w:space="0" w:sz="0" w:val="none"/>
      <w:shd w:color="auto" w:fill="FFFFCC" w:val="clear"/>
      <w:lang w:val="hr-HR"/>
    </w:rPr>
  </w:style>
  <w:style w:customStyle="1" w:styleId="PozadinaSvijetloCrvena" w:type="character">
    <w:name w:val="Pozadina_SvijetloCrvena"/>
    <w:basedOn w:val="eSPISCCParagraphDefaultFont"/>
    <w:rsid w:val="00A405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05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840312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St-295/2017-1</izvorni_sadrzaj>
    <derivirana_varijabla naziv="DomainObject.Oznaka_1">St-295/2017-1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Pavao Mrkonjić, odvjetnik</item>
      <item>Perica Medaković</item>
      <item>Odvjetnik Hrvoje Kuprešak</item>
      <item>Odvjetničko društvo Gugić &amp; Kovačić</item>
    </izvorni_sadrzaj>
    <derivirana_varijabla naziv="DomainObject.Predmet.OstaliListFormated_1">
      <item>Pavao Mrkonjić, odvjetnik</item>
      <item>Perica Medaković</item>
      <item>Odvjetnik Hrvoje Kuprešak</item>
      <item>Odvjetničko društvo Gugić &amp; Kovačić</item>
    </derivirana_varijabla>
  </DomainObject.Predmet.OstaliListFormated>
  <DomainObject.Predmet.OstaliListFormatedOIB>
    <izvorni_sadrzaj>
      <item>Pavao Mrkonjić, odvjetnik</item>
      <item>Perica Medaković, OIB 37577204378</item>
      <item>Odvjetnik Hrvoje Kuprešak</item>
      <item>Odvjetničko društvo Gugić &amp; Kovačić</item>
    </izvorni_sadrzaj>
    <derivirana_varijabla naziv="DomainObject.Predmet.OstaliListFormatedOIB_1">
      <item>Pavao Mrkonjić, odvjetnik</item>
      <item>Perica Medaković, OIB 37577204378</item>
      <item>Odvjetnik Hrvoje Kuprešak</item>
      <item>Odvjetničko društvo Gugić &amp; Kovačić</item>
    </derivirana_varijabla>
  </DomainObject.Predmet.OstaliListFormatedOIB>
  <DomainObject.Predmet.OstaliListFormatedWithAdress>
    <izvorni_sadrzaj>
      <item>Pavao Mrkonjić, odvjetnik, Ante Topić Mimare 24, 10000 Zagreb</item>
      <item>Perica Medaković, Ivana Mažuranića 2d, 43500 Daruvar</item>
      <item>Odvjetnik Hrvoje Kuprešak, Meštrovićev trg 2, 10000 Zagreb</item>
      <item>Odvjetničko društvo Gugić &amp; Kovačić, Radnička cesta 52/VII, Green Gold - R2, 10000 Zagreb</item>
    </izvorni_sadrzaj>
    <derivirana_varijabla naziv="DomainObject.Predmet.OstaliListFormatedWithAdress_1">
      <item>Pavao Mrkonjić, odvjetnik, Ante Topić Mimare 24, 10000 Zagreb</item>
      <item>Perica Medaković, Ivana Mažuranića 2d, 43500 Daruvar</item>
      <item>Odvjetnik Hrvoje Kuprešak, Meštrovićev trg 2, 10000 Zagreb</item>
      <item>Odvjetničko društvo Gugić &amp; Kovačić, Radnička cesta 52/VII, Green Gold - R2, 10000 Zagreb</item>
    </derivirana_varijabla>
  </DomainObject.Predmet.OstaliListFormatedWithAdress>
  <DomainObject.Predmet.OstaliListFormatedWithAdressOIB>
    <izvorni_sadrzaj>
      <item>Pavao Mrkonjić, odvjetnik, Ante Topić Mimare 24, 10000 Zagreb</item>
      <item>Perica Medaković, OIB 37577204378, Ivana Mažuranića 2d, 43500 Daruvar</item>
      <item>Odvjetnik Hrvoje Kuprešak, Meštrovićev trg 2, 10000 Zagreb</item>
      <item>Odvjetničko društvo Gugić &amp; Kovačić, Radnička cesta 52/VII, Green Gold - R2, 10000 Zagreb</item>
    </izvorni_sadrzaj>
    <derivirana_varijabla naziv="DomainObject.Predmet.OstaliListFormatedWithAdressOIB_1">
      <item>Pavao Mrkonjić, odvjetnik, Ante Topić Mimare 24, 10000 Zagreb</item>
      <item>Perica Medaković, OIB 37577204378, Ivana Mažuranića 2d, 43500 Daruvar</item>
      <item>Odvjetnik Hrvoje Kuprešak, Meštrovićev trg 2, 10000 Zagreb</item>
      <item>Odvjetničko društvo Gugić &amp; Kovačić, Radnička cesta 52/VII, Green Gold - R2, 10000 Zagreb</item>
    </derivirana_varijabla>
  </DomainObject.Predmet.OstaliListFormatedWithAdressOIB>
  <DomainObject.Predmet.OstaliListNazivFormated>
    <izvorni_sadrzaj>
      <item>Pavao Mrkonjić, odvjetnik</item>
      <item>Perica Medaković</item>
      <item>Odvjetnik Hrvoje Kuprešak</item>
      <item>Odvjetničko društvo Gugić &amp; Kovačić</item>
    </izvorni_sadrzaj>
    <derivirana_varijabla naziv="DomainObject.Predmet.OstaliListNazivFormated_1">
      <item>Pavao Mrkonjić, odvjetnik</item>
      <item>Perica Medaković</item>
      <item>Odvjetnik Hrvoje Kuprešak</item>
      <item>Odvjetničko društvo Gugić &amp; Kovačić</item>
    </derivirana_varijabla>
  </DomainObject.Predmet.OstaliListNazivFormated>
  <DomainObject.Predmet.OstaliListNazivFormatedOIB>
    <izvorni_sadrzaj>
      <item>Pavao Mrkonjić, odvjetnik</item>
      <item>Perica Medaković, OIB 37577204378</item>
      <item>Odvjetnik Hrvoje Kuprešak</item>
      <item>Odvjetničko društvo Gugić &amp; Kovačić</item>
    </izvorni_sadrzaj>
    <derivirana_varijabla naziv="DomainObject.Predmet.OstaliListNazivFormatedOIB_1">
      <item>Pavao Mrkonjić, odvjetnik</item>
      <item>Perica Medaković, OIB 37577204378</item>
      <item>Odvjetnik Hrvoje Kuprešak</item>
      <item>Odvjetničko društvo Gugić &amp;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Pavao Mrkonjić, odvjetnik</item>
      <item>Perica Medaković</item>
      <item>Odvjetnik Hrvoje Kuprešak</item>
      <item>Odvjetničko društvo Gugić &amp; Kovačić</item>
    </izvorni_sadrzaj>
    <derivirana_varijabla naziv="DomainObject.Predmet.SudioniciListNaziv_1">
      <item>VOĆNJAK društvo s ograničenom odgovornošću za proizvodnju i usluge</item>
      <item>Pavao Mrkonjić, odvjetnik</item>
      <item>Perica Medaković</item>
      <item>Odvjetnik Hrvoje Kuprešak</item>
      <item>Odvjetničko društvo Gugić &amp; Kovačić</item>
    </derivirana_varijabla>
  </DomainObject.Predmet.SudioniciListNaziv>
  <DomainObject.Predmet.SudioniciListAdressOIB>
    <izvorni_sadrzaj>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item>Odvjetničko društvo Gugić &amp; Kovačić, Radnička cesta 52/VII, Green Gold - R2,10000 Zagreb</item>
    </izvorni_sadrzaj>
    <derivirana_varijabla naziv="DomainObject.Predmet.SudioniciListAdressOIB_1">
      <item>VOĆNJAK društvo s ograničenom odgovornošću za proizvodnju i usluge, OIB 52871551229, Matice Hrvatske 4/1,43000 Bjelovar</item>
      <item>Pavao Mrkonjić, odvjetnik, Ante Topić Mimare 24,10000 Zagreb</item>
      <item>Perica Medaković, OIB 37577204378, Ivana Mažuranića 2d,43500 Daruvar</item>
      <item>Odvjetnik Hrvoje Kuprešak, Meštrovićev trg 2,10000 Zagreb</item>
      <item>Odvjetničko društvo Gugić &amp; Kovačić, Radnička cesta 52/VII, Green Gold - R2,10000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52871551229</item>
      <item>, OIB null</item>
      <item>, OIB 37577204378</item>
      <item>, OIB null</item>
      <item>, OIB null</item>
    </izvorni_sadrzaj>
    <derivirana_varijabla naziv="DomainObject.Predmet.SudioniciListNazivOIB_1">
      <item>, OIB 52871551229</item>
      <item>, OIB null</item>
      <item>, OIB 37577204378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5741</properties:Characters>
  <properties:Lines>126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2017-06-09T08:02:00Z</dcterms:created>
  <dc:creator>Ljiljana Cafuk</dc:creator>
  <cp:lastModifiedBy>Ljiljana Cafuk</cp:lastModifiedBy>
  <dcterms:modified xmlns:xsi="http://www.w3.org/2001/XMLSchema-instance" xsi:type="dcterms:W3CDTF">2017-06-09T08:03:00Z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St-295/2017-1 / Podnesak - Rješenje - prihvaćena žalba - ukinuto 1. st. rješenje</vt:lpwstr>
  </prop:property>
  <prop:property name="CC_coloring" pid="4" fmtid="{D5CDD505-2E9C-101B-9397-08002B2CF9AE}">
    <vt:bool>false</vt:bool>
  </prop:property>
  <prop:property name="BrojStranica" pid="5" fmtid="{D5CDD505-2E9C-101B-9397-08002B2CF9AE}">
    <vt:i4>3</vt:i4>
  </prop:property>
</prop:Properties>
</file>