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bbca1" w14:paraId="e6bbca1" w:rsidRDefault="00283EED" w:rsidP="00283EED" w:rsidR="00283EED"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283EED" w:rsidP="00283EED" w:rsidR="00283EED"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283EED" w:rsidP="00283EED" w:rsidR="00283EED">
      <w:pPr>
        <w:jc w:val="center"/>
        <w:rPr>
          <w:rFonts w:hAnsi="Times New Roman" w:ascii="Times New Roman"/>
          <w:sz w:val="24"/>
        </w:rPr>
      </w:pPr>
    </w:p>
    <w:p w:rsidRDefault="00283EED" w:rsidP="00283EED" w:rsidR="00283EED" w:rsidRPr="003726DD">
      <w:pPr>
        <w:jc w:val="center"/>
        <w:rPr>
          <w:rFonts w:hAnsi="Times New Roman" w:ascii="Times New Roman"/>
          <w:sz w:val="24"/>
        </w:rPr>
      </w:pPr>
    </w:p>
    <w:p w:rsidRDefault="00283EED" w:rsidP="00283EED" w:rsidR="00283EED"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283EED" w:rsidP="00283EED" w:rsidR="00283EED"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6047</w:t>
      </w:r>
      <w:r w:rsidRPr="008C7A84">
        <w:rPr>
          <w:rFonts w:hAnsi="Bookman Old Style" w:ascii="Bookman Old Style"/>
          <w:sz w:val="24"/>
          <w:szCs w:val="24"/>
          <w:lang w:val="pl-PL"/>
        </w:rPr>
        <w:t>/</w:t>
      </w:r>
      <w:r>
        <w:rPr>
          <w:rFonts w:hAnsi="Bookman Old Style" w:ascii="Bookman Old Style"/>
          <w:sz w:val="24"/>
          <w:szCs w:val="24"/>
          <w:lang w:val="pl-PL"/>
        </w:rPr>
        <w:t>16</w:t>
      </w:r>
    </w:p>
    <w:p w:rsidRDefault="00283EED" w:rsidP="00283EED" w:rsidR="00283EED"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283EED" w:rsidP="00283EED" w:rsidR="00283EED" w:rsidRPr="002D55C2">
      <w:pPr>
        <w:rPr>
          <w:rFonts w:hAnsi="Bookman Old Style" w:ascii="Bookman Old Style"/>
          <w:sz w:val="24"/>
          <w:szCs w:val="24"/>
        </w:rPr>
      </w:pPr>
      <w:r w:rsidRPr="00A92000">
        <w:rPr>
          <w:rFonts w:hAnsi="Bookman Old Style" w:ascii="Bookman Old Style"/>
          <w:b/>
          <w:sz w:val="24"/>
          <w:szCs w:val="24"/>
        </w:rPr>
        <w:t>SG SJEVER 1978 d.o.o. – u stečaju</w:t>
      </w:r>
      <w:r w:rsidRPr="002D55C2">
        <w:rPr>
          <w:rFonts w:hAnsi="Bookman Old Style" w:ascii="Bookman Old Style"/>
          <w:sz w:val="24"/>
          <w:szCs w:val="24"/>
        </w:rPr>
        <w:t xml:space="preserve">, </w:t>
      </w:r>
      <w:r>
        <w:rPr>
          <w:rFonts w:hAnsi="Bookman Old Style" w:ascii="Bookman Old Style"/>
          <w:sz w:val="24"/>
          <w:szCs w:val="24"/>
        </w:rPr>
        <w:t xml:space="preserve">Zagreb, </w:t>
      </w:r>
      <w:r w:rsidRPr="002D55C2">
        <w:rPr>
          <w:rFonts w:hAnsi="Bookman Old Style" w:ascii="Bookman Old Style"/>
          <w:sz w:val="24"/>
          <w:szCs w:val="24"/>
        </w:rPr>
        <w:t xml:space="preserve">Ilica 109, </w:t>
      </w:r>
    </w:p>
    <w:p w:rsidRDefault="00283EED" w:rsidP="00283EED" w:rsidR="00283EED" w:rsidRPr="00E06628">
      <w:pPr>
        <w:rPr>
          <w:rFonts w:hAnsi="Bookman Old Style" w:ascii="Bookman Old Style"/>
          <w:sz w:val="24"/>
          <w:szCs w:val="24"/>
          <w:lang w:val="pl-PL"/>
        </w:rPr>
      </w:pPr>
      <w:r w:rsidRPr="00E06628">
        <w:rPr>
          <w:rFonts w:hAnsi="Bookman Old Style" w:ascii="Bookman Old Style"/>
          <w:sz w:val="24"/>
          <w:szCs w:val="24"/>
        </w:rPr>
        <w:t>OIB: 78737820823</w:t>
      </w:r>
    </w:p>
    <w:p w:rsidRDefault="00283EED" w:rsidP="00283EED" w:rsidR="00283EED">
      <w:pPr>
        <w:jc w:val="center"/>
        <w:rPr>
          <w:rFonts w:hAnsi="Bookman Old Style" w:ascii="Bookman Old Style"/>
          <w:sz w:val="24"/>
          <w:szCs w:val="24"/>
          <w:lang w:val="pl-PL"/>
        </w:rPr>
      </w:pPr>
    </w:p>
    <w:p w:rsidRDefault="00283EED" w:rsidP="00283EED" w:rsidR="00283EED" w:rsidRPr="008C7A84">
      <w:pPr>
        <w:jc w:val="center"/>
        <w:rPr>
          <w:rFonts w:hAnsi="Bookman Old Style" w:ascii="Bookman Old Style"/>
          <w:sz w:val="24"/>
          <w:szCs w:val="24"/>
          <w:lang w:val="pl-PL"/>
        </w:rPr>
      </w:pPr>
    </w:p>
    <w:p w:rsidRDefault="00283EED" w:rsidP="00283EED" w:rsidR="00283EED">
      <w:pPr>
        <w:rPr>
          <w:rFonts w:hAnsi="Bookman Old Style" w:ascii="Bookman Old Style"/>
          <w:sz w:val="24"/>
          <w:szCs w:val="24"/>
          <w:lang w:val="pl-PL"/>
        </w:rPr>
      </w:pPr>
      <w:r w:rsidRPr="00D84877">
        <w:rPr>
          <w:rFonts w:hAnsi="Bookman Old Style" w:ascii="Bookman Old Style"/>
          <w:b/>
          <w:sz w:val="24"/>
          <w:szCs w:val="24"/>
          <w:lang w:val="pl-PL"/>
        </w:rPr>
        <w:t>I.  TIJEK STEČAJNOGA POSTUPKA</w:t>
      </w:r>
      <w:r w:rsidRPr="008C7A84">
        <w:rPr>
          <w:rFonts w:hAnsi="Bookman Old Style" w:ascii="Bookman Old Style"/>
          <w:sz w:val="24"/>
          <w:szCs w:val="24"/>
          <w:lang w:val="pl-PL"/>
        </w:rPr>
        <w:t xml:space="preserve"> U RAZDOBLJU OD </w:t>
      </w:r>
      <w:r w:rsidR="0088794A">
        <w:rPr>
          <w:rFonts w:hAnsi="Bookman Old Style" w:ascii="Bookman Old Style"/>
          <w:sz w:val="24"/>
          <w:szCs w:val="24"/>
          <w:lang w:val="pl-PL"/>
        </w:rPr>
        <w:t>27.01</w:t>
      </w:r>
      <w:r>
        <w:rPr>
          <w:rFonts w:hAnsi="Bookman Old Style" w:ascii="Bookman Old Style"/>
          <w:sz w:val="24"/>
          <w:szCs w:val="24"/>
          <w:lang w:val="pl-PL"/>
        </w:rPr>
        <w:t>.</w:t>
      </w:r>
      <w:r w:rsidRPr="008C7A84">
        <w:rPr>
          <w:rFonts w:hAnsi="Bookman Old Style" w:ascii="Bookman Old Style"/>
          <w:sz w:val="24"/>
          <w:szCs w:val="24"/>
          <w:lang w:val="pl-PL"/>
        </w:rPr>
        <w:t>201</w:t>
      </w:r>
      <w:r w:rsidR="0088794A">
        <w:rPr>
          <w:rFonts w:hAnsi="Bookman Old Style" w:ascii="Bookman Old Style"/>
          <w:sz w:val="24"/>
          <w:szCs w:val="24"/>
          <w:lang w:val="pl-PL"/>
        </w:rPr>
        <w:t>8</w:t>
      </w:r>
      <w:r w:rsidRPr="008C7A84">
        <w:rPr>
          <w:rFonts w:hAnsi="Bookman Old Style" w:ascii="Bookman Old Style"/>
          <w:sz w:val="24"/>
          <w:szCs w:val="24"/>
          <w:lang w:val="pl-PL"/>
        </w:rPr>
        <w:t xml:space="preserve">. DO </w:t>
      </w:r>
      <w:r w:rsidR="0088794A">
        <w:rPr>
          <w:rFonts w:hAnsi="Bookman Old Style" w:ascii="Bookman Old Style"/>
          <w:sz w:val="24"/>
          <w:szCs w:val="24"/>
          <w:lang w:val="pl-PL"/>
        </w:rPr>
        <w:t>26.04</w:t>
      </w:r>
      <w:r>
        <w:rPr>
          <w:rFonts w:hAnsi="Bookman Old Style" w:ascii="Bookman Old Style"/>
          <w:sz w:val="24"/>
          <w:szCs w:val="24"/>
          <w:lang w:val="pl-PL"/>
        </w:rPr>
        <w:t>.2018. godine.</w:t>
      </w:r>
    </w:p>
    <w:p w:rsidRDefault="00283EED" w:rsidP="00283EED" w:rsidR="00283EED" w:rsidRPr="008C7A84">
      <w:pPr>
        <w:rPr>
          <w:rFonts w:hAnsi="Bookman Old Style" w:ascii="Bookman Old Style"/>
          <w:sz w:val="24"/>
          <w:szCs w:val="24"/>
          <w:lang w:val="pl-PL"/>
        </w:rPr>
      </w:pPr>
    </w:p>
    <w:p w:rsidRDefault="00283EED" w:rsidP="00283EED" w:rsidR="00283EED" w:rsidRPr="00D84877">
      <w:pPr>
        <w:pStyle w:val="Odlomakpopisa"/>
        <w:numPr>
          <w:ilvl w:val="1"/>
          <w:numId w:val="1"/>
        </w:numPr>
        <w:spacing w:after="0"/>
        <w:rPr>
          <w:rFonts w:hAnsi="Bookman Old Style" w:ascii="Bookman Old Style"/>
          <w:b/>
          <w:sz w:val="24"/>
          <w:szCs w:val="24"/>
          <w:lang w:val="pl-PL"/>
        </w:rPr>
      </w:pPr>
      <w:r w:rsidRPr="00D84877">
        <w:rPr>
          <w:rFonts w:hAnsi="Bookman Old Style" w:ascii="Bookman Old Style"/>
          <w:b/>
          <w:sz w:val="24"/>
          <w:szCs w:val="24"/>
          <w:lang w:val="pl-PL"/>
        </w:rPr>
        <w:t>UVOD</w:t>
      </w:r>
    </w:p>
    <w:p w:rsidRDefault="00283EED" w:rsidP="00283EED" w:rsidR="00283EED">
      <w:pPr>
        <w:spacing w:after="0"/>
        <w:rPr>
          <w:rFonts w:hAnsi="Bookman Old Style" w:ascii="Bookman Old Style"/>
          <w:sz w:val="24"/>
          <w:szCs w:val="24"/>
          <w:lang w:val="pl-PL"/>
        </w:rPr>
      </w:pPr>
    </w:p>
    <w:p w:rsidRDefault="00283EED" w:rsidP="00283EED" w:rsidR="00283EED">
      <w:pPr>
        <w:pStyle w:val="Tijeloteksta"/>
      </w:pPr>
      <w:r>
        <w:t>U proteklom periodu nakon posljednjeg Izvješća, poduzela sam slijedeće aktivnosti:</w:t>
      </w:r>
    </w:p>
    <w:p w:rsidRDefault="00283EED" w:rsidP="00283EED" w:rsidR="00283EED">
      <w:pPr>
        <w:pStyle w:val="Tijeloteksta"/>
      </w:pPr>
    </w:p>
    <w:p w:rsidRDefault="00283EED" w:rsidP="00283EED" w:rsidR="00283EED">
      <w:pPr>
        <w:pStyle w:val="Tijeloteksta"/>
        <w:numPr>
          <w:ilvl w:val="0"/>
          <w:numId w:val="2"/>
        </w:numPr>
      </w:pPr>
      <w:r>
        <w:t>Dana 05. prosinca 2017. godine u prostorijama suda održana je 1. sjednica odbora vjerovnika sa sljedećim dnevnim redom:</w:t>
      </w:r>
    </w:p>
    <w:p w:rsidRDefault="00283EED" w:rsidP="00283EED" w:rsidR="00283EED">
      <w:pPr>
        <w:pStyle w:val="Tijeloteksta"/>
        <w:numPr>
          <w:ilvl w:val="0"/>
          <w:numId w:val="3"/>
        </w:numPr>
      </w:pPr>
      <w:r>
        <w:t>Izbor predsjednika Odbora vjerovnika</w:t>
      </w:r>
    </w:p>
    <w:p w:rsidRDefault="00283EED" w:rsidP="00283EED" w:rsidR="00283EED">
      <w:pPr>
        <w:pStyle w:val="Tijeloteksta"/>
        <w:numPr>
          <w:ilvl w:val="0"/>
          <w:numId w:val="3"/>
        </w:numPr>
      </w:pPr>
      <w:r>
        <w:t>Prodaja nekretnina u vlasništvu stečajnog dužnika</w:t>
      </w:r>
    </w:p>
    <w:p w:rsidRDefault="00283EED" w:rsidP="00283EED" w:rsidR="00283EED">
      <w:pPr>
        <w:pStyle w:val="Tijeloteksta"/>
        <w:numPr>
          <w:ilvl w:val="0"/>
          <w:numId w:val="3"/>
        </w:numPr>
      </w:pPr>
      <w:r>
        <w:t>Radnje radi naplate potraživanja stečajnog dužnika od njegovih dužnika</w:t>
      </w:r>
    </w:p>
    <w:p w:rsidRDefault="00283EED" w:rsidP="00283EED" w:rsidR="00283EED">
      <w:pPr>
        <w:pStyle w:val="Tijeloteksta"/>
        <w:numPr>
          <w:ilvl w:val="0"/>
          <w:numId w:val="3"/>
        </w:numPr>
      </w:pPr>
      <w:r>
        <w:t>Rasprava o postojanju pobojnih radnji stečajnog dužnika</w:t>
      </w:r>
    </w:p>
    <w:p w:rsidRDefault="00283EED" w:rsidP="00283EED" w:rsidR="00283EED">
      <w:pPr>
        <w:pStyle w:val="Tijeloteksta"/>
        <w:numPr>
          <w:ilvl w:val="0"/>
          <w:numId w:val="3"/>
        </w:numPr>
      </w:pPr>
      <w:r>
        <w:t>Razno</w:t>
      </w:r>
    </w:p>
    <w:p w:rsidRDefault="00283EED" w:rsidP="00283EED" w:rsidR="00283EED">
      <w:pPr>
        <w:pStyle w:val="Tijeloteksta"/>
        <w:ind w:left="720"/>
      </w:pPr>
      <w:r>
        <w:t xml:space="preserve">Odbor vjerovnika je jednoglasno prihvatio procjenu tržišne vrijednosti nekretnina stečajnog dužnika, a koje su procjenjene po vještačkom nalazu </w:t>
      </w:r>
      <w:r w:rsidRPr="004C210D">
        <w:t>IvNe građevina d.o.o.</w:t>
      </w:r>
      <w:r>
        <w:t>, Zagreb, po ovlaštenoj sudskoj vještakinji</w:t>
      </w:r>
      <w:r w:rsidRPr="004C210D">
        <w:t xml:space="preserve"> Nedjeljka Čengija</w:t>
      </w:r>
      <w:r>
        <w:t>, od 20. listopada 2017. godine.</w:t>
      </w:r>
    </w:p>
    <w:p w:rsidRDefault="00283EED" w:rsidP="00283EED" w:rsidR="00283EED">
      <w:pPr>
        <w:pStyle w:val="Tijeloteksta"/>
        <w:ind w:left="1080"/>
      </w:pPr>
    </w:p>
    <w:p w:rsidRDefault="00283EED" w:rsidP="00283EED" w:rsidR="00283EED">
      <w:pPr>
        <w:pStyle w:val="Tijeloteksta"/>
        <w:numPr>
          <w:ilvl w:val="0"/>
          <w:numId w:val="2"/>
        </w:numPr>
      </w:pPr>
      <w:r>
        <w:t>Stečajna upraviteljica je dana 19. 12. 2017. godine dostavila Trgovačkom sudu te članovima Odbora vjerovnika izvješće vezano za:</w:t>
      </w:r>
    </w:p>
    <w:p w:rsidRDefault="00283EED" w:rsidP="00283EED" w:rsidR="00283EED">
      <w:pPr>
        <w:pStyle w:val="Tijeloteksta"/>
        <w:numPr>
          <w:ilvl w:val="0"/>
          <w:numId w:val="3"/>
        </w:numPr>
      </w:pPr>
      <w:r>
        <w:t>Pitanja u svezi pobijanja pravnih radnji</w:t>
      </w:r>
    </w:p>
    <w:p w:rsidRDefault="00283EED" w:rsidP="00283EED" w:rsidR="00283EED">
      <w:pPr>
        <w:pStyle w:val="Tijeloteksta"/>
        <w:numPr>
          <w:ilvl w:val="0"/>
          <w:numId w:val="3"/>
        </w:numPr>
      </w:pPr>
      <w:r>
        <w:t>Postupci protiv dužnikovih dužnika</w:t>
      </w:r>
    </w:p>
    <w:p w:rsidRDefault="00283EED" w:rsidP="00283EED" w:rsidR="00283EED">
      <w:pPr>
        <w:pStyle w:val="Tijeloteksta"/>
        <w:numPr>
          <w:ilvl w:val="0"/>
          <w:numId w:val="3"/>
        </w:numPr>
      </w:pPr>
      <w:r>
        <w:t>Zabilježba tužbe</w:t>
      </w:r>
    </w:p>
    <w:p w:rsidRDefault="00283EED" w:rsidP="00283EED" w:rsidR="00283EED">
      <w:pPr>
        <w:pStyle w:val="Tijeloteksta"/>
      </w:pPr>
    </w:p>
    <w:p w:rsidRDefault="00283EED" w:rsidP="00283EED" w:rsidR="00283EED">
      <w:pPr>
        <w:pStyle w:val="Tijeloteksta"/>
        <w:numPr>
          <w:ilvl w:val="0"/>
          <w:numId w:val="2"/>
        </w:numPr>
      </w:pPr>
      <w:r w:rsidRPr="004C210D">
        <w:t xml:space="preserve">Stalna sudska vještakinja Nedjeljka Čengija iz IvNe građevina d.o.o. dostavila je elaborate o procjeni nekretnina. </w:t>
      </w:r>
    </w:p>
    <w:p w:rsidRDefault="008B78B1" w:rsidP="00682BD8" w:rsidR="008B78B1">
      <w:pPr>
        <w:pStyle w:val="Tijeloteksta"/>
        <w:ind w:left="720"/>
      </w:pPr>
    </w:p>
    <w:p w:rsidRDefault="00283EED" w:rsidP="008B78B1" w:rsidR="00283EED">
      <w:pPr>
        <w:pStyle w:val="Tijeloteksta"/>
        <w:numPr>
          <w:ilvl w:val="0"/>
          <w:numId w:val="2"/>
        </w:numPr>
      </w:pPr>
      <w:r>
        <w:t>Dana 26. siječnja 2018. godine, Trgovačkom sudu u Zagrebu, uputila sam prijedlog prodaje nekretnina stečajnog dužnika na kojima postoji razlučno pravo.</w:t>
      </w:r>
    </w:p>
    <w:p w:rsidRDefault="0088794A" w:rsidP="00682BD8" w:rsidR="0088794A">
      <w:pPr>
        <w:pStyle w:val="Tijeloteksta"/>
        <w:ind w:left="720"/>
      </w:pPr>
      <w:r>
        <w:lastRenderedPageBreak/>
        <w:t xml:space="preserve">Do danas sud nije donio rješenje o prodaji predmetnih nekretnina putem FINA-e, iz razloga što je na nekretninama </w:t>
      </w:r>
      <w:r w:rsidRPr="0088794A">
        <w:t>upisana zabilježba spora</w:t>
      </w:r>
      <w:r>
        <w:t xml:space="preserve"> </w:t>
      </w:r>
      <w:r w:rsidRPr="0088794A">
        <w:t>- tužbe radi utvrđenja i uspostave ranijeg zemljišno-knjižnog stanja podnesena sudu pod posl</w:t>
      </w:r>
      <w:r>
        <w:t>ovnim brojem</w:t>
      </w:r>
      <w:r w:rsidRPr="0088794A">
        <w:t xml:space="preserve"> P-3996/16</w:t>
      </w:r>
      <w:r>
        <w:t>, od</w:t>
      </w:r>
      <w:r w:rsidRPr="0088794A">
        <w:t xml:space="preserve"> 21.06.2016.</w:t>
      </w:r>
      <w:r>
        <w:t xml:space="preserve"> godine.</w:t>
      </w:r>
    </w:p>
    <w:p w:rsidRDefault="008B78B1" w:rsidP="00682BD8" w:rsidR="008B78B1">
      <w:pPr>
        <w:pStyle w:val="Tijeloteksta"/>
        <w:ind w:left="720"/>
      </w:pPr>
    </w:p>
    <w:p w:rsidRDefault="0088794A" w:rsidP="00682BD8" w:rsidR="0088794A">
      <w:pPr>
        <w:pStyle w:val="Tijeloteksta"/>
        <w:ind w:left="720"/>
      </w:pPr>
    </w:p>
    <w:p w:rsidRDefault="00682BD8" w:rsidP="00682BD8" w:rsidR="00682BD8">
      <w:pPr>
        <w:pStyle w:val="Tijeloteksta"/>
        <w:ind w:left="720"/>
      </w:pPr>
    </w:p>
    <w:p w:rsidRDefault="00283EED" w:rsidP="00283EED" w:rsidR="00283EED" w:rsidRPr="00A26156">
      <w:pPr>
        <w:spacing w:after="0"/>
        <w:rPr>
          <w:rFonts w:hAnsi="Bookman Old Style" w:ascii="Bookman Old Style"/>
          <w:b/>
          <w:sz w:val="24"/>
          <w:szCs w:val="24"/>
          <w:lang w:val="pl-PL"/>
        </w:rPr>
      </w:pPr>
      <w:r w:rsidRPr="00A26156">
        <w:rPr>
          <w:rFonts w:hAnsi="Bookman Old Style" w:ascii="Bookman Old Style"/>
          <w:b/>
          <w:sz w:val="24"/>
          <w:szCs w:val="24"/>
          <w:lang w:val="pl-PL"/>
        </w:rPr>
        <w:t>II STANJE STEČAJNE MASE</w:t>
      </w:r>
    </w:p>
    <w:p w:rsidRDefault="00283EED" w:rsidP="00283EED" w:rsidR="00283EED">
      <w:pPr>
        <w:spacing w:after="0"/>
        <w:rPr>
          <w:rFonts w:hAnsi="Bookman Old Style" w:ascii="Bookman Old Style"/>
          <w:b/>
          <w:sz w:val="24"/>
          <w:szCs w:val="24"/>
          <w:lang w:val="pl-PL"/>
        </w:rPr>
      </w:pPr>
    </w:p>
    <w:p w:rsidRDefault="00283EED" w:rsidP="00283EED" w:rsidR="00283EED">
      <w:pPr>
        <w:spacing w:after="0"/>
        <w:rPr>
          <w:rFonts w:hAnsi="Bookman Old Style" w:ascii="Bookman Old Style"/>
          <w:b/>
          <w:sz w:val="24"/>
          <w:szCs w:val="24"/>
          <w:lang w:val="pl-PL"/>
        </w:rPr>
      </w:pPr>
    </w:p>
    <w:p w:rsidRDefault="00283EED" w:rsidP="00283EED" w:rsidR="00283EED">
      <w:pPr>
        <w:spacing w:after="0"/>
        <w:rPr>
          <w:rFonts w:hAnsi="Bookman Old Style" w:ascii="Bookman Old Style"/>
          <w:b/>
          <w:sz w:val="24"/>
          <w:szCs w:val="24"/>
          <w:lang w:val="pl-PL"/>
        </w:rPr>
      </w:pPr>
      <w:r>
        <w:rPr>
          <w:rFonts w:hAnsi="Bookman Old Style" w:ascii="Bookman Old Style"/>
          <w:b/>
          <w:sz w:val="24"/>
          <w:szCs w:val="24"/>
          <w:lang w:val="pl-PL"/>
        </w:rPr>
        <w:t>1.</w:t>
      </w:r>
      <w:r w:rsidRPr="004638D2">
        <w:rPr>
          <w:rFonts w:hAnsi="Bookman Old Style" w:ascii="Bookman Old Style"/>
          <w:b/>
          <w:sz w:val="24"/>
          <w:szCs w:val="24"/>
          <w:lang w:val="pl-PL"/>
        </w:rPr>
        <w:t>NEKRETNINE</w:t>
      </w:r>
    </w:p>
    <w:p w:rsidRDefault="00283EED" w:rsidP="00283EED" w:rsidR="00283EED">
      <w:pPr>
        <w:spacing w:after="0"/>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1. Nekretnina upisana u zemljišnu knjigu zemljišnoknjižnog odjela ZAGREB, Općinski građanski sud u Zagrebu, z.k.ul. 15705, k.o. 999901 GRAD ZAGREB i to stambena zgrada br. 131 Sveti duh (površine 260m2) i dvorište  (površine 525m2), sagrađena na kat. čest. 8915/17 k.o. Grad Zagreb i to:</w:t>
      </w:r>
    </w:p>
    <w:p w:rsidRDefault="00283EED" w:rsidP="00283EED" w:rsidR="00283EED"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 Suvlasnički dio: 1106/10000 ETAŽNO VLASNIŠTVO (E-1), trosobni stan oznake S1 u podrumu, površine zatvorenog prostora 59,69 m2 sastavljen od ulaznog prostora, dvije sobe, kupaonice, dnevnog boravka sa blagovaonom i kuhinje, te dvije natkrivene terase površine 10,79 m2, nenatkrivene terase površine 31,59 m2, prohodnog vrta površine 18,63 m2 i neprohodnog vrta površine 166,56 m2, spremište u prizemlju oznake SP1 površine 5,62 m2, ukupne površine 292,88 m2 u nacrtu posebnih dijelova označeno svijetloplavom bojom,</w:t>
      </w:r>
    </w:p>
    <w:p w:rsidRDefault="00283EED" w:rsidP="00283EED" w:rsidR="00283EED"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2. Suvlasnički dio: 1025/10000 ETAŽNO VLASNIŠTVO (E-2), trosobni stan oznake S2 u podrumu, površine zatvorenog prostora 59,09 m2 sastavljen od ulaznog prostora, dvije sobe, kupaonice, dnevnog boravka sa blagovaonom i kuhinje, te natkrivene terase površine 8,00 m2, nenatkrivene terase površine 14,88 m2, prohodnog vrta površine 19,82 m2 i neprohodnog vrta površine 75,10 m2, spremište u prizemlju oznake SP2 površine 5,58 m2, ukupne površine 182,47 m2 u nacrtu posebnih dijelova označeno zelenom bojom</w:t>
      </w:r>
    </w:p>
    <w:p w:rsidRDefault="00283EED" w:rsidP="00283EED" w:rsidR="00283EED" w:rsidRPr="004869DD">
      <w:pPr>
        <w:jc w:val="both"/>
        <w:rPr>
          <w:rFonts w:hAnsi="Bookman Old Style" w:ascii="Bookman Old Style"/>
          <w:sz w:val="24"/>
          <w:szCs w:val="24"/>
          <w:lang w:val="pl-PL"/>
        </w:rPr>
      </w:pPr>
    </w:p>
    <w:p w:rsidRDefault="00283EED" w:rsidP="00283EED" w:rsidR="00283EE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4. Suvlasnički dio: 869/10000 ETAŽNO VLASNIŠTVO (E-4), dvoiposobni stan oznake S4 na I (prvom) katu površine zatvorenog prostora 53,83 m2 sastavljen od ulaznog prostora, dvije sobe, kupaonice, dnevnog boravka sa blagovaonicom i kuhinje, te dvije logie površine 8,67 m2, spremište u prizemlju oznake SP3 površine 5,62 m2, ukupne površine 68,12 m2 u nacrtu posebnih dije</w:t>
      </w:r>
      <w:r w:rsidR="00682BD8">
        <w:rPr>
          <w:rFonts w:hAnsi="Bookman Old Style" w:ascii="Bookman Old Style"/>
          <w:sz w:val="24"/>
          <w:szCs w:val="24"/>
          <w:lang w:val="pl-PL"/>
        </w:rPr>
        <w:t>lova označeno ljubičastom bojom</w:t>
      </w:r>
    </w:p>
    <w:p w:rsidRDefault="00682BD8" w:rsidP="00283EED" w:rsidR="00682BD8">
      <w:pPr>
        <w:jc w:val="both"/>
        <w:rPr>
          <w:rFonts w:hAnsi="Bookman Old Style" w:ascii="Bookman Old Style"/>
          <w:sz w:val="24"/>
          <w:szCs w:val="24"/>
          <w:lang w:val="pl-PL"/>
        </w:rPr>
      </w:pPr>
    </w:p>
    <w:p w:rsidRDefault="00682BD8" w:rsidP="00283EED" w:rsidR="00682BD8" w:rsidRPr="004869DD">
      <w:pPr>
        <w:jc w:val="both"/>
        <w:rPr>
          <w:rFonts w:hAnsi="Bookman Old Style" w:ascii="Bookman Old Style"/>
          <w:sz w:val="24"/>
          <w:szCs w:val="24"/>
          <w:lang w:val="pl-PL"/>
        </w:rPr>
      </w:pPr>
      <w:r w:rsidRPr="00735F49">
        <w:rPr>
          <w:rFonts w:hAnsi="Bookman Old Style" w:ascii="Bookman Old Style"/>
          <w:sz w:val="24"/>
          <w:szCs w:val="24"/>
          <w:u w:val="single"/>
          <w:lang w:val="pl-PL"/>
        </w:rPr>
        <w:t>Napomena:</w:t>
      </w:r>
      <w:r>
        <w:rPr>
          <w:rFonts w:hAnsi="Bookman Old Style" w:ascii="Bookman Old Style"/>
          <w:sz w:val="24"/>
          <w:szCs w:val="24"/>
          <w:lang w:val="pl-PL"/>
        </w:rPr>
        <w:t xml:space="preserve"> Općinski građanski sud u Zagrebu, Zemljišnoknjižni odjel, dana 25. siječnja 2018. godine, donio je rješenje pod poslovnim brojem Z-51393/17, kojim je uvažio prigovor predlagatelja Igora Juriča iz Opatije, Ulica Antona Mihića 2, OIB: 67238512820, preinačio rješenje ovlaštenog </w:t>
      </w:r>
      <w:r>
        <w:rPr>
          <w:rFonts w:hAnsi="Bookman Old Style" w:ascii="Bookman Old Style"/>
          <w:sz w:val="24"/>
          <w:szCs w:val="24"/>
          <w:lang w:val="pl-PL"/>
        </w:rPr>
        <w:lastRenderedPageBreak/>
        <w:t>sudskog referenta toga suda poslovni broj Z-33182/16 od 04. srpnja 2017. godine</w:t>
      </w:r>
      <w:r w:rsidR="00DA222D">
        <w:rPr>
          <w:rFonts w:hAnsi="Bookman Old Style" w:ascii="Bookman Old Style"/>
          <w:sz w:val="24"/>
          <w:szCs w:val="24"/>
          <w:lang w:val="pl-PL"/>
        </w:rPr>
        <w:t xml:space="preserve"> na način da je dopustio predbilježbu prava najma za korist predlagatelja, a </w:t>
      </w:r>
      <w:r w:rsidR="000265CB">
        <w:rPr>
          <w:rFonts w:hAnsi="Bookman Old Style" w:ascii="Bookman Old Style"/>
          <w:sz w:val="24"/>
          <w:szCs w:val="24"/>
          <w:lang w:val="pl-PL"/>
        </w:rPr>
        <w:t xml:space="preserve">sve </w:t>
      </w:r>
      <w:r w:rsidR="00DA222D">
        <w:rPr>
          <w:rFonts w:hAnsi="Bookman Old Style" w:ascii="Bookman Old Style"/>
          <w:sz w:val="24"/>
          <w:szCs w:val="24"/>
          <w:lang w:val="pl-PL"/>
        </w:rPr>
        <w:t>na temelju Ugovora o najmu stana od 20. lipnja 2016. godine.</w:t>
      </w:r>
    </w:p>
    <w:p w:rsidRDefault="00283EED" w:rsidP="00283EED" w:rsidR="00283EED" w:rsidRPr="004869DD">
      <w:pPr>
        <w:jc w:val="both"/>
        <w:rPr>
          <w:rFonts w:hAnsi="Bookman Old Style" w:ascii="Bookman Old Style"/>
          <w:sz w:val="24"/>
          <w:szCs w:val="24"/>
          <w:lang w:val="pl-PL"/>
        </w:rPr>
      </w:pPr>
    </w:p>
    <w:p w:rsidRDefault="00283EED" w:rsidP="00283EED" w:rsidR="00283EE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5. Suvlasnički dio: 600/10000 ETAŽNO VLASNIŠTVO (E-5), jednoipolsobni stan oznake S5 na I (prvom) katu površine zatvorenog prostora 37,12 m2 sastavljen od ulaznog prostora, sobe, kupaonice, dnevnog boravka sa blagovaonicom i kuhinje, te loggie površine 5,02 m2, spremište u prizemlju oznake SP4 površine 5,58 m2, ukupne površine 68,08 m2 u nacrtu posebnih dijelova označeno plavom bojom</w:t>
      </w:r>
    </w:p>
    <w:p w:rsidRDefault="008B78B1" w:rsidP="00283EED" w:rsidR="008B78B1" w:rsidRPr="004869DD">
      <w:pPr>
        <w:jc w:val="both"/>
        <w:rPr>
          <w:rFonts w:hAnsi="Bookman Old Style" w:ascii="Bookman Old Style"/>
          <w:sz w:val="24"/>
          <w:szCs w:val="24"/>
          <w:lang w:val="pl-PL"/>
        </w:rPr>
      </w:pPr>
    </w:p>
    <w:p w:rsidRDefault="00283EED" w:rsidP="00283EED" w:rsidR="00283EE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7. Suvlasnički dio: 1006/10000 ETAŽNO VLASNIŠTVO (E-7),   dvoiposobni stan oznake S7 na II (drugom) katu površine zatvorenog prostora 65,46 m2 sastavljen od ulaznog prostora, dvije sobe, kupaonice, dnevnog boravka, blagovaone, izbe i kuhinje, te dvije logie površine 7,33 m2, spremište u prizemlju oznake SP7 površine 4,42 m2, ukupne površine 77,21 m2 u nacrtu posebnih dijelova označeno narančastom bojom,</w:t>
      </w:r>
    </w:p>
    <w:p w:rsidRDefault="008B78B1" w:rsidP="00283EED" w:rsidR="008B78B1">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9. Suvlasnički dio: 907/10000 ETAŽNO VLASNIŠTVO (E-9),  dvoiposobni stan oznake S9 u potkrovlju površine zatvorenog prostora 56,57 m2 sastavljen od ulaznog prostora, dvije sobe, kupaonice, dnevnog boravka, blagovaone, kuhinje i izbe, te dvije logie površine 8,01 m2, spremište u prizemlju oznake SP9 površine 6,46 m2, ukupne površine 71,22 m2 u nacrtu posebnih dijelova označeno sivom bojom,</w:t>
      </w:r>
    </w:p>
    <w:p w:rsidRDefault="00283EED" w:rsidP="00283EED" w:rsidR="00283EED" w:rsidRPr="004869DD">
      <w:pPr>
        <w:jc w:val="both"/>
        <w:rPr>
          <w:rFonts w:hAnsi="Bookman Old Style" w:ascii="Bookman Old Style"/>
          <w:sz w:val="24"/>
          <w:szCs w:val="24"/>
          <w:lang w:val="pl-PL"/>
        </w:rPr>
      </w:pPr>
    </w:p>
    <w:p w:rsidRDefault="00283EED" w:rsidP="00283EED" w:rsidR="00283EE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11. Suvlasnički dio: 109/10000 ETAŽNO VLASNIŠTVO (E-11), garaža oznake G2 u nivou I (prvog) kata, površine 13,27 m2 u nacrtu posebnih dijelova označeno tamnozelenom bojom.</w:t>
      </w:r>
    </w:p>
    <w:p w:rsidRDefault="008B78B1" w:rsidP="00283EED" w:rsidR="008B78B1"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2. Nekretnina upisana u zemljišnu knjigu zemljišnoknjižnog odjela ZAGREB, Općinski građanski sud u Zagrebu, z.k.ul. 109234, k.o. 999901 GRAD ZAGREB i to stambena zgrada br. 131A Sveti duh (površine 258m2) i dvorište  (površine 512m2), sagrađena na kat. čest. 8915/16 k.o. Grad Zagreb i to:</w:t>
      </w:r>
    </w:p>
    <w:p w:rsidRDefault="00283EED" w:rsidP="00283EED" w:rsidR="00283EED"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1053/10000 ETAŽNO VLASNIŠTVO (E-1), trosobni stan oznake S1 u podrumu, površine zatvorenog prostora 60,38 m2, sastavljen od ulaznog prostora, dvije sobe, kupaonice, dnevnog boravka sa blagovaonom i kuhinje, te dvije natkrivene terase površine 10,62 m2, nenatkrivene terase površine 16,04 m2, prohodnog vrta površine 17,10 m2 i neprohodnog vrta površine 33,80 m2, spremište u prizemlju oznake SP1 površine 5,75 m2, ukupno površine 143,70 m2 u nacrtu posebnih dijelova označeno zelenom bojom,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2. Suvlasnički dio: 1040/10000 ETAŽNO VLASNIŠTVO (E-2), trosobni stan oznake S2 u podrumu, površine zatvorenog prostora 59,07 m2 sastavljen od ulaznog prostora, dvije sobe, kupaonice, dnevnog boravka sa blagovaonom i kuhinje, te natkrivene terase površine 8.78 m2, nenatkrivene terase površine 15,70 m2 i prohodnog vrta površine 22,5 m2, spremište u prizemlju oznake SP2 površine 5,76 m2, ukupno površine 111,81 m2 u nacrtu posebnih dijelova označeno svjetlopravom bojom,    </w:t>
      </w:r>
    </w:p>
    <w:p w:rsidRDefault="00283EED" w:rsidP="00283EED" w:rsidR="00283EED"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1764/10000 ETAŽNO VLASNIŠTVO (E-3),  peterosobni stan oznake S3 u prizemlju, površine zatvorenog prostora 102,57 m2 sastavljen od ulaznog prostora, tri sobe, dvije kupaonice, dnevnog boravka, blagovaonice, kuhinje, izbe, te natkrivene terase površine 5,58 m2, dvije logie površine 6,62 m2, balkona površine 9,40 m2, nenatkrivene terase površine 16,32 m2, prohodnog vrta površine 19,80 m2 i neprohodnog vrta površine 15,40 m2, spremište u prizemlju     oznake SP10 površine 9,39 m2 ukupno površine 185,08 m2 u nacrtu    posebnih dijelova označeno crvenom bojom,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854/10000 ETAŽNO VLASNIŠTVO (E-4),   dvoiposobni stan oznake S4 na I. katu, površine zatvorenog prostora 52,70 m2 sastavljen od ulaznog prostora, dvije sobe, kupaonice, dnevnog boravka sa blagovaonom i kuhinje, te dvije logie površine 9,04 m2, spremište u prizemlju oznake SP3 površine 5,72 m2, ukupno površine 67,46 m2 u nacrtu posebnih dijelova označeno plavom bojom,    </w:t>
      </w:r>
    </w:p>
    <w:p w:rsidRDefault="00283EED" w:rsidP="00283EED" w:rsidR="00283EED"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607/10000 ETAŽNO VLASNIŠTVO (E-5),   jednoipolsobni stan oznake S5 na I.katu, površine zatvorenog prostora 52,70 m2 sastavljen od ulaznog prostora, sobe, kupaonice, dnevnog boravka sa blagovaonom i kuhinje, te loggie površine 6,43 m2, spremište u prizemlju oznake SP4 površine 5,72 m2, ukupno površine 67,46 m2 u nacrtu posebnih dijelova označeno ljubičastom bojom,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1257/10000 ETAŽNO VLASNIŠTVO (E-6),   trosobni stan oznake S6 na II.katu, površine zatvorenog prostora 81,43 m2 sastavljen od ulaznog prostora, dvije sobe, kupaonice, dnevnog boravka, blagovaone, Wca, izbe, predsoblja i kuhinje, te dvije logie površine 10,82 m2, spremište u prizemlju oznake SP6 površine 4,32 m2, ukupno površine 96,57 m2 u nacrtu posebnih dijelova označeno narančastom bojom,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997/10000 ETAŽNO VLASNIŠTVO (E-7),   dvoiposobni stan oznake S7 na II.katu, površine zatvorenog prostora 81,43 m2, sastavljen od ulaznog prostora, dvije sobe, kupaonice, dnevnog boravka, blagovaone, izbe i kuhinje, te dvije logie površine 6,98 m2, spremište u prizemlju oznake SP7 površine 4,36 m2, ukupno površine 76,65 m2 u nacrtu posebnih dijelova označeno roza bojom,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8. Suvlasnički dio: 998/10000 ETAŽNO VLASNIŠTVO (E-8),  dvoiposobni stan oznake S8 u potkrovlju, površine zatvorenog prostora 69,35 m2 sastavljen od ulaznog prostora, dvije sobe, kupaonice, dnevnog boravka, blagovaone, kuhinje i tavanskog prostora visine manje od 1 m, te dvije logie površine 13,22 m2, spremište u prizemlju oznake SP8 površine 4,36 m2, ukupno površine 86,93 m2 u nacrtu posebnih dijelova označeno sivom bojom,   </w:t>
      </w:r>
    </w:p>
    <w:p w:rsidRDefault="00283EED" w:rsidP="00283EED" w:rsidR="00283EED"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934/10000 ETAŽNO VLASNIŠTVO (E-9),  dvoiposobni stan oznake S9 u potkrovlju, površine zatvorenog prostora 59,11 m2 sastavljen od ulaznog prostora, dvije sobe, kupaonice, dnevnog boravka, blagovaone, kuhinje i izbe, te dvije logie površine 8,16 m2, spremište u prizemlju oznake SP9 površine 5,86 m2, ukupno površine 73,13 m2 u nacrtu posebnih dijelova označeno smeđom bojom,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10. Suvlasnički dio: 125/10000 ETAŽNO VLASNIŠTVO (E-10), garaža oznake G1 u nivou I.katu, površine 15,21 m2 u nacrtu posebnih dijelova označeno svjetlosmeđom bojom,</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11. Suvlasnički dio: 121/10000 ETAŽNO VLASNIŠTVO (E-11), garaža oznake G2 u nivou I.kata, površine 14,68 m2, u nacrtu posebnih dijelova označeno tamnoplavom bojom,    </w:t>
      </w:r>
    </w:p>
    <w:p w:rsidRDefault="00283EED" w:rsidP="00283EED" w:rsidR="00283EED" w:rsidRPr="004869DD">
      <w:pPr>
        <w:jc w:val="both"/>
        <w:rPr>
          <w:rFonts w:hAnsi="Bookman Old Style" w:ascii="Bookman Old Style"/>
          <w:sz w:val="24"/>
          <w:szCs w:val="24"/>
          <w:lang w:val="pl-PL"/>
        </w:rPr>
      </w:pPr>
    </w:p>
    <w:p w:rsidRDefault="00283EED" w:rsidP="00283EED" w:rsidR="008B78B1">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12. Suvlasnički dio: 124/10000 ETAŽNO VLASNIŠTVO (E-12), garaža oznake G3 u nivou I.kata površine 15,03 m2, u nacrtu posebnih dijelova označeno tamnozelenom bojom,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283EED" w:rsidP="00283EED" w:rsidR="00283EE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13. Suvlasnički dio: 126/10000 ETAŽNO VLASNIŠTVO (E-13), garaža oznake G4 u nivou I.kata površine 15,29 m2, u nacrtu posebnih dijelova označeno tamnosivom bojom.</w:t>
      </w:r>
    </w:p>
    <w:p w:rsidRDefault="008B78B1" w:rsidP="00283EED" w:rsidR="008B78B1"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3. Nekretnina upisana u zemljišnu knjigu zemljišnoknjižnog odjela ZAGREB, Općinski građanski sud u Zagrebu, z.k.ul. 8888, k.o. 999901 GRAD ZAGREB i to stambena zgrada br. 131B i dvorište, Sveti duh površine 757m2, sagrađena na kat. čest. 8915/15 k.o. Grad Zagreb i to:</w:t>
      </w:r>
    </w:p>
    <w:p w:rsidRDefault="00283EED" w:rsidP="00283EED" w:rsidR="00283EED"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1134/10000 ETAŽNO VLASNIŠTVO (E-1), trosobni stan oznake S1 u podrumu, površine zatvorenog prostora 59,86 m2 sastavljen od ulaznog prostora, dvije sobe, kupaonice, dnevnog boravka sa blagovaonom i kuhinje, te dvije natkrivene terase površine 11,02 m2, nenatkrivene terase površine 41,15 m2, prohodnog vrta površine 75,21 m2 i neprohodnog vrta površine 138,24 m2, spremišta u prizemlju oznake SP1 površine 5,67 m2, ukupno površine 331,15 m2, u nacrtu posebnih dijelova označeno ljubičastom bojom,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2. Suvlasnički dio: 1037/10000 ETAŽNO VLASNIŠTVO (E-2), trosobni stan oznake S2 u podrumu, površine zatvorenog prostora 59,00 m2 sastavljen od ulaznog prostora, dvije sobe, kupaonice, dnevnog boravka sa blagovaonom i kuhinje, te dvije natkrivene terase površine 8,00 m2, nenatkrivene terase površine 26,05 m2, prohodnog vrta površine 57,71 m2 i neprohodnog vrta površine 53,44 m2, spremišta u prizemlju oznake SP2 površine 5,67 m2, ukupno površine 209,87 m2, u nacrtu posebnih dijelova označeno plavom bojom,   </w:t>
      </w:r>
    </w:p>
    <w:p w:rsidRDefault="00283EED" w:rsidP="00283EED" w:rsidR="00283EED"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1706/10000 ETAŽNO VLASNIŠTVO (E-3),   peterosobni stan oznake S3 u prizemlju, površine zatvorenog prostora 102,65 m2 sastavljen od ulaznog prostora, tri sobe, dvije kupaonice, dnevnog boravka, blagovaonice, kuhinje i izbe, te natkrivene terase površine 5,38 m2, dvije logie površine 6,74 m2, balkona površine 12,2 m2, nenatkrivene terase površine 18,48 m2, prohodnog vrta površine 13,77 m2 i neprohodnog vrta površine 36,54 m2, spremišta u prizemlju oznake SP10 površine 9,51 m2, ukupno površine 213,71 m2, u nacrtu posebnih dijelova označeno svijetloplavom bojom,   </w:t>
      </w:r>
    </w:p>
    <w:p w:rsidRDefault="00283EED" w:rsidP="00283EED" w:rsidR="00283EED"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866/10000 ETAŽNO VLASNIŠTVO (E-4),   dvoiposobni stan oznake S4 na I katu,  površine zatvorenog prostora 53,87 m2 sastavljen od ulaznog prostora, dvije sobe, kupaonice, dnevnog boravka s blagovaonom i kuhinje, te dvije logie površine 9,77 m2, spremišta u prizemlju oznake SP3 površine 5,67 m2, ukupno površine 69,31 m2, u nacrtu posebnih dijelova označeno zelenom bojom,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598/10000 ETAŽNO VLASNIŠTVO (E-5),   jednoipolsobni stan oznake S5 na I katu,  površine zatvorenog prostora 36,64 m2 sastavljen od ulaznog prostora, sobe, kupaonice, dnevnog boravka s blagovaonom i kuhinje, te logie površine 6,43 m2, spremišta u prizemlju oznake SP4 površine 5,59 m2, ukupno površine 48,66 m2, u nacrtu posebnih dijelova označeno smeđom bojom,   </w:t>
      </w:r>
    </w:p>
    <w:p w:rsidRDefault="00283EED" w:rsidP="00283EED" w:rsidR="00283EED"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1246/10000 ETAŽNO VLASNIŠTVO (E-6), trosobni stan oznake S6 na II katu,  površine zatvorenog prostora 81,43 m2 sastavljen od ulaznog prostora, dvije sobe, kupaonice, dnevnog boravka, blagovaone, WC-a, izbe, predsoblja i kuhinje, te dvije logie površine 11,65 m2, spremišta u prizemlju oznake SP6 površine 4,21 m2, ukupno površine 97,29 m2, u nacrtu posebnih dijelova označeno narančastom bojom,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1010/10000 ETAŽNO VLASNIŠTVO (E-7),   dvoiposobni stan oznake S7 na II katu,  površine zatvorenog prostora 66,02 m2 sastavljen od ulaznog prostora, dvije sobe, kupaonice, dnevnog boravka s blagovaonom, izbe i kuhinje, te dvije logie površine 8,86 m2, spremišta u prizemlju oznake SP7 površine 4,3 m2, ukupno površine 79,18 m2, u nacrtu posebnih dijelova označeno tamnoljubičastom bojom,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9. Suvlasnički dio: 491/10000 ETAŽNO VLASNIŠTVO (E-9),   jednosobni stan oznake S9 u potkrovlju, površine zatvorenog prostora 32,62 m2 sastavljen od kupaonice, dnevnog boravka, kuhinje i izbe, te logie površine 0,64 m2, spremišta u prizemlju oznake SP9 površine 6,49 m2, ukupno površine 39,75 m2, u nacrtu posebnih dijelova označeno crvenom bojom,  </w:t>
      </w:r>
    </w:p>
    <w:p w:rsidRDefault="00283EED" w:rsidP="00283EED" w:rsidR="00283EED" w:rsidRPr="004869DD">
      <w:pPr>
        <w:jc w:val="both"/>
        <w:rPr>
          <w:rFonts w:hAnsi="Bookman Old Style" w:ascii="Bookman Old Style"/>
          <w:sz w:val="24"/>
          <w:szCs w:val="24"/>
          <w:lang w:val="pl-PL"/>
        </w:rPr>
      </w:pPr>
    </w:p>
    <w:p w:rsidRDefault="00283EED" w:rsidP="00283EED" w:rsidR="00283EE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10. Suvlasnički dio: 125/10000 ETAŽNO VLASNIŠTVO (E-10), garaža oznake G1 u nivou I kata, površine 15,45 m2, u nacrtu  posebnih dijelova označeno svijetlosmeđom bojom,   </w:t>
      </w:r>
    </w:p>
    <w:p w:rsidRDefault="008B78B1" w:rsidP="00283EED" w:rsidR="008B78B1"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11. Suvlasnički dio: 125/10000 ETAŽNO VLASNIŠTVO (E-11), garaža oznake G2 u nivou I kata, površine 15,41 m2, u nacrtu  posebnih dijelova označeno svijetlozelenom bojom,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283EED" w:rsidP="00283EED" w:rsidR="00283EE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13. Suvlasnički dio: 125/10000 ETAŽNO VLASNIŠTVO (E-13), garaža oznake G4 u nivou I kata, površine 15,37 m2, u nacrtu  posebnih dijelova označeno sivom bojom. </w:t>
      </w:r>
    </w:p>
    <w:p w:rsidRDefault="008B78B1" w:rsidP="00283EED" w:rsidR="008B78B1">
      <w:pPr>
        <w:jc w:val="both"/>
        <w:rPr>
          <w:rFonts w:hAnsi="Bookman Old Style" w:ascii="Bookman Old Style"/>
          <w:sz w:val="24"/>
          <w:szCs w:val="24"/>
          <w:lang w:val="pl-PL"/>
        </w:rPr>
      </w:pPr>
    </w:p>
    <w:p w:rsidRDefault="008B78B1" w:rsidP="00283EED" w:rsidR="008B78B1">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4.</w:t>
      </w:r>
      <w:r w:rsidRPr="004869DD">
        <w:rPr>
          <w:rFonts w:hAnsi="Bookman Old Style" w:ascii="Bookman Old Style"/>
          <w:sz w:val="24"/>
          <w:szCs w:val="24"/>
          <w:lang w:val="pl-PL"/>
        </w:rPr>
        <w:tab/>
        <w:t xml:space="preserve">Nekretnina upisana u zemljišnu knjigu zemljišnoknjižnog odjela ZAGREB, Općinski građanski sud u Zagrebu, z.k.ul. 110005, k.o. 999901 GRAD ZAGREB i to stambena zgrada br. 131C,Sveti duh površine 269m2 i dvorište površine 393m2, sagrađena na kat. čest. 8915/14 k.o. Grad Zagreb i to: </w:t>
      </w:r>
    </w:p>
    <w:p w:rsidRDefault="00283EED" w:rsidP="00283EED" w:rsidR="00283EED"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1145/10000 ETAŽNO VLASNIŠTVO (E-1), trosobni stan oznake S1 u podrumu, površine zatvorenog prostora 62,91 m2 sastavljen od ulaznog prostora, dvije sobe, kupaonice, dnevnog boravka sa blagovaonom i kuhinje, te dvije natkrivene terase površine 8,79 m2, nenatkrivene terase površine 31,61 m2, prohodnog vrta površine 66,33 m2 i neprohodnog vrta površine 64,46 m2, spremište u prizemlju oznake SP1 površine 5,67 m2, ukupno površine 245,62 m2, u nacrtu posebnih dijelova označeno crvenom bojom,   </w:t>
      </w:r>
    </w:p>
    <w:p w:rsidRDefault="00283EED" w:rsidP="00283EED" w:rsidR="00283EED"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2. Suvlasnički dio: 1017/10000 ETAŽNO VLASNIŠTVO (E-2), trosobni stan oznake S2 u podrumu, površine zatvorenog prostora 57,18 m2 sastavljen od ulaznog prostora, dvije sobe, kupaonice, dnevnog boravka sa blagovaonom i kuhinje, te natkrivene terase površine 7,62 m2, nenatkrivene terase površine 26,66 m2, prohodnog vrta površine 56,73 m2 i neprohodnog vrta površine 47,71 m2, spremište u prizemlju oznake SP2 površine 5,67 m2, ukupno površine 201,57 m2, u nacrtu posebnih dijelova označeno zelenom bojom,</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3. Suvlasnički dio: 1665/10000 ETAŽNO VLASNIŠTVO (E-3),   peterosobni stan oznake S3 u prizemlju, površine zatvorenog prostora 100,53 m2 sastavljen od ulaznog prostora, tri sobe, dvije kupaonice, dnevnog boravka, blagovaonice, kuhinje, izbe, te natkrivene terase površine 6,09 m2, dvije logie površine 6,70 m2, balkona površine 12,49 m2, nenatkrivene terase površine 9,20 m2, prohodnog vrta površine 10,40 m2 i neprohodnog vrta površine 7,10 m2, spremište u prizemlju oznake SP10 površine 9,64 m2, ukupno površine 162,15 m2, u nacrtu posebnih dijelova označeno smeđožutom bojom,   </w:t>
      </w:r>
    </w:p>
    <w:p w:rsidRDefault="00283EED" w:rsidP="00283EED" w:rsidR="00283EED"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865/10000 ETAŽNO VLASNIŠTVO (E-4),   dvoiposobni stan oznake S4 na I katu, površine zatvorenog prostora 54,13 m2 sastavljen od ulaznog prostora, dvije sobe, kupaonice, dnevnog boravka sa blagovaonom i kuhinje, te dvije logie površine 8,94 m2, spremište u prizemlju oznake SP3 površine 5,67 m2, ukupno površine 68,74 m2, u nacrtu posebnih dijelova označeno svijetloplavom bojom,   </w:t>
      </w:r>
    </w:p>
    <w:p w:rsidRDefault="00283EED" w:rsidP="00283EED" w:rsidR="00283EED"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621/10000 ETAŽNO VLASNIŠTVO (E-5) jednoipolsobni stan oznake S5 na I katu, površine zatvorenog prostora 36,82 m2 sastavljen od ulaznog prostora, sobe, kupaonice, dnevnog boravka sa blagovaonom i kuhinje, te loggie površine 8,14 m2, spremište u prizemlju oznake SP4 površine 5,59 m2, ukupno površine 50,55 m2, u nacrtu posebnih dijelova označeno plavom bojom,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1238/10000 ETAŽNO VLASNIŠTVO (E-6), trosobni stan oznake S6 na II katu, površine zatvorenog prostora 80,37 m2 sastavljen od ulaznog prostora, dvije sobe, kupaonice, dnevnog boravka, blagovaone, wc-a, izbe, predsoblja i kuhinje, te dvije logie površine 11,51 m2, spremište u prizemlju oznake SP6 površine 4,11 m2, ukupno površine 96,04 m2, u nacrtu posebnih dijelova označeno ljubičastom bojom,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970/10000 ETAŽNO VLASNIŠTVO (E-7),   dvoiposobni stan oznake S7 na II katu, površine zatvorenog prostora 62,63 m2 sastavljen od ulaznog prostora, dvije sobe, kupaonice, dnevnog boravka, blagovaone, izbe i kuhinje, te dvije logie površine 8,84 m2, spremište u prizemlju oznake SP7 površine 4,30 m2, ukupno površine 75,77 m2, u nacrtu posebnih dijelova označeno sivom bojom,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8. Suvlasnički dio: 1052/10000 ETAŽNO VLASNIŠTVO (E-8),   dvoiposobni stan oznake S8 u potkrovlju, površine zatvorenog prostora 69,30 m2 sastavljen od ulaznog prostora, dvije sobe, kupaonice, dnevnog boravka, blagovaone, kuhinje i tavanskog prostora visine manje od 1 m, te loggie površine 19,54 m2, spremište u prizemlju oznake SP8 površine 4,12 m2, ukupno površine 92,96 m2, u nacrtu posebnih dijelova označeno svijetlosivom bojom,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9. Suvlasnički dio: 929/10000 ETAŽNO VLASNIŠTVO (E-9),   dvoiposobni stan oznake S9 u potkrovlju, površine zatvorenog prostora 57,03 m2 sastavljen od ulaznog prostora, dvije sobe, kupaonice, dnevnog boravka, blagovaone, kuhinje i izbe, te dvije logie površine 10,78 m2, spremište u prizemlju oznake SP9 površine 6,49 m2, ukupno površine 74,30 m2, u nacrtu posebnih dijelova označeno tamnozelenom bojom,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 10. Suvlasnički dio: 126/10000 ETAŽNO VLASNIŠTVO (E-10), garaža oznake G4 u nivou I kata, površine 15,45 m2, u nacrtu posebnih dijelova označeno svijetlosmeđom bojom,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 11. Suvlasnički dio: 120/10000 ETAŽNO VLASNIŠTVO (E-11), garaža oznake G3 u nivou I kata, površine 14,68 m2, u nacrtu posebnih dijelova označeno ljubičastom bojom,   </w:t>
      </w:r>
    </w:p>
    <w:p w:rsidRDefault="00283EED" w:rsidP="00283EED" w:rsidR="00283EED"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12. Suvlasnički dio: 127/10000 ETAŽNO VLASNIŠTVO (E-12), garaža oznake G2 u nivou I kata, površine 15,54 m2, u nacrtu posebnih dijelova označeno roza bojom,   </w:t>
      </w:r>
    </w:p>
    <w:p w:rsidRDefault="00283EED" w:rsidP="00283EED" w:rsidR="00283EED" w:rsidRPr="004869DD">
      <w:pPr>
        <w:jc w:val="both"/>
        <w:rPr>
          <w:rFonts w:hAnsi="Bookman Old Style" w:ascii="Bookman Old Style"/>
          <w:sz w:val="24"/>
          <w:szCs w:val="24"/>
          <w:lang w:val="pl-PL"/>
        </w:rPr>
      </w:pPr>
    </w:p>
    <w:p w:rsidRDefault="00283EED" w:rsidP="00283EED" w:rsidR="00283EED"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13. Suvlasnički dio: 125/10000 ETAŽNO VLASNIŠTVO (E-13), garaža oznake G1 u nivou I kata, površine 15,38 m2, u nacrtu posebnih dijelova označeno tamnožutom bojom.</w:t>
      </w:r>
    </w:p>
    <w:p w:rsidRDefault="00283EED" w:rsidP="00283EED" w:rsidR="00283EED" w:rsidRPr="004869DD">
      <w:pPr>
        <w:jc w:val="both"/>
        <w:rPr>
          <w:rFonts w:hAnsi="Bookman Old Style" w:ascii="Bookman Old Style"/>
          <w:sz w:val="24"/>
          <w:szCs w:val="24"/>
          <w:lang w:val="pl-PL"/>
        </w:rPr>
      </w:pPr>
    </w:p>
    <w:p w:rsidRDefault="00283EED" w:rsidP="00283EED" w:rsidR="00283EED">
      <w:pPr>
        <w:jc w:val="both"/>
        <w:rPr>
          <w:rFonts w:hAnsi="Bookman Old Style" w:ascii="Bookman Old Style"/>
          <w:sz w:val="24"/>
          <w:szCs w:val="24"/>
          <w:lang w:val="pl-PL"/>
        </w:rPr>
      </w:pPr>
      <w:r w:rsidRPr="004869DD">
        <w:rPr>
          <w:rFonts w:hAnsi="Bookman Old Style" w:ascii="Bookman Old Style"/>
          <w:sz w:val="24"/>
          <w:szCs w:val="24"/>
          <w:lang w:val="pl-PL"/>
        </w:rPr>
        <w:t>Na  nekretninama  upisano je razlučno pravo u korist NOVA KREDITNA BANKA MARIBOR D.D., OIB: 58602216763, MARIBOR, ULICA VITA KRAIGHERIJA 4, REPUBLIKA SLOVENIJA, te SG KONZALT J.D.O.O. OIB: 12372925940, Draškovićeva ulica 53, 10 000 Zagreb i REPUBLIKA HRVATSKA- Porezna uprava.</w:t>
      </w:r>
    </w:p>
    <w:p w:rsidRDefault="00283EED" w:rsidP="00283EED" w:rsidR="00283EED">
      <w:pPr>
        <w:jc w:val="both"/>
        <w:rPr>
          <w:rFonts w:hAnsi="Bookman Old Style" w:ascii="Bookman Old Style"/>
          <w:sz w:val="24"/>
          <w:szCs w:val="24"/>
          <w:lang w:val="pl-PL"/>
        </w:rPr>
      </w:pPr>
    </w:p>
    <w:p w:rsidRDefault="008B78B1" w:rsidP="00283EED" w:rsidR="008B78B1">
      <w:pPr>
        <w:jc w:val="both"/>
        <w:rPr>
          <w:rFonts w:hAnsi="Bookman Old Style" w:ascii="Bookman Old Style"/>
          <w:sz w:val="24"/>
          <w:szCs w:val="24"/>
          <w:lang w:val="pl-PL"/>
        </w:rPr>
      </w:pPr>
    </w:p>
    <w:p w:rsidRDefault="00283EED" w:rsidP="00283EED" w:rsidR="00283EED">
      <w:pPr>
        <w:jc w:val="both"/>
        <w:rPr>
          <w:rFonts w:hAnsi="Bookman Old Style" w:ascii="Bookman Old Style"/>
          <w:sz w:val="24"/>
          <w:szCs w:val="24"/>
          <w:lang w:val="pl-PL"/>
        </w:rPr>
      </w:pPr>
    </w:p>
    <w:p w:rsidRDefault="00283EED" w:rsidP="00283EED" w:rsidR="00283EED" w:rsidRPr="004638D2">
      <w:pPr>
        <w:pStyle w:val="Tijeloteksta"/>
        <w:rPr>
          <w:b/>
          <w:color w:val="FF0000"/>
          <w:szCs w:val="24"/>
        </w:rPr>
      </w:pPr>
      <w:r>
        <w:rPr>
          <w:b/>
          <w:szCs w:val="24"/>
        </w:rPr>
        <w:t>2.</w:t>
      </w:r>
      <w:r w:rsidRPr="004638D2">
        <w:rPr>
          <w:b/>
          <w:szCs w:val="24"/>
        </w:rPr>
        <w:t>POKRETNINE</w:t>
      </w:r>
    </w:p>
    <w:p w:rsidRDefault="00283EED" w:rsidP="00283EED" w:rsidR="00283EED">
      <w:pPr>
        <w:pStyle w:val="Tijeloteksta"/>
        <w:rPr>
          <w:szCs w:val="24"/>
        </w:rPr>
      </w:pPr>
    </w:p>
    <w:p w:rsidRDefault="00283EED" w:rsidP="00283EED" w:rsidR="00283EED">
      <w:pPr>
        <w:pStyle w:val="Tijeloteksta"/>
        <w:rPr>
          <w:szCs w:val="24"/>
        </w:rPr>
      </w:pPr>
      <w:r>
        <w:rPr>
          <w:szCs w:val="24"/>
        </w:rPr>
        <w:t>Dužnik nema u vlasništvu nikakve pokretne imovine.</w:t>
      </w:r>
    </w:p>
    <w:p w:rsidRDefault="00283EED" w:rsidP="00283EED" w:rsidR="00283EED">
      <w:pPr>
        <w:pStyle w:val="Tijeloteksta"/>
        <w:rPr>
          <w:szCs w:val="24"/>
        </w:rPr>
      </w:pPr>
    </w:p>
    <w:p w:rsidRDefault="00283EED" w:rsidP="00283EED" w:rsidR="00283EED">
      <w:pPr>
        <w:pStyle w:val="Tijeloteksta"/>
        <w:rPr>
          <w:szCs w:val="24"/>
        </w:rPr>
      </w:pPr>
      <w:r w:rsidRPr="004638D2">
        <w:rPr>
          <w:szCs w:val="24"/>
        </w:rPr>
        <w:t>Prema Uvjerenju RH Ministarstva unutarnjih poslova, Policijska uprava Zagrebačka, Broj: 511-19-22/4-66-6604/2016 od</w:t>
      </w:r>
      <w:r>
        <w:rPr>
          <w:szCs w:val="24"/>
        </w:rPr>
        <w:t xml:space="preserve"> 19.10.2016. godine  dužnik NIJE</w:t>
      </w:r>
      <w:r w:rsidRPr="004638D2">
        <w:rPr>
          <w:szCs w:val="24"/>
        </w:rPr>
        <w:t xml:space="preserve"> EVIDENTIRAN KAO VLASNIK vozila.</w:t>
      </w:r>
    </w:p>
    <w:p w:rsidRDefault="00735F49" w:rsidP="00283EED" w:rsidR="00735F49">
      <w:pPr>
        <w:pStyle w:val="Tijeloteksta"/>
        <w:rPr>
          <w:szCs w:val="24"/>
        </w:rPr>
      </w:pPr>
    </w:p>
    <w:p w:rsidRDefault="00735F49" w:rsidP="00283EED" w:rsidR="00735F49">
      <w:pPr>
        <w:pStyle w:val="Tijeloteksta"/>
        <w:rPr>
          <w:szCs w:val="24"/>
        </w:rPr>
      </w:pPr>
    </w:p>
    <w:p w:rsidRDefault="008B78B1" w:rsidP="00283EED" w:rsidR="008B78B1">
      <w:pPr>
        <w:pStyle w:val="Tijeloteksta"/>
        <w:rPr>
          <w:szCs w:val="24"/>
        </w:rPr>
      </w:pPr>
    </w:p>
    <w:p w:rsidRDefault="008B78B1" w:rsidP="00283EED" w:rsidR="008B78B1">
      <w:pPr>
        <w:pStyle w:val="Tijeloteksta"/>
        <w:rPr>
          <w:szCs w:val="24"/>
        </w:rPr>
      </w:pPr>
    </w:p>
    <w:p w:rsidRDefault="008B78B1" w:rsidP="00283EED" w:rsidR="008B78B1">
      <w:pPr>
        <w:pStyle w:val="Tijeloteksta"/>
        <w:rPr>
          <w:szCs w:val="24"/>
        </w:rPr>
      </w:pPr>
    </w:p>
    <w:p w:rsidRDefault="00735F49" w:rsidP="00283EED" w:rsidR="00735F49" w:rsidRPr="004638D2">
      <w:pPr>
        <w:pStyle w:val="Tijeloteksta"/>
        <w:rPr>
          <w:szCs w:val="24"/>
        </w:rPr>
      </w:pPr>
    </w:p>
    <w:p w:rsidRDefault="00283EED" w:rsidP="00283EED" w:rsidR="00283EED">
      <w:pPr>
        <w:pStyle w:val="Tijeloteksta"/>
        <w:rPr>
          <w:szCs w:val="24"/>
        </w:rPr>
      </w:pPr>
    </w:p>
    <w:tbl>
      <w:tblPr>
        <w:tblW w:type="dxa" w:w="9434"/>
        <w:tblInd w:type="dxa" w:w="94"/>
        <w:tblLook w:val="04A0" w:noVBand="1" w:noHBand="0" w:lastColumn="0" w:firstColumn="1" w:lastRow="0" w:firstRow="1"/>
      </w:tblPr>
      <w:tblGrid>
        <w:gridCol w:w="1117"/>
        <w:gridCol w:w="3336"/>
        <w:gridCol w:w="262"/>
        <w:gridCol w:w="262"/>
        <w:gridCol w:w="262"/>
        <w:gridCol w:w="222"/>
        <w:gridCol w:w="4080"/>
      </w:tblGrid>
      <w:tr w:rsidTr="00735F49" w:rsidR="00735F49" w:rsidRPr="00735F49">
        <w:trPr>
          <w:trHeight w:val="255"/>
        </w:trPr>
        <w:tc>
          <w:tcPr>
            <w:tcW w:type="dxa" w:w="9434"/>
            <w:gridSpan w:val="7"/>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Pr>
                <w:rFonts w:cs="Arial" w:eastAsia="Times New Roman" w:hAnsi="Arial" w:ascii="Arial"/>
                <w:sz w:val="20"/>
                <w:szCs w:val="20"/>
                <w:lang w:eastAsia="hr-HR"/>
              </w:rPr>
              <w:lastRenderedPageBreak/>
              <w:t xml:space="preserve">Nastavno </w:t>
            </w:r>
            <w:r w:rsidRPr="00735F49">
              <w:rPr>
                <w:rFonts w:cs="Arial" w:eastAsia="Times New Roman" w:hAnsi="Arial" w:ascii="Arial"/>
                <w:sz w:val="20"/>
                <w:szCs w:val="20"/>
                <w:lang w:eastAsia="hr-HR"/>
              </w:rPr>
              <w:t>dajemo pregled priljeva i odljeva sredstava sa žiro-računa stečajnog dužnika</w:t>
            </w:r>
          </w:p>
        </w:tc>
      </w:tr>
      <w:tr w:rsidTr="00735F49" w:rsidR="00735F49" w:rsidRPr="00735F49">
        <w:trPr>
          <w:trHeight w:val="255"/>
        </w:trPr>
        <w:tc>
          <w:tcPr>
            <w:tcW w:type="dxa" w:w="5239"/>
            <w:gridSpan w:val="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u razdoblju od  27.01.2018.godine do 2.04.2018. godine.</w:t>
            </w: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3336"/>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18"/>
                <w:szCs w:val="18"/>
                <w:lang w:eastAsia="hr-HR"/>
              </w:rPr>
            </w:pPr>
            <w:r w:rsidRPr="00735F49">
              <w:rPr>
                <w:rFonts w:cs="Arial" w:eastAsia="Times New Roman" w:hAnsi="Arial" w:ascii="Arial"/>
                <w:sz w:val="18"/>
                <w:szCs w:val="18"/>
                <w:lang w:eastAsia="hr-HR"/>
              </w:rPr>
              <w:t>Red. žiro račun</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b/>
                <w:bCs/>
                <w:sz w:val="20"/>
                <w:szCs w:val="20"/>
                <w:lang w:eastAsia="hr-HR"/>
              </w:rPr>
            </w:pPr>
            <w:r w:rsidRPr="00735F49">
              <w:rPr>
                <w:rFonts w:cs="Arial" w:eastAsia="Times New Roman" w:hAnsi="Arial" w:ascii="Arial"/>
                <w:b/>
                <w:bCs/>
                <w:sz w:val="20"/>
                <w:szCs w:val="20"/>
                <w:lang w:eastAsia="hr-HR"/>
              </w:rPr>
              <w:t>1.</w:t>
            </w:r>
          </w:p>
        </w:tc>
        <w:tc>
          <w:tcPr>
            <w:tcW w:type="dxa" w:w="4122"/>
            <w:gridSpan w:val="4"/>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r w:rsidRPr="00735F49">
              <w:rPr>
                <w:rFonts w:cs="Arial" w:eastAsia="Times New Roman" w:hAnsi="Arial" w:ascii="Arial"/>
                <w:b/>
                <w:bCs/>
                <w:sz w:val="20"/>
                <w:szCs w:val="20"/>
                <w:lang w:eastAsia="hr-HR"/>
              </w:rPr>
              <w:t>STANJE NA RAČUNU NA DAN  27.01.2018. GODINE</w:t>
            </w: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b/>
                <w:bCs/>
                <w:sz w:val="20"/>
                <w:szCs w:val="20"/>
                <w:lang w:eastAsia="hr-HR"/>
              </w:rPr>
            </w:pPr>
            <w:r w:rsidRPr="00735F49">
              <w:rPr>
                <w:rFonts w:cs="Arial" w:eastAsia="Times New Roman" w:hAnsi="Arial" w:ascii="Arial"/>
                <w:b/>
                <w:bCs/>
                <w:sz w:val="20"/>
                <w:szCs w:val="20"/>
                <w:lang w:eastAsia="hr-HR"/>
              </w:rPr>
              <w:t>7.029,00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b/>
                <w:bCs/>
                <w:sz w:val="20"/>
                <w:szCs w:val="20"/>
                <w:lang w:eastAsia="hr-HR"/>
              </w:rPr>
            </w:pPr>
          </w:p>
        </w:tc>
        <w:tc>
          <w:tcPr>
            <w:tcW w:type="dxa" w:w="3598"/>
            <w:gridSpan w:val="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žiro račun</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6.815,10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b/>
                <w:bCs/>
                <w:sz w:val="20"/>
                <w:szCs w:val="20"/>
                <w:lang w:eastAsia="hr-HR"/>
              </w:rPr>
            </w:pPr>
          </w:p>
        </w:tc>
        <w:tc>
          <w:tcPr>
            <w:tcW w:type="dxa" w:w="3598"/>
            <w:gridSpan w:val="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 xml:space="preserve">blagajna </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213,90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b/>
                <w:bCs/>
                <w:sz w:val="20"/>
                <w:szCs w:val="20"/>
                <w:lang w:eastAsia="hr-HR"/>
              </w:rPr>
            </w:pPr>
            <w:r w:rsidRPr="00735F49">
              <w:rPr>
                <w:rFonts w:cs="Arial" w:eastAsia="Times New Roman" w:hAnsi="Arial" w:ascii="Arial"/>
                <w:b/>
                <w:bCs/>
                <w:sz w:val="20"/>
                <w:szCs w:val="20"/>
                <w:lang w:eastAsia="hr-HR"/>
              </w:rPr>
              <w:t>2.</w:t>
            </w:r>
          </w:p>
        </w:tc>
        <w:tc>
          <w:tcPr>
            <w:tcW w:type="dxa" w:w="3860"/>
            <w:gridSpan w:val="3"/>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r w:rsidRPr="00735F49">
              <w:rPr>
                <w:rFonts w:cs="Arial" w:eastAsia="Times New Roman" w:hAnsi="Arial" w:ascii="Arial"/>
                <w:b/>
                <w:bCs/>
                <w:sz w:val="20"/>
                <w:szCs w:val="20"/>
                <w:lang w:eastAsia="hr-HR"/>
              </w:rPr>
              <w:t xml:space="preserve">PRILJEV SREDSTAVA </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b/>
                <w:bCs/>
                <w:sz w:val="20"/>
                <w:szCs w:val="20"/>
                <w:lang w:eastAsia="hr-HR"/>
              </w:rPr>
            </w:pPr>
            <w:r w:rsidRPr="00735F49">
              <w:rPr>
                <w:rFonts w:cs="Arial" w:eastAsia="Times New Roman" w:hAnsi="Arial" w:ascii="Arial"/>
                <w:b/>
                <w:bCs/>
                <w:sz w:val="20"/>
                <w:szCs w:val="20"/>
                <w:lang w:eastAsia="hr-HR"/>
              </w:rPr>
              <w:t>2.001,68</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b/>
                <w:bCs/>
                <w:sz w:val="20"/>
                <w:szCs w:val="20"/>
                <w:lang w:eastAsia="hr-HR"/>
              </w:rPr>
            </w:pPr>
          </w:p>
        </w:tc>
        <w:tc>
          <w:tcPr>
            <w:tcW w:type="dxa" w:w="3598"/>
            <w:gridSpan w:val="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HPB-kamate</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1,68</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b/>
                <w:bCs/>
                <w:sz w:val="20"/>
                <w:szCs w:val="20"/>
                <w:lang w:eastAsia="hr-HR"/>
              </w:rPr>
            </w:pPr>
          </w:p>
        </w:tc>
        <w:tc>
          <w:tcPr>
            <w:tcW w:type="dxa" w:w="3860"/>
            <w:gridSpan w:val="3"/>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Priliv od najma imovine</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2.000,00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b/>
                <w:bCs/>
                <w:sz w:val="20"/>
                <w:szCs w:val="20"/>
                <w:lang w:eastAsia="hr-HR"/>
              </w:rPr>
            </w:pPr>
          </w:p>
        </w:tc>
        <w:tc>
          <w:tcPr>
            <w:tcW w:type="dxa" w:w="3860"/>
            <w:gridSpan w:val="3"/>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Povrat od pozajmica</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0,00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b/>
                <w:bCs/>
                <w:sz w:val="20"/>
                <w:szCs w:val="20"/>
                <w:lang w:eastAsia="hr-HR"/>
              </w:rPr>
            </w:pPr>
          </w:p>
        </w:tc>
        <w:tc>
          <w:tcPr>
            <w:tcW w:type="dxa" w:w="3860"/>
            <w:gridSpan w:val="3"/>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Priliv od kupaca prije stečaja</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0,00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b/>
                <w:bCs/>
                <w:sz w:val="20"/>
                <w:szCs w:val="20"/>
                <w:lang w:eastAsia="hr-HR"/>
              </w:rPr>
            </w:pPr>
          </w:p>
        </w:tc>
        <w:tc>
          <w:tcPr>
            <w:tcW w:type="dxa" w:w="3336"/>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b/>
                <w:bCs/>
                <w:sz w:val="20"/>
                <w:szCs w:val="20"/>
                <w:lang w:eastAsia="hr-HR"/>
              </w:rPr>
            </w:pPr>
            <w:r w:rsidRPr="00735F49">
              <w:rPr>
                <w:rFonts w:cs="Arial" w:eastAsia="Times New Roman" w:hAnsi="Arial" w:ascii="Arial"/>
                <w:b/>
                <w:bCs/>
                <w:sz w:val="20"/>
                <w:szCs w:val="20"/>
                <w:lang w:eastAsia="hr-HR"/>
              </w:rPr>
              <w:t>3.</w:t>
            </w:r>
          </w:p>
        </w:tc>
        <w:tc>
          <w:tcPr>
            <w:tcW w:type="dxa" w:w="3860"/>
            <w:gridSpan w:val="3"/>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r w:rsidRPr="00735F49">
              <w:rPr>
                <w:rFonts w:cs="Arial" w:eastAsia="Times New Roman" w:hAnsi="Arial" w:ascii="Arial"/>
                <w:b/>
                <w:bCs/>
                <w:sz w:val="20"/>
                <w:szCs w:val="20"/>
                <w:lang w:eastAsia="hr-HR"/>
              </w:rPr>
              <w:t>KONTROLNI ZBROJ (1+2)</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b/>
                <w:bCs/>
                <w:sz w:val="20"/>
                <w:szCs w:val="20"/>
                <w:lang w:eastAsia="hr-HR"/>
              </w:rPr>
            </w:pPr>
            <w:r w:rsidRPr="00735F49">
              <w:rPr>
                <w:rFonts w:cs="Arial" w:eastAsia="Times New Roman" w:hAnsi="Arial" w:ascii="Arial"/>
                <w:b/>
                <w:bCs/>
                <w:sz w:val="20"/>
                <w:szCs w:val="20"/>
                <w:lang w:eastAsia="hr-HR"/>
              </w:rPr>
              <w:t>9.030,68</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b/>
                <w:bCs/>
                <w:sz w:val="20"/>
                <w:szCs w:val="20"/>
                <w:lang w:eastAsia="hr-HR"/>
              </w:rPr>
            </w:pPr>
          </w:p>
        </w:tc>
        <w:tc>
          <w:tcPr>
            <w:tcW w:type="dxa" w:w="3336"/>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b/>
                <w:bCs/>
                <w:sz w:val="20"/>
                <w:szCs w:val="20"/>
                <w:lang w:eastAsia="hr-HR"/>
              </w:rPr>
            </w:pPr>
            <w:r w:rsidRPr="00735F49">
              <w:rPr>
                <w:rFonts w:cs="Arial" w:eastAsia="Times New Roman" w:hAnsi="Arial" w:ascii="Arial"/>
                <w:b/>
                <w:bCs/>
                <w:sz w:val="20"/>
                <w:szCs w:val="20"/>
                <w:lang w:eastAsia="hr-HR"/>
              </w:rPr>
              <w:t>4.</w:t>
            </w:r>
          </w:p>
        </w:tc>
        <w:tc>
          <w:tcPr>
            <w:tcW w:type="dxa" w:w="3860"/>
            <w:gridSpan w:val="3"/>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r w:rsidRPr="00735F49">
              <w:rPr>
                <w:rFonts w:cs="Arial" w:eastAsia="Times New Roman" w:hAnsi="Arial" w:ascii="Arial"/>
                <w:b/>
                <w:bCs/>
                <w:sz w:val="20"/>
                <w:szCs w:val="20"/>
                <w:lang w:eastAsia="hr-HR"/>
              </w:rPr>
              <w:t>ODLJEV SREDSTAVA</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b/>
                <w:bCs/>
                <w:sz w:val="20"/>
                <w:szCs w:val="20"/>
                <w:lang w:eastAsia="hr-HR"/>
              </w:rPr>
            </w:pPr>
            <w:r w:rsidRPr="00735F49">
              <w:rPr>
                <w:rFonts w:cs="Arial" w:eastAsia="Times New Roman" w:hAnsi="Arial" w:ascii="Arial"/>
                <w:b/>
                <w:bCs/>
                <w:sz w:val="20"/>
                <w:szCs w:val="20"/>
                <w:lang w:eastAsia="hr-HR"/>
              </w:rPr>
              <w:t>298,90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122"/>
            <w:gridSpan w:val="4"/>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Troškovi oglasa za prodaju imovine</w:t>
            </w: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0,00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3860"/>
            <w:gridSpan w:val="3"/>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 xml:space="preserve">Troškovi poštarine </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0,00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3860"/>
            <w:gridSpan w:val="3"/>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Materijalni troškovi</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0,00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3860"/>
            <w:gridSpan w:val="3"/>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Administrativni troškovi</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0,00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3860"/>
            <w:gridSpan w:val="3"/>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Troškovi FINE i statistike</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298,90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sz w:val="20"/>
                <w:szCs w:val="20"/>
                <w:lang w:eastAsia="hr-HR"/>
              </w:rPr>
            </w:pPr>
          </w:p>
        </w:tc>
        <w:tc>
          <w:tcPr>
            <w:tcW w:type="dxa" w:w="4122"/>
            <w:gridSpan w:val="4"/>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Troškovi vođenja knjigovodstva</w:t>
            </w: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0,00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sz w:val="20"/>
                <w:szCs w:val="20"/>
                <w:lang w:eastAsia="hr-HR"/>
              </w:rPr>
            </w:pPr>
          </w:p>
        </w:tc>
        <w:tc>
          <w:tcPr>
            <w:tcW w:type="dxa" w:w="3860"/>
            <w:gridSpan w:val="3"/>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Troškovi odvjetnika</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0,00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sz w:val="20"/>
                <w:szCs w:val="20"/>
                <w:lang w:eastAsia="hr-HR"/>
              </w:rPr>
            </w:pPr>
          </w:p>
        </w:tc>
        <w:tc>
          <w:tcPr>
            <w:tcW w:type="dxa" w:w="3598"/>
            <w:gridSpan w:val="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Povrat pozajmica</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0,00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sz w:val="20"/>
                <w:szCs w:val="20"/>
                <w:lang w:eastAsia="hr-HR"/>
              </w:rPr>
            </w:pPr>
          </w:p>
        </w:tc>
        <w:tc>
          <w:tcPr>
            <w:tcW w:type="dxa" w:w="4122"/>
            <w:gridSpan w:val="4"/>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Ostali troškovi (biljezi, kopiranje i sl.)</w:t>
            </w: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0,00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sz w:val="20"/>
                <w:szCs w:val="20"/>
                <w:lang w:eastAsia="hr-HR"/>
              </w:rPr>
            </w:pPr>
          </w:p>
        </w:tc>
        <w:tc>
          <w:tcPr>
            <w:tcW w:type="dxa" w:w="3860"/>
            <w:gridSpan w:val="3"/>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Troškovi procjene imovine</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0,00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sz w:val="20"/>
                <w:szCs w:val="20"/>
                <w:lang w:eastAsia="hr-HR"/>
              </w:rPr>
            </w:pPr>
          </w:p>
        </w:tc>
        <w:tc>
          <w:tcPr>
            <w:tcW w:type="dxa" w:w="4122"/>
            <w:gridSpan w:val="4"/>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Komunalna i vodna naknada, pričuva</w:t>
            </w: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0,00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sz w:val="20"/>
                <w:szCs w:val="20"/>
                <w:lang w:eastAsia="hr-HR"/>
              </w:rPr>
            </w:pPr>
          </w:p>
        </w:tc>
        <w:tc>
          <w:tcPr>
            <w:tcW w:type="dxa" w:w="3598"/>
            <w:gridSpan w:val="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 xml:space="preserve">Troškovi inventure </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0,00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sz w:val="20"/>
                <w:szCs w:val="20"/>
                <w:lang w:eastAsia="hr-HR"/>
              </w:rPr>
            </w:pPr>
          </w:p>
        </w:tc>
        <w:tc>
          <w:tcPr>
            <w:tcW w:type="dxa" w:w="3336"/>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PDV</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0,00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b/>
                <w:bCs/>
                <w:sz w:val="20"/>
                <w:szCs w:val="20"/>
                <w:lang w:eastAsia="hr-HR"/>
              </w:rPr>
            </w:pPr>
          </w:p>
        </w:tc>
        <w:tc>
          <w:tcPr>
            <w:tcW w:type="dxa" w:w="4122"/>
            <w:gridSpan w:val="4"/>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Troškovi  nekretnine(voda, plin el.energija, čuvanje)</w:t>
            </w: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0,00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sz w:val="20"/>
                <w:szCs w:val="20"/>
                <w:lang w:eastAsia="hr-HR"/>
              </w:rPr>
            </w:pPr>
          </w:p>
        </w:tc>
        <w:tc>
          <w:tcPr>
            <w:tcW w:type="dxa" w:w="3860"/>
            <w:gridSpan w:val="3"/>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Troškovi osiguranja imovine</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0,00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sz w:val="20"/>
                <w:szCs w:val="20"/>
                <w:lang w:eastAsia="hr-HR"/>
              </w:rPr>
            </w:pPr>
          </w:p>
        </w:tc>
        <w:tc>
          <w:tcPr>
            <w:tcW w:type="dxa" w:w="3598"/>
            <w:gridSpan w:val="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Sudske pristojbe</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0,00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b/>
                <w:bCs/>
                <w:sz w:val="20"/>
                <w:szCs w:val="20"/>
                <w:lang w:eastAsia="hr-HR"/>
              </w:rPr>
            </w:pPr>
            <w:r w:rsidRPr="00735F49">
              <w:rPr>
                <w:rFonts w:cs="Arial" w:eastAsia="Times New Roman" w:hAnsi="Arial" w:ascii="Arial"/>
                <w:b/>
                <w:bCs/>
                <w:sz w:val="20"/>
                <w:szCs w:val="20"/>
                <w:lang w:eastAsia="hr-HR"/>
              </w:rPr>
              <w:t>5.</w:t>
            </w:r>
          </w:p>
        </w:tc>
        <w:tc>
          <w:tcPr>
            <w:tcW w:type="dxa" w:w="4122"/>
            <w:gridSpan w:val="4"/>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r w:rsidRPr="00735F49">
              <w:rPr>
                <w:rFonts w:cs="Arial" w:eastAsia="Times New Roman" w:hAnsi="Arial" w:ascii="Arial"/>
                <w:b/>
                <w:bCs/>
                <w:sz w:val="20"/>
                <w:szCs w:val="20"/>
                <w:lang w:eastAsia="hr-HR"/>
              </w:rPr>
              <w:t>STANJE NA RAČUNU NA DAN 25.04.2018.GODINE</w:t>
            </w: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b/>
                <w:bCs/>
                <w:sz w:val="20"/>
                <w:szCs w:val="20"/>
                <w:lang w:eastAsia="hr-HR"/>
              </w:rPr>
            </w:pPr>
            <w:r w:rsidRPr="00735F49">
              <w:rPr>
                <w:rFonts w:cs="Arial" w:eastAsia="Times New Roman" w:hAnsi="Arial" w:ascii="Arial"/>
                <w:b/>
                <w:bCs/>
                <w:sz w:val="20"/>
                <w:szCs w:val="20"/>
                <w:lang w:eastAsia="hr-HR"/>
              </w:rPr>
              <w:t>8.731,78</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b/>
                <w:bCs/>
                <w:sz w:val="20"/>
                <w:szCs w:val="20"/>
                <w:lang w:eastAsia="hr-HR"/>
              </w:rPr>
            </w:pPr>
          </w:p>
        </w:tc>
        <w:tc>
          <w:tcPr>
            <w:tcW w:type="dxa" w:w="3598"/>
            <w:gridSpan w:val="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žiro račun</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8.517,88</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b/>
                <w:bCs/>
                <w:sz w:val="20"/>
                <w:szCs w:val="20"/>
                <w:lang w:eastAsia="hr-HR"/>
              </w:rPr>
            </w:pPr>
          </w:p>
        </w:tc>
        <w:tc>
          <w:tcPr>
            <w:tcW w:type="dxa" w:w="3598"/>
            <w:gridSpan w:val="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r w:rsidRPr="00735F49">
              <w:rPr>
                <w:rFonts w:cs="Arial" w:eastAsia="Times New Roman" w:hAnsi="Arial" w:ascii="Arial"/>
                <w:sz w:val="20"/>
                <w:szCs w:val="20"/>
                <w:lang w:eastAsia="hr-HR"/>
              </w:rPr>
              <w:t>blagajna</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sz w:val="20"/>
                <w:szCs w:val="20"/>
                <w:lang w:eastAsia="hr-HR"/>
              </w:rPr>
            </w:pPr>
            <w:r w:rsidRPr="00735F49">
              <w:rPr>
                <w:rFonts w:cs="Arial" w:eastAsia="Times New Roman" w:hAnsi="Arial" w:ascii="Arial"/>
                <w:sz w:val="20"/>
                <w:szCs w:val="20"/>
                <w:lang w:eastAsia="hr-HR"/>
              </w:rPr>
              <w:t>213,90</w:t>
            </w:r>
          </w:p>
        </w:tc>
      </w:tr>
      <w:tr w:rsidTr="00735F49" w:rsidR="00735F49" w:rsidRPr="00735F49">
        <w:trPr>
          <w:trHeight w:val="255"/>
        </w:trPr>
        <w:tc>
          <w:tcPr>
            <w:tcW w:type="dxa" w:w="1117"/>
            <w:tcBorders>
              <w:top w:val="nil"/>
              <w:left w:val="nil"/>
              <w:bottom w:val="nil"/>
              <w:right w:val="nil"/>
            </w:tcBorders>
            <w:shd w:fill="auto" w:color="auto" w:val="clear"/>
            <w:noWrap/>
            <w:vAlign w:val="bottom"/>
            <w:hideMark/>
          </w:tcPr>
          <w:p w:rsidRDefault="00735F49" w:rsidP="00735F49" w:rsidR="00735F49" w:rsidRPr="00735F49">
            <w:pPr>
              <w:spacing w:after="0"/>
              <w:jc w:val="center"/>
              <w:rPr>
                <w:rFonts w:cs="Arial" w:eastAsia="Times New Roman" w:hAnsi="Arial" w:ascii="Arial"/>
                <w:b/>
                <w:bCs/>
                <w:sz w:val="20"/>
                <w:szCs w:val="20"/>
                <w:lang w:eastAsia="hr-HR"/>
              </w:rPr>
            </w:pPr>
            <w:r w:rsidRPr="00735F49">
              <w:rPr>
                <w:rFonts w:cs="Arial" w:eastAsia="Times New Roman" w:hAnsi="Arial" w:ascii="Arial"/>
                <w:b/>
                <w:bCs/>
                <w:sz w:val="20"/>
                <w:szCs w:val="20"/>
                <w:lang w:eastAsia="hr-HR"/>
              </w:rPr>
              <w:t>6.</w:t>
            </w:r>
          </w:p>
        </w:tc>
        <w:tc>
          <w:tcPr>
            <w:tcW w:type="dxa" w:w="3860"/>
            <w:gridSpan w:val="3"/>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r w:rsidRPr="00735F49">
              <w:rPr>
                <w:rFonts w:cs="Arial" w:eastAsia="Times New Roman" w:hAnsi="Arial" w:ascii="Arial"/>
                <w:b/>
                <w:bCs/>
                <w:sz w:val="20"/>
                <w:szCs w:val="20"/>
                <w:lang w:eastAsia="hr-HR"/>
              </w:rPr>
              <w:t>KONTROLNI ZBROJ (4+5)</w:t>
            </w:r>
          </w:p>
        </w:tc>
        <w:tc>
          <w:tcPr>
            <w:tcW w:type="dxa" w:w="262"/>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115"/>
            <w:tcBorders>
              <w:top w:val="nil"/>
              <w:left w:val="nil"/>
              <w:bottom w:val="nil"/>
              <w:right w:val="nil"/>
            </w:tcBorders>
            <w:shd w:fill="auto" w:color="auto" w:val="clear"/>
            <w:noWrap/>
            <w:vAlign w:val="bottom"/>
            <w:hideMark/>
          </w:tcPr>
          <w:p w:rsidRDefault="00735F49" w:rsidP="00735F49" w:rsidR="00735F49" w:rsidRPr="00735F49">
            <w:pPr>
              <w:spacing w:after="0"/>
              <w:rPr>
                <w:rFonts w:cs="Arial" w:eastAsia="Times New Roman" w:hAnsi="Arial" w:ascii="Arial"/>
                <w:b/>
                <w:bCs/>
                <w:sz w:val="20"/>
                <w:szCs w:val="20"/>
                <w:lang w:eastAsia="hr-HR"/>
              </w:rPr>
            </w:pPr>
          </w:p>
        </w:tc>
        <w:tc>
          <w:tcPr>
            <w:tcW w:type="dxa" w:w="4080"/>
            <w:tcBorders>
              <w:top w:val="nil"/>
              <w:left w:val="nil"/>
              <w:bottom w:val="nil"/>
              <w:right w:val="nil"/>
            </w:tcBorders>
            <w:shd w:fill="auto" w:color="auto" w:val="clear"/>
            <w:noWrap/>
            <w:vAlign w:val="bottom"/>
            <w:hideMark/>
          </w:tcPr>
          <w:p w:rsidRDefault="00735F49" w:rsidP="00735F49" w:rsidR="00735F49" w:rsidRPr="00735F49">
            <w:pPr>
              <w:spacing w:after="0"/>
              <w:jc w:val="right"/>
              <w:rPr>
                <w:rFonts w:cs="Arial" w:eastAsia="Times New Roman" w:hAnsi="Arial" w:ascii="Arial"/>
                <w:b/>
                <w:bCs/>
                <w:sz w:val="20"/>
                <w:szCs w:val="20"/>
                <w:lang w:eastAsia="hr-HR"/>
              </w:rPr>
            </w:pPr>
            <w:r w:rsidRPr="00735F49">
              <w:rPr>
                <w:rFonts w:cs="Arial" w:eastAsia="Times New Roman" w:hAnsi="Arial" w:ascii="Arial"/>
                <w:b/>
                <w:bCs/>
                <w:sz w:val="20"/>
                <w:szCs w:val="20"/>
                <w:lang w:eastAsia="hr-HR"/>
              </w:rPr>
              <w:t>9.030,68</w:t>
            </w:r>
          </w:p>
        </w:tc>
      </w:tr>
    </w:tbl>
    <w:p w:rsidRDefault="00283EED" w:rsidP="00283EED" w:rsidR="00283EED">
      <w:pPr>
        <w:spacing w:after="0"/>
        <w:jc w:val="both"/>
        <w:rPr>
          <w:rFonts w:hAnsi="Bookman Old Style" w:ascii="Bookman Old Style"/>
          <w:b/>
          <w:sz w:val="24"/>
          <w:szCs w:val="24"/>
          <w:lang w:val="pl-PL"/>
        </w:rPr>
      </w:pPr>
    </w:p>
    <w:p w:rsidRDefault="00735F49" w:rsidP="00283EED" w:rsidR="00735F49">
      <w:pPr>
        <w:spacing w:after="0"/>
        <w:jc w:val="both"/>
        <w:rPr>
          <w:rFonts w:hAnsi="Bookman Old Style" w:ascii="Bookman Old Style"/>
          <w:b/>
          <w:sz w:val="24"/>
          <w:szCs w:val="24"/>
          <w:lang w:val="pl-PL"/>
        </w:rPr>
      </w:pPr>
    </w:p>
    <w:p w:rsidRDefault="00735F49" w:rsidP="00283EED" w:rsidR="00735F49">
      <w:pPr>
        <w:spacing w:after="0"/>
        <w:jc w:val="both"/>
        <w:rPr>
          <w:rFonts w:hAnsi="Bookman Old Style" w:ascii="Bookman Old Style"/>
          <w:b/>
          <w:sz w:val="24"/>
          <w:szCs w:val="24"/>
          <w:lang w:val="pl-PL"/>
        </w:rPr>
      </w:pPr>
    </w:p>
    <w:p w:rsidRDefault="00283EED" w:rsidP="00283EED" w:rsidR="00283EED" w:rsidRPr="00A26156">
      <w:pPr>
        <w:spacing w:after="0"/>
        <w:jc w:val="both"/>
        <w:rPr>
          <w:rFonts w:hAnsi="Bookman Old Style" w:ascii="Bookman Old Style"/>
          <w:b/>
          <w:sz w:val="24"/>
          <w:szCs w:val="24"/>
          <w:lang w:val="pl-PL"/>
        </w:rPr>
      </w:pPr>
      <w:r w:rsidRPr="00A26156">
        <w:rPr>
          <w:rFonts w:hAnsi="Bookman Old Style" w:ascii="Bookman Old Style"/>
          <w:b/>
          <w:sz w:val="24"/>
          <w:szCs w:val="24"/>
          <w:lang w:val="pl-PL"/>
        </w:rPr>
        <w:t>III. RADNJE  KOJE ĆE SE PODUZETI U NAREDNOM RAZDOBLJU</w:t>
      </w:r>
    </w:p>
    <w:p w:rsidRDefault="00283EED" w:rsidP="00283EED" w:rsidR="00283EED">
      <w:pPr>
        <w:spacing w:after="0"/>
        <w:jc w:val="both"/>
        <w:rPr>
          <w:rFonts w:hAnsi="Bookman Old Style" w:ascii="Bookman Old Style"/>
          <w:sz w:val="24"/>
          <w:szCs w:val="24"/>
          <w:lang w:val="pl-PL"/>
        </w:rPr>
      </w:pPr>
    </w:p>
    <w:p w:rsidRDefault="00283EED" w:rsidP="00283EED" w:rsidR="00283EED">
      <w:pPr>
        <w:spacing w:after="0"/>
        <w:jc w:val="both"/>
        <w:rPr>
          <w:rFonts w:hAnsi="Bookman Old Style" w:ascii="Bookman Old Style"/>
          <w:sz w:val="24"/>
          <w:szCs w:val="24"/>
          <w:lang w:val="pl-PL"/>
        </w:rPr>
      </w:pPr>
    </w:p>
    <w:p w:rsidRDefault="002566F4" w:rsidP="002566F4" w:rsidR="00283EED">
      <w:pPr>
        <w:jc w:val="both"/>
        <w:rPr>
          <w:rFonts w:hAnsi="Bookman Old Style" w:ascii="Bookman Old Style"/>
          <w:sz w:val="24"/>
          <w:szCs w:val="24"/>
          <w:lang w:val="pl-PL"/>
        </w:rPr>
      </w:pPr>
      <w:r>
        <w:rPr>
          <w:rFonts w:hAnsi="Bookman Old Style" w:ascii="Bookman Old Style"/>
          <w:sz w:val="24"/>
          <w:szCs w:val="24"/>
          <w:lang w:val="pl-PL"/>
        </w:rPr>
        <w:t>Čeka se odluka suda da li će se postupiti po Prijedlogu za prodaju nekretnina</w:t>
      </w:r>
      <w:r w:rsidRPr="002566F4">
        <w:rPr>
          <w:rFonts w:hAnsi="Bookman Old Style" w:ascii="Bookman Old Style"/>
          <w:sz w:val="24"/>
          <w:szCs w:val="24"/>
          <w:lang w:val="pl-PL"/>
        </w:rPr>
        <w:t xml:space="preserve"> stečajnog dužnika n</w:t>
      </w:r>
      <w:r>
        <w:rPr>
          <w:rFonts w:hAnsi="Bookman Old Style" w:ascii="Bookman Old Style"/>
          <w:sz w:val="24"/>
          <w:szCs w:val="24"/>
          <w:lang w:val="pl-PL"/>
        </w:rPr>
        <w:t>a kojima postoji razlučno pravo, od 26. siječnja 2018. godine.</w:t>
      </w:r>
    </w:p>
    <w:p w:rsidRDefault="00283EED" w:rsidP="00283EED" w:rsidR="00283EED" w:rsidRPr="0093029A">
      <w:pPr>
        <w:rPr>
          <w:rFonts w:hAnsi="Bookman Old Style" w:ascii="Bookman Old Style"/>
          <w:sz w:val="24"/>
          <w:szCs w:val="24"/>
          <w:lang w:val="pl-PL"/>
        </w:rPr>
      </w:pPr>
    </w:p>
    <w:p w:rsidRDefault="00283EED" w:rsidP="00283EED" w:rsidR="00283EED">
      <w:pPr>
        <w:rPr>
          <w:rFonts w:hAnsi="Bookman Old Style" w:ascii="Bookman Old Style"/>
          <w:sz w:val="24"/>
          <w:szCs w:val="24"/>
          <w:lang w:val="pl-PL"/>
        </w:rPr>
      </w:pPr>
    </w:p>
    <w:p w:rsidRDefault="00283EED" w:rsidP="00283EED" w:rsidR="00283EED">
      <w:pPr>
        <w:rPr>
          <w:rFonts w:hAnsi="Bookman Old Style" w:ascii="Bookman Old Style"/>
          <w:sz w:val="24"/>
          <w:szCs w:val="24"/>
          <w:lang w:val="pl-PL"/>
        </w:rPr>
      </w:pPr>
    </w:p>
    <w:p w:rsidRDefault="00283EED" w:rsidP="008B78B1" w:rsidR="00283EED" w:rsidRPr="0093029A">
      <w:pPr>
        <w:jc w:val="both"/>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008B78B1">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283EED" w:rsidR="000B489B" w:rsidRPr="00BA110B">
      <w:pPr>
        <w:rPr>
          <w:rFonts w:hAnsi="Bookman Old Style" w:ascii="Bookman Old Style"/>
          <w:lang w:val="pl-PL"/>
        </w:rPr>
      </w:pPr>
      <w:r w:rsidRPr="0093029A">
        <w:rPr>
          <w:rFonts w:hAnsi="Bookman Old Style" w:ascii="Bookman Old Style"/>
          <w:sz w:val="24"/>
          <w:szCs w:val="24"/>
          <w:lang w:val="pl-PL"/>
        </w:rPr>
        <w:t xml:space="preserve">Zagreb, </w:t>
      </w:r>
      <w:r>
        <w:rPr>
          <w:rFonts w:hAnsi="Bookman Old Style" w:ascii="Bookman Old Style"/>
          <w:sz w:val="24"/>
          <w:szCs w:val="24"/>
          <w:lang w:val="pl-PL"/>
        </w:rPr>
        <w:t>26.04.2018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sidR="008B78B1">
        <w:rPr>
          <w:rFonts w:hAnsi="Bookman Old Style" w:ascii="Bookman Old Style"/>
          <w:sz w:val="24"/>
          <w:szCs w:val="24"/>
          <w:lang w:val="pl-PL"/>
        </w:rPr>
        <w:tab/>
        <w:t xml:space="preserve">    </w:t>
      </w:r>
      <w:r w:rsidRPr="0093029A">
        <w:rPr>
          <w:rFonts w:hAnsi="Bookman Old Style" w:ascii="Bookman Old Style"/>
          <w:sz w:val="24"/>
          <w:szCs w:val="24"/>
          <w:lang w:val="pl-PL"/>
        </w:rPr>
        <w:t>Davorka Huljev</w:t>
      </w:r>
    </w:p>
    <w:sectPr w:rsidSect="00682BD8" w:rsidR="000B489B" w:rsidRPr="00BA110B">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786332"/>
    <w:multiLevelType w:val="hybridMultilevel"/>
    <w:tmpl w:val="340E8AF4"/>
    <w:lvl w:tplc="9ECEEA8A" w:ilvl="0">
      <w:start w:val="1"/>
      <w:numFmt w:val="bullet"/>
      <w:lvlText w:val="-"/>
      <w:lvlJc w:val="left"/>
      <w:pPr>
        <w:ind w:hanging="360" w:left="1080"/>
      </w:pPr>
      <w:rPr>
        <w:rFonts w:cs="Times New Roman" w:eastAsia="Times New Roman" w:hAnsi="Bookman Old Style" w:ascii="Bookman Old Style"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54FF72E8"/>
    <w:multiLevelType w:val="multilevel"/>
    <w:tmpl w:val="EEAE4D12"/>
    <w:lvl w:ilvl="0">
      <w:start w:val="1"/>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2">
    <w:nsid w:val="75CE2C93"/>
    <w:multiLevelType w:val="hybridMultilevel"/>
    <w:tmpl w:val="5B1CB9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3EED"/>
    <w:rsid w:val="000265CB"/>
    <w:rsid w:val="000B489B"/>
    <w:rsid w:val="000B4900"/>
    <w:rsid w:val="002566F4"/>
    <w:rsid w:val="00283EED"/>
    <w:rsid w:val="00682BD8"/>
    <w:rsid w:val="00735F49"/>
    <w:rsid w:val="0088794A"/>
    <w:rsid w:val="008B78B1"/>
    <w:rsid w:val="0092434E"/>
    <w:rsid w:val="00BA110B"/>
    <w:rsid w:val="00DA22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3EED"/>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83EED"/>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283EED"/>
    <w:rPr>
      <w:rFonts w:cs="Times New Roman" w:eastAsia="Times New Roman" w:hAnsi="Bookman Old Style" w:ascii="Bookman Old Style"/>
      <w:sz w:val="24"/>
      <w:szCs w:val="20"/>
      <w:lang w:eastAsia="hr-HR"/>
    </w:rPr>
  </w:style>
  <w:style w:styleId="Odlomakpopisa" w:type="paragraph">
    <w:name w:val="List Paragraph"/>
    <w:basedOn w:val="Normal"/>
    <w:uiPriority w:val="34"/>
    <w:qFormat/>
    <w:rsid w:val="00283EED"/>
    <w:pPr>
      <w:ind w:left="720"/>
      <w:contextualSpacing/>
    </w:pPr>
  </w:style>
  <w:style w:styleId="Zaglavlje" w:type="paragraph">
    <w:name w:val="header"/>
    <w:basedOn w:val="Normal"/>
    <w:link w:val="ZaglavljeChar"/>
    <w:uiPriority w:val="99"/>
    <w:rsid w:val="00283EED"/>
    <w:pPr>
      <w:tabs>
        <w:tab w:pos="4153" w:val="center"/>
        <w:tab w:pos="8306" w:val="right"/>
      </w:tabs>
      <w:spacing w:after="0"/>
    </w:pPr>
    <w:rPr>
      <w:rFonts w:eastAsia="Times New Roman" w:hAnsi="Times New Roman" w:ascii="Times New Roman"/>
      <w:sz w:val="24"/>
      <w:szCs w:val="20"/>
      <w:lang w:eastAsia="hr-HR" w:val="en-US"/>
    </w:rPr>
  </w:style>
  <w:style w:customStyle="true" w:styleId="ZaglavljeChar" w:type="character">
    <w:name w:val="Zaglavlje Char"/>
    <w:basedOn w:val="Zadanifontodlomka"/>
    <w:link w:val="Zaglavlje"/>
    <w:uiPriority w:val="99"/>
    <w:rsid w:val="00283EED"/>
    <w:rPr>
      <w:rFonts w:cs="Times New Roman" w:eastAsia="Times New Roman" w:hAnsi="Times New Roman" w:ascii="Times New Roman"/>
      <w:sz w:val="24"/>
      <w:szCs w:val="20"/>
      <w:lang w:eastAsia="hr-HR" w:val="en-US"/>
    </w:rPr>
  </w:style>
  <w:style w:styleId="Tekstrezerviranogmjesta" w:type="character">
    <w:name w:val="Placeholder Text"/>
    <w:basedOn w:val="Zadanifontodlomka"/>
    <w:uiPriority w:val="99"/>
    <w:semiHidden/>
    <w:rsid w:val="000B4900"/>
    <w:rPr>
      <w:color w:val="808080"/>
      <w:bdr w:space="0" w:sz="0" w:color="auto" w:val="none"/>
      <w:shd w:fill="auto" w:color="auto" w:val="clear"/>
    </w:rPr>
  </w:style>
  <w:style w:customStyle="true" w:styleId="eSPISCCParagraphDefaultFont" w:type="character">
    <w:name w:val="eSPIS_CC_Paragraph Default Font"/>
    <w:basedOn w:val="Zadanifontodlomka"/>
    <w:rsid w:val="000B490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B4900"/>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0B4900"/>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0B4900"/>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3EED"/>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83EED"/>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283EED"/>
    <w:rPr>
      <w:rFonts w:ascii="Bookman Old Style" w:cs="Times New Roman" w:eastAsia="Times New Roman" w:hAnsi="Bookman Old Style"/>
      <w:sz w:val="24"/>
      <w:szCs w:val="20"/>
      <w:lang w:eastAsia="hr-HR"/>
    </w:rPr>
  </w:style>
  <w:style w:styleId="Odlomakpopisa" w:type="paragraph">
    <w:name w:val="List Paragraph"/>
    <w:basedOn w:val="Normal"/>
    <w:uiPriority w:val="34"/>
    <w:qFormat/>
    <w:rsid w:val="00283EED"/>
    <w:pPr>
      <w:ind w:left="720"/>
      <w:contextualSpacing/>
    </w:pPr>
  </w:style>
  <w:style w:styleId="Zaglavlje" w:type="paragraph">
    <w:name w:val="header"/>
    <w:basedOn w:val="Normal"/>
    <w:link w:val="ZaglavljeChar"/>
    <w:uiPriority w:val="99"/>
    <w:rsid w:val="00283EED"/>
    <w:pPr>
      <w:tabs>
        <w:tab w:pos="4153" w:val="center"/>
        <w:tab w:pos="8306" w:val="right"/>
      </w:tabs>
      <w:spacing w:after="0"/>
    </w:pPr>
    <w:rPr>
      <w:rFonts w:ascii="Times New Roman" w:eastAsia="Times New Roman" w:hAnsi="Times New Roman"/>
      <w:sz w:val="24"/>
      <w:szCs w:val="20"/>
      <w:lang w:eastAsia="hr-HR" w:val="en-US"/>
    </w:rPr>
  </w:style>
  <w:style w:customStyle="1" w:styleId="ZaglavljeChar" w:type="character">
    <w:name w:val="Zaglavlje Char"/>
    <w:basedOn w:val="Zadanifontodlomka"/>
    <w:link w:val="Zaglavlje"/>
    <w:uiPriority w:val="99"/>
    <w:rsid w:val="00283EED"/>
    <w:rPr>
      <w:rFonts w:ascii="Times New Roman" w:cs="Times New Roman" w:eastAsia="Times New Roman" w:hAnsi="Times New Roman"/>
      <w:sz w:val="24"/>
      <w:szCs w:val="20"/>
      <w:lang w:eastAsia="hr-HR" w:val="en-US"/>
    </w:rPr>
  </w:style>
  <w:style w:styleId="Tekstrezerviranogmjesta" w:type="character">
    <w:name w:val="Placeholder Text"/>
    <w:basedOn w:val="Zadanifontodlomka"/>
    <w:uiPriority w:val="99"/>
    <w:semiHidden/>
    <w:rsid w:val="000B4900"/>
    <w:rPr>
      <w:color w:val="808080"/>
      <w:bdr w:color="auto" w:space="0" w:sz="0" w:val="none"/>
      <w:shd w:color="auto" w:fill="auto" w:val="clear"/>
    </w:rPr>
  </w:style>
  <w:style w:customStyle="1" w:styleId="eSPISCCParagraphDefaultFont" w:type="character">
    <w:name w:val="eSPIS_CC_Paragraph Default Font"/>
    <w:basedOn w:val="Zadanifontodlomka"/>
    <w:rsid w:val="000B490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B4900"/>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0B4900"/>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0B4900"/>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6716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3118</properties:Words>
  <properties:Characters>18448</properties:Characters>
  <properties:Lines>603</properties:Lines>
  <properties:Paragraphs>152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21649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2018-04-30T05:45:00Z</dcterms:created>
  <dc:creator>natalija</dc:creator>
  <cp:lastModifiedBy>Ivana Stampf</cp:lastModifiedBy>
  <cp:lastPrinted>2018-04-24T13:28:00Z</cp:lastPrinted>
  <dcterms:modified xmlns:xsi="http://www.w3.org/2001/XMLSchema-instance" xsi:type="dcterms:W3CDTF">2018-04-30T05:47:00Z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St-6047/2016-53 / Podnesak - Izvješće stečajnog upravitelja (Izvješće - 26.1-26.4.2018_.docx)</vt:lpwstr>
  </prop:property>
  <prop:property name="CC_coloring" pid="4" fmtid="{D5CDD505-2E9C-101B-9397-08002B2CF9AE}">
    <vt:bool>false</vt:bool>
  </prop:property>
  <prop:property name="BrojStranica" pid="5" fmtid="{D5CDD505-2E9C-101B-9397-08002B2CF9AE}">
    <vt:i4>10</vt:i4>
  </prop:property>
</prop:Properties>
</file>